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4BE94" w14:textId="09228BB4" w:rsidR="00E827C1" w:rsidRPr="007B502D" w:rsidRDefault="00240FC0" w:rsidP="00984213">
      <w:pPr>
        <w:jc w:val="center"/>
        <w:rPr>
          <w:b/>
        </w:rPr>
      </w:pPr>
      <w:r w:rsidRPr="007B502D">
        <w:rPr>
          <w:b/>
        </w:rPr>
        <w:t>BEFORE THE BOARD OF SUPERVISORS</w:t>
      </w:r>
    </w:p>
    <w:p w14:paraId="454FD81B" w14:textId="77777777" w:rsidR="00240FC0" w:rsidRPr="007B502D" w:rsidRDefault="00240FC0" w:rsidP="00D175D9">
      <w:pPr>
        <w:jc w:val="center"/>
        <w:rPr>
          <w:b/>
        </w:rPr>
      </w:pPr>
      <w:r w:rsidRPr="007B502D">
        <w:rPr>
          <w:b/>
        </w:rPr>
        <w:t xml:space="preserve">OF </w:t>
      </w:r>
      <w:r w:rsidR="00EE00B4" w:rsidRPr="007B502D">
        <w:rPr>
          <w:b/>
        </w:rPr>
        <w:t xml:space="preserve">NAPA COUNTY </w:t>
      </w:r>
    </w:p>
    <w:p w14:paraId="23226153" w14:textId="77777777" w:rsidR="00FB746C" w:rsidRPr="007B502D" w:rsidRDefault="00FB746C" w:rsidP="00D175D9">
      <w:pPr>
        <w:jc w:val="center"/>
        <w:rPr>
          <w:b/>
        </w:rPr>
      </w:pPr>
    </w:p>
    <w:p w14:paraId="78FC601A" w14:textId="77777777" w:rsidR="00FB746C" w:rsidRPr="007B502D" w:rsidRDefault="00FB746C" w:rsidP="00D175D9">
      <w:pPr>
        <w:jc w:val="center"/>
        <w:rPr>
          <w:b/>
        </w:rPr>
      </w:pPr>
    </w:p>
    <w:p w14:paraId="04FFB312" w14:textId="77777777" w:rsidR="00FB746C" w:rsidRPr="007B502D" w:rsidRDefault="00FB746C" w:rsidP="00D175D9">
      <w:r w:rsidRPr="007B502D">
        <w:t>In the Matter of:</w:t>
      </w:r>
    </w:p>
    <w:p w14:paraId="6085631F" w14:textId="77777777" w:rsidR="00FB746C" w:rsidRPr="007B502D" w:rsidRDefault="00FB746C" w:rsidP="00D175D9"/>
    <w:tbl>
      <w:tblPr>
        <w:tblW w:w="0" w:type="auto"/>
        <w:tblLayout w:type="fixed"/>
        <w:tblCellMar>
          <w:left w:w="115" w:type="dxa"/>
          <w:right w:w="115" w:type="dxa"/>
        </w:tblCellMar>
        <w:tblLook w:val="04A0" w:firstRow="1" w:lastRow="0" w:firstColumn="1" w:lastColumn="0" w:noHBand="0" w:noVBand="1"/>
      </w:tblPr>
      <w:tblGrid>
        <w:gridCol w:w="5515"/>
        <w:gridCol w:w="4349"/>
      </w:tblGrid>
      <w:tr w:rsidR="006A0298" w:rsidRPr="007B502D" w14:paraId="50D93946" w14:textId="77777777" w:rsidTr="00C3384E">
        <w:tc>
          <w:tcPr>
            <w:tcW w:w="5515" w:type="dxa"/>
            <w:tcBorders>
              <w:bottom w:val="single" w:sz="4" w:space="0" w:color="auto"/>
              <w:right w:val="single" w:sz="4" w:space="0" w:color="auto"/>
            </w:tcBorders>
          </w:tcPr>
          <w:p w14:paraId="78389531" w14:textId="77777777" w:rsidR="006A0298" w:rsidRPr="00F15218" w:rsidRDefault="00F15218" w:rsidP="00F15218">
            <w:r w:rsidRPr="00E553DF">
              <w:rPr>
                <w:bCs/>
              </w:rPr>
              <w:t>Consideration and possible directi</w:t>
            </w:r>
            <w:r>
              <w:rPr>
                <w:bCs/>
              </w:rPr>
              <w:t>on regarding an appeal filed by</w:t>
            </w:r>
            <w:r>
              <w:t xml:space="preserve"> Robert </w:t>
            </w:r>
            <w:proofErr w:type="spellStart"/>
            <w:r>
              <w:t>Barbarick</w:t>
            </w:r>
            <w:proofErr w:type="spellEnd"/>
            <w:r>
              <w:t xml:space="preserve"> on behalf of Balloons Above the Valley</w:t>
            </w:r>
            <w:r w:rsidRPr="007B502D">
              <w:t xml:space="preserve"> </w:t>
            </w:r>
            <w:r>
              <w:t>to a decision by the Napa County Planning Commission to deny Use Permit No. P19-00303 requesting daily</w:t>
            </w:r>
            <w:r w:rsidRPr="007B502D">
              <w:t xml:space="preserve"> </w:t>
            </w:r>
            <w:r w:rsidRPr="0069672A">
              <w:t xml:space="preserve">launching </w:t>
            </w:r>
            <w:r>
              <w:t>of up to eight hot air balloons</w:t>
            </w:r>
            <w:r w:rsidRPr="0069672A">
              <w:t xml:space="preserve"> </w:t>
            </w:r>
            <w:r>
              <w:t xml:space="preserve">year round and related activities between the hours of </w:t>
            </w:r>
            <w:r w:rsidRPr="0069672A">
              <w:t>6:00 a.m.</w:t>
            </w:r>
            <w:r>
              <w:t xml:space="preserve"> and 9:30 a.m., </w:t>
            </w:r>
            <w:r w:rsidRPr="0069672A">
              <w:t xml:space="preserve">on a 2.03-acre parcel within the Agricultural Preserve </w:t>
            </w:r>
            <w:r>
              <w:t xml:space="preserve">(AP) </w:t>
            </w:r>
            <w:r w:rsidRPr="0069672A">
              <w:t>zoning district, with a General Plan land use designation of Agricul</w:t>
            </w:r>
            <w:r>
              <w:t xml:space="preserve">tural Resource (AR) located at 5360 Washington Street, Napa, California, </w:t>
            </w:r>
            <w:r w:rsidRPr="0069672A">
              <w:t>APN: 036-130-029</w:t>
            </w:r>
            <w:r>
              <w:t>.</w:t>
            </w:r>
          </w:p>
        </w:tc>
        <w:tc>
          <w:tcPr>
            <w:tcW w:w="4349" w:type="dxa"/>
            <w:tcBorders>
              <w:left w:val="single" w:sz="4" w:space="0" w:color="auto"/>
            </w:tcBorders>
          </w:tcPr>
          <w:p w14:paraId="2DC07F73" w14:textId="77777777" w:rsidR="00F2658A" w:rsidRPr="007B502D" w:rsidRDefault="00F2658A" w:rsidP="00D175D9">
            <w:pPr>
              <w:ind w:left="245"/>
              <w:rPr>
                <w:b/>
              </w:rPr>
            </w:pPr>
          </w:p>
          <w:p w14:paraId="4CE621FD" w14:textId="1DEB7DAC" w:rsidR="006A0298" w:rsidRPr="007B502D" w:rsidRDefault="006A0298" w:rsidP="00D175D9">
            <w:pPr>
              <w:ind w:left="245"/>
              <w:rPr>
                <w:b/>
              </w:rPr>
            </w:pPr>
            <w:r w:rsidRPr="007B502D">
              <w:rPr>
                <w:b/>
              </w:rPr>
              <w:t xml:space="preserve">RESOLUTION NO. </w:t>
            </w:r>
            <w:r w:rsidR="00FC0228">
              <w:rPr>
                <w:b/>
              </w:rPr>
              <w:t>2021</w:t>
            </w:r>
            <w:r w:rsidR="00A71A68">
              <w:rPr>
                <w:b/>
              </w:rPr>
              <w:t>-07</w:t>
            </w:r>
          </w:p>
          <w:p w14:paraId="33B2BE21" w14:textId="77777777" w:rsidR="00F2658A" w:rsidRPr="007B502D" w:rsidRDefault="00F2658A" w:rsidP="00D175D9">
            <w:pPr>
              <w:ind w:left="245"/>
              <w:rPr>
                <w:b/>
              </w:rPr>
            </w:pPr>
          </w:p>
          <w:p w14:paraId="6B34BBF2" w14:textId="77777777" w:rsidR="00F2658A" w:rsidRPr="007B502D" w:rsidRDefault="00F2658A" w:rsidP="00D175D9">
            <w:pPr>
              <w:ind w:left="245"/>
              <w:rPr>
                <w:b/>
              </w:rPr>
            </w:pPr>
            <w:r w:rsidRPr="007B502D">
              <w:rPr>
                <w:b/>
              </w:rPr>
              <w:t>FINDINGS OF FACT AND DECISION ON APPEAL</w:t>
            </w:r>
          </w:p>
          <w:p w14:paraId="611B2973" w14:textId="77777777" w:rsidR="00E70DCF" w:rsidRPr="007B502D" w:rsidRDefault="00E70DCF" w:rsidP="00D175D9">
            <w:pPr>
              <w:ind w:left="245"/>
              <w:rPr>
                <w:b/>
              </w:rPr>
            </w:pPr>
          </w:p>
          <w:p w14:paraId="6A120867" w14:textId="77777777" w:rsidR="00E70DCF" w:rsidRPr="007B502D" w:rsidRDefault="00E70DCF" w:rsidP="00467B9D">
            <w:pPr>
              <w:ind w:left="245"/>
              <w:rPr>
                <w:b/>
              </w:rPr>
            </w:pPr>
          </w:p>
        </w:tc>
      </w:tr>
    </w:tbl>
    <w:p w14:paraId="387714D0" w14:textId="77777777" w:rsidR="006A0298" w:rsidRDefault="006A0298" w:rsidP="00D175D9"/>
    <w:p w14:paraId="4B6635FF" w14:textId="77777777" w:rsidR="00710529" w:rsidRDefault="00710529" w:rsidP="00FC7AB4">
      <w:pPr>
        <w:ind w:firstLine="720"/>
        <w:rPr>
          <w:bCs/>
        </w:rPr>
      </w:pPr>
    </w:p>
    <w:p w14:paraId="2B324796" w14:textId="77777777" w:rsidR="00FC0228" w:rsidRDefault="00597DB3" w:rsidP="00FC0228">
      <w:pPr>
        <w:ind w:firstLine="720"/>
      </w:pPr>
      <w:r>
        <w:rPr>
          <w:bCs/>
        </w:rPr>
        <w:t>WHEREAS,</w:t>
      </w:r>
      <w:r w:rsidR="00FC0228">
        <w:rPr>
          <w:bCs/>
        </w:rPr>
        <w:t xml:space="preserve"> on June 28, 2019, Robert </w:t>
      </w:r>
      <w:proofErr w:type="spellStart"/>
      <w:r w:rsidR="00FC0228">
        <w:rPr>
          <w:bCs/>
        </w:rPr>
        <w:t>Barbarick</w:t>
      </w:r>
      <w:proofErr w:type="spellEnd"/>
      <w:r w:rsidR="00FC0228">
        <w:rPr>
          <w:bCs/>
        </w:rPr>
        <w:t xml:space="preserve"> on </w:t>
      </w:r>
      <w:r>
        <w:rPr>
          <w:bCs/>
        </w:rPr>
        <w:t>behalf</w:t>
      </w:r>
      <w:r w:rsidR="00FC0228">
        <w:rPr>
          <w:bCs/>
        </w:rPr>
        <w:t xml:space="preserve"> of </w:t>
      </w:r>
      <w:r w:rsidR="00710529" w:rsidRPr="00E57697">
        <w:rPr>
          <w:spacing w:val="2"/>
        </w:rPr>
        <w:t xml:space="preserve">Balloons </w:t>
      </w:r>
      <w:proofErr w:type="gramStart"/>
      <w:r w:rsidR="00710529" w:rsidRPr="00E57697">
        <w:rPr>
          <w:spacing w:val="2"/>
        </w:rPr>
        <w:t>Above</w:t>
      </w:r>
      <w:proofErr w:type="gramEnd"/>
      <w:r w:rsidR="00710529" w:rsidRPr="00E57697">
        <w:rPr>
          <w:spacing w:val="2"/>
        </w:rPr>
        <w:t xml:space="preserve"> the Valley</w:t>
      </w:r>
      <w:r w:rsidR="00710529">
        <w:rPr>
          <w:spacing w:val="2"/>
        </w:rPr>
        <w:t xml:space="preserve"> </w:t>
      </w:r>
      <w:r w:rsidR="00693731">
        <w:rPr>
          <w:spacing w:val="2"/>
        </w:rPr>
        <w:t xml:space="preserve">(the </w:t>
      </w:r>
      <w:r w:rsidR="00FC0228">
        <w:rPr>
          <w:spacing w:val="2"/>
        </w:rPr>
        <w:t xml:space="preserve">Applicant or </w:t>
      </w:r>
      <w:r>
        <w:rPr>
          <w:spacing w:val="2"/>
        </w:rPr>
        <w:t>B</w:t>
      </w:r>
      <w:r w:rsidR="00693731">
        <w:rPr>
          <w:spacing w:val="2"/>
        </w:rPr>
        <w:t>ATV</w:t>
      </w:r>
      <w:r w:rsidR="00FC0228">
        <w:rPr>
          <w:spacing w:val="2"/>
        </w:rPr>
        <w:t xml:space="preserve">) submitted an application for </w:t>
      </w:r>
      <w:r w:rsidR="00710529">
        <w:rPr>
          <w:spacing w:val="2"/>
        </w:rPr>
        <w:t xml:space="preserve">Use </w:t>
      </w:r>
      <w:r w:rsidR="00710529" w:rsidRPr="00E57697">
        <w:rPr>
          <w:spacing w:val="2"/>
        </w:rPr>
        <w:t xml:space="preserve">Permit No. </w:t>
      </w:r>
      <w:r w:rsidR="00904D22">
        <w:rPr>
          <w:spacing w:val="2"/>
        </w:rPr>
        <w:t>P19-00303-UP</w:t>
      </w:r>
      <w:r w:rsidR="00FC0228">
        <w:rPr>
          <w:spacing w:val="2"/>
        </w:rPr>
        <w:t xml:space="preserve"> </w:t>
      </w:r>
      <w:r w:rsidR="00FC0228">
        <w:t>requesting daily</w:t>
      </w:r>
      <w:r w:rsidR="00FC0228" w:rsidRPr="007B502D">
        <w:t xml:space="preserve"> </w:t>
      </w:r>
      <w:r w:rsidR="00FC0228" w:rsidRPr="0069672A">
        <w:t xml:space="preserve">launching </w:t>
      </w:r>
      <w:r w:rsidR="00FC0228">
        <w:t>of up to eight hot air balloons</w:t>
      </w:r>
      <w:r w:rsidR="00FC0228" w:rsidRPr="0069672A">
        <w:t xml:space="preserve"> </w:t>
      </w:r>
      <w:r w:rsidR="00FC0228">
        <w:t xml:space="preserve">year round and related activities between the hours of </w:t>
      </w:r>
      <w:r w:rsidR="00FC0228" w:rsidRPr="0069672A">
        <w:t>6:00 a.m.</w:t>
      </w:r>
      <w:r w:rsidR="00693731">
        <w:t xml:space="preserve"> and 9:30 a.m. (the P</w:t>
      </w:r>
      <w:r w:rsidR="00D93B41">
        <w:t>ro</w:t>
      </w:r>
      <w:r w:rsidR="00693731">
        <w:t>ject</w:t>
      </w:r>
      <w:r w:rsidR="00D93B41">
        <w:t xml:space="preserve">); and </w:t>
      </w:r>
      <w:r w:rsidR="00FC0228">
        <w:t xml:space="preserve"> </w:t>
      </w:r>
    </w:p>
    <w:p w14:paraId="42F11810" w14:textId="77777777" w:rsidR="00D93B41" w:rsidRDefault="00D93B41" w:rsidP="00FC0228">
      <w:pPr>
        <w:ind w:firstLine="720"/>
      </w:pPr>
    </w:p>
    <w:p w14:paraId="3634FE19" w14:textId="77777777" w:rsidR="00D93B41" w:rsidRDefault="00D93B41" w:rsidP="00D93B41">
      <w:pPr>
        <w:ind w:firstLine="720"/>
      </w:pPr>
      <w:r w:rsidRPr="00A351AD">
        <w:t>WHEREAS, the Project site is</w:t>
      </w:r>
      <w:r w:rsidRPr="00F14EE5">
        <w:t xml:space="preserve"> </w:t>
      </w:r>
      <w:r>
        <w:t xml:space="preserve">located </w:t>
      </w:r>
      <w:r w:rsidRPr="0069672A">
        <w:t xml:space="preserve">on a 2.03-acre parcel within the Agricultural Preserve </w:t>
      </w:r>
      <w:r>
        <w:t xml:space="preserve">(AP) </w:t>
      </w:r>
      <w:r w:rsidRPr="0069672A">
        <w:t>zoning district, with a General Plan land use designation of Agricul</w:t>
      </w:r>
      <w:r>
        <w:t xml:space="preserve">tural Resource (AR) located at 5360 Washington Street, Napa, California, </w:t>
      </w:r>
      <w:r w:rsidRPr="0069672A">
        <w:t>APN: 036-130-029</w:t>
      </w:r>
      <w:r>
        <w:t>; and</w:t>
      </w:r>
    </w:p>
    <w:p w14:paraId="2A04C838" w14:textId="77777777" w:rsidR="00710529" w:rsidRDefault="00710529" w:rsidP="00710529">
      <w:pPr>
        <w:rPr>
          <w:spacing w:val="2"/>
          <w:highlight w:val="cyan"/>
        </w:rPr>
      </w:pPr>
    </w:p>
    <w:p w14:paraId="1481DC98" w14:textId="09A5BF7D" w:rsidR="00710529" w:rsidRPr="005F6639" w:rsidRDefault="00710529" w:rsidP="00710529">
      <w:pPr>
        <w:ind w:firstLine="720"/>
        <w:rPr>
          <w:highlight w:val="cyan"/>
        </w:rPr>
      </w:pPr>
      <w:r>
        <w:t>WHEREAS, r</w:t>
      </w:r>
      <w:r w:rsidRPr="00E57697">
        <w:t xml:space="preserve">esubmittal applications </w:t>
      </w:r>
      <w:r>
        <w:t>with additional information about the</w:t>
      </w:r>
      <w:r w:rsidR="00FC0228">
        <w:t xml:space="preserve"> hot air balloon</w:t>
      </w:r>
      <w:r>
        <w:t xml:space="preserve"> operation </w:t>
      </w:r>
      <w:r w:rsidRPr="00E57697">
        <w:t xml:space="preserve">were provided </w:t>
      </w:r>
      <w:r>
        <w:t xml:space="preserve">on </w:t>
      </w:r>
      <w:r w:rsidRPr="00665727">
        <w:t xml:space="preserve">September 4, 2019; November 11, </w:t>
      </w:r>
      <w:r w:rsidR="006A2755">
        <w:t>2</w:t>
      </w:r>
      <w:r w:rsidRPr="00665727">
        <w:t>019;</w:t>
      </w:r>
      <w:r>
        <w:t xml:space="preserve"> and</w:t>
      </w:r>
      <w:r w:rsidRPr="00665727">
        <w:t xml:space="preserve"> January 1, 2020</w:t>
      </w:r>
      <w:r>
        <w:t xml:space="preserve">.  </w:t>
      </w:r>
      <w:r w:rsidRPr="00E57697">
        <w:t>The application was determined to be complete on</w:t>
      </w:r>
      <w:r w:rsidR="00FC0228">
        <w:t xml:space="preserve"> February 7, 2020; and </w:t>
      </w:r>
    </w:p>
    <w:p w14:paraId="54F87B4C" w14:textId="77777777" w:rsidR="00710529" w:rsidRPr="005F6639" w:rsidRDefault="00710529" w:rsidP="00710529">
      <w:pPr>
        <w:rPr>
          <w:highlight w:val="cyan"/>
        </w:rPr>
      </w:pPr>
    </w:p>
    <w:p w14:paraId="5B9F08C5" w14:textId="77777777" w:rsidR="00710529" w:rsidRDefault="00904D22" w:rsidP="00904D22">
      <w:pPr>
        <w:ind w:firstLine="720"/>
      </w:pPr>
      <w:r>
        <w:t>WHEREAS, o</w:t>
      </w:r>
      <w:r w:rsidR="00710529" w:rsidRPr="00302E03">
        <w:t>n</w:t>
      </w:r>
      <w:r w:rsidR="00710529">
        <w:t xml:space="preserve"> October 23, 2019,</w:t>
      </w:r>
      <w:r w:rsidR="00710529" w:rsidRPr="00302E03">
        <w:t xml:space="preserve"> a New Project Submittal Courtesy Notice was mailed to all property owners within 1,000 feet of the subject property and emailed to those persons on the general CE</w:t>
      </w:r>
      <w:r w:rsidR="00FC0228">
        <w:t>QA document notification list; and</w:t>
      </w:r>
    </w:p>
    <w:p w14:paraId="7F20588F" w14:textId="77777777" w:rsidR="003C3913" w:rsidRDefault="003C3913" w:rsidP="00904D22">
      <w:pPr>
        <w:ind w:firstLine="720"/>
      </w:pPr>
    </w:p>
    <w:p w14:paraId="16F274D7" w14:textId="77777777" w:rsidR="003C3913" w:rsidRDefault="003C3913" w:rsidP="003C3913">
      <w:pPr>
        <w:ind w:firstLine="720"/>
      </w:pPr>
      <w:r w:rsidRPr="007B502D">
        <w:t>WHEREAS, after a preliminary review of the Project, the Planning, Building and Environmental Services (PBES) Department determined that the Project might result in a significant environmental effect and therefore required preparation of an Initial Study consistent with the requirements of the California Environmental Quality Act (CEQA) to determine if the Project may have a significant effect on the environment;</w:t>
      </w:r>
      <w:r w:rsidR="00693731">
        <w:t xml:space="preserve"> and</w:t>
      </w:r>
    </w:p>
    <w:p w14:paraId="6E791E90" w14:textId="77777777" w:rsidR="003C3913" w:rsidRDefault="003C3913" w:rsidP="003C3913">
      <w:pPr>
        <w:ind w:firstLine="720"/>
      </w:pPr>
    </w:p>
    <w:p w14:paraId="37967EF0" w14:textId="03ED72EF" w:rsidR="00710529" w:rsidRDefault="002F74B7" w:rsidP="003C3913">
      <w:pPr>
        <w:ind w:firstLine="720"/>
      </w:pPr>
      <w:r>
        <w:t>WHEREAS, o</w:t>
      </w:r>
      <w:r w:rsidR="00710529" w:rsidRPr="00656B90">
        <w:t xml:space="preserve">n </w:t>
      </w:r>
      <w:r w:rsidR="00710529">
        <w:t>August 12, 2020,</w:t>
      </w:r>
      <w:r w:rsidR="00710529" w:rsidRPr="00FC1293">
        <w:t xml:space="preserve"> the</w:t>
      </w:r>
      <w:r w:rsidR="00710529" w:rsidRPr="00215258">
        <w:t xml:space="preserve"> Public Notice for the Planning Commission hearing and Notice of Intent to Adopt a Negative Declaration was mailed to all property owners within 1,000 feet of the subject property as well as any other persons who had requested notice. </w:t>
      </w:r>
      <w:r w:rsidR="006A2755">
        <w:t xml:space="preserve"> </w:t>
      </w:r>
      <w:r w:rsidR="00710529" w:rsidRPr="00215258">
        <w:t xml:space="preserve">It </w:t>
      </w:r>
      <w:r w:rsidR="00710529" w:rsidRPr="00215258">
        <w:lastRenderedPageBreak/>
        <w:t xml:space="preserve">should be noted that the County’s requirements to notice all property owners within 1,000 feet far exceeds the State mandate of noticing all owners within 300 feet.  Notice was also provided to those persons on the general CEQA document notification list.  The Notice was published in the Napa </w:t>
      </w:r>
      <w:r w:rsidR="00710529">
        <w:t xml:space="preserve">Valley </w:t>
      </w:r>
      <w:r w:rsidR="00710529" w:rsidRPr="00215258">
        <w:t xml:space="preserve">Register on </w:t>
      </w:r>
      <w:r w:rsidR="00693731">
        <w:t>August 12, 2020; and</w:t>
      </w:r>
    </w:p>
    <w:p w14:paraId="23908426" w14:textId="77777777" w:rsidR="003C3913" w:rsidRDefault="003C3913" w:rsidP="003C3913">
      <w:pPr>
        <w:ind w:firstLine="720"/>
      </w:pPr>
    </w:p>
    <w:p w14:paraId="7A2A59CD" w14:textId="28206C5B" w:rsidR="003C3913" w:rsidRDefault="003C3913" w:rsidP="003C3913">
      <w:pPr>
        <w:ind w:firstLine="720"/>
      </w:pPr>
      <w:r>
        <w:t>WHEREAS, on September 2, 2020, the Planning Commission held a properly noticed public hearing on the Project and the N</w:t>
      </w:r>
      <w:r w:rsidR="006A2755">
        <w:t xml:space="preserve">egative </w:t>
      </w:r>
      <w:r>
        <w:t>D</w:t>
      </w:r>
      <w:r w:rsidR="006A2755">
        <w:t>eclaration</w:t>
      </w:r>
      <w:r>
        <w:t xml:space="preserve">.  After considering all written and verbal </w:t>
      </w:r>
      <w:r w:rsidRPr="007B502D">
        <w:t>public testimony and all evidence submitted, the Planning Commission closed the public hearing, deliberated, and voted (</w:t>
      </w:r>
      <w:r>
        <w:t>3:2 – AYES: Whitmer, Gallagher and Cottrell; NOES: Maz</w:t>
      </w:r>
      <w:r w:rsidR="00FA7B71">
        <w:t>otti</w:t>
      </w:r>
      <w:r>
        <w:t xml:space="preserve"> and</w:t>
      </w:r>
      <w:r w:rsidR="00FA7B71">
        <w:t xml:space="preserve"> Dameron)</w:t>
      </w:r>
      <w:r>
        <w:t xml:space="preserve"> to deny </w:t>
      </w:r>
      <w:r w:rsidRPr="007B502D">
        <w:t>Use Permit</w:t>
      </w:r>
      <w:r>
        <w:t xml:space="preserve"> </w:t>
      </w:r>
      <w:r w:rsidRPr="007B502D">
        <w:t>No.</w:t>
      </w:r>
      <w:r w:rsidRPr="00B43241">
        <w:t xml:space="preserve"> </w:t>
      </w:r>
      <w:r>
        <w:t xml:space="preserve">P19-00303; and </w:t>
      </w:r>
    </w:p>
    <w:p w14:paraId="45C40FEC" w14:textId="77777777" w:rsidR="00FA7B71" w:rsidRDefault="00FA7B71" w:rsidP="003C3913">
      <w:pPr>
        <w:ind w:firstLine="720"/>
      </w:pPr>
    </w:p>
    <w:p w14:paraId="0DA3B3B8" w14:textId="63292800" w:rsidR="00FA7B71" w:rsidRPr="007B502D" w:rsidRDefault="00FA7B71" w:rsidP="00FA7B71">
      <w:pPr>
        <w:ind w:firstLine="720"/>
      </w:pPr>
      <w:r>
        <w:rPr>
          <w:rFonts w:eastAsia="Arial"/>
        </w:rPr>
        <w:t xml:space="preserve">WHEREAS, on November 6, 2020, </w:t>
      </w:r>
      <w:r w:rsidR="006A2755" w:rsidRPr="007B502D">
        <w:t>after</w:t>
      </w:r>
      <w:r w:rsidRPr="007B502D">
        <w:t xml:space="preserve"> the Commission’s decision and within the prescribed period,</w:t>
      </w:r>
      <w:r>
        <w:rPr>
          <w:rFonts w:eastAsia="Arial"/>
        </w:rPr>
        <w:t xml:space="preserve"> Robert </w:t>
      </w:r>
      <w:proofErr w:type="spellStart"/>
      <w:r>
        <w:rPr>
          <w:rFonts w:eastAsia="Arial"/>
        </w:rPr>
        <w:t>Barbarick</w:t>
      </w:r>
      <w:proofErr w:type="spellEnd"/>
      <w:r>
        <w:rPr>
          <w:rFonts w:eastAsia="Arial"/>
        </w:rPr>
        <w:t xml:space="preserve"> on behalf of Balloons </w:t>
      </w:r>
      <w:r w:rsidR="00597DB3">
        <w:rPr>
          <w:rFonts w:eastAsia="Arial"/>
        </w:rPr>
        <w:t>Above</w:t>
      </w:r>
      <w:r w:rsidR="006A164A">
        <w:rPr>
          <w:rFonts w:eastAsia="Arial"/>
        </w:rPr>
        <w:t xml:space="preserve"> the Valley (Appellant</w:t>
      </w:r>
      <w:r w:rsidR="0039601F">
        <w:rPr>
          <w:rFonts w:eastAsia="Arial"/>
        </w:rPr>
        <w:t xml:space="preserve"> or BATV</w:t>
      </w:r>
      <w:r>
        <w:rPr>
          <w:rFonts w:eastAsia="Arial"/>
        </w:rPr>
        <w:t>)</w:t>
      </w:r>
      <w:r w:rsidRPr="00C6287F">
        <w:rPr>
          <w:rFonts w:eastAsia="Arial"/>
        </w:rPr>
        <w:t xml:space="preserve"> </w:t>
      </w:r>
      <w:r>
        <w:rPr>
          <w:rFonts w:eastAsia="Arial"/>
        </w:rPr>
        <w:t xml:space="preserve">submitted a timely Notice of Intent to Appeal </w:t>
      </w:r>
      <w:r w:rsidRPr="007B502D">
        <w:t>the Planning C</w:t>
      </w:r>
      <w:r>
        <w:t xml:space="preserve">ommission’s decision to deny </w:t>
      </w:r>
      <w:r w:rsidR="0039601F">
        <w:t>the Project and then</w:t>
      </w:r>
      <w:r w:rsidRPr="007B502D">
        <w:t xml:space="preserve"> filed a timely </w:t>
      </w:r>
      <w:r w:rsidR="00693731">
        <w:t>Appeal Packet on November 6</w:t>
      </w:r>
      <w:r>
        <w:t xml:space="preserve">, 2020 </w:t>
      </w:r>
      <w:r w:rsidRPr="007B502D">
        <w:t xml:space="preserve">(collectively the Appeal). </w:t>
      </w:r>
      <w:r w:rsidR="006A2755">
        <w:t xml:space="preserve"> </w:t>
      </w:r>
      <w:r w:rsidRPr="007B502D">
        <w:t>The Appeal Packet specified the</w:t>
      </w:r>
      <w:r>
        <w:t xml:space="preserve"> grounds on which the Appellant’s</w:t>
      </w:r>
      <w:r w:rsidRPr="007B502D">
        <w:t xml:space="preserve"> Appeal is based, and are set forth with more particularity </w:t>
      </w:r>
      <w:r>
        <w:t>t</w:t>
      </w:r>
      <w:r w:rsidRPr="007B502D">
        <w:t>herein</w:t>
      </w:r>
      <w:r w:rsidRPr="007B502D">
        <w:rPr>
          <w:vertAlign w:val="superscript"/>
        </w:rPr>
        <w:footnoteReference w:id="1"/>
      </w:r>
      <w:r w:rsidRPr="007B502D">
        <w:t>;</w:t>
      </w:r>
      <w:r>
        <w:t xml:space="preserve"> and</w:t>
      </w:r>
    </w:p>
    <w:p w14:paraId="5C324B4C" w14:textId="77777777" w:rsidR="00FA7B71" w:rsidRPr="007B502D" w:rsidRDefault="00FA7B71" w:rsidP="00FA7B71">
      <w:pPr>
        <w:ind w:firstLine="720"/>
      </w:pPr>
    </w:p>
    <w:p w14:paraId="107F77F5" w14:textId="6C31FEBA" w:rsidR="00FA7B71" w:rsidRDefault="00FA7B71" w:rsidP="00FA7B71">
      <w:r w:rsidRPr="007B502D">
        <w:tab/>
        <w:t>WHEREAS, in accordance with Napa County Code (NCC</w:t>
      </w:r>
      <w:r w:rsidR="00984213">
        <w:t xml:space="preserve"> or County Code</w:t>
      </w:r>
      <w:r w:rsidRPr="007B502D">
        <w:t xml:space="preserve">) Section 2.88.080(A), a hearing on the Appeal was scheduled before the Board of Supervisors (the Board) for </w:t>
      </w:r>
      <w:r>
        <w:t xml:space="preserve">December 15, 2020, </w:t>
      </w:r>
      <w:r w:rsidR="0039601F">
        <w:t>a date at least 15 but no more than 90</w:t>
      </w:r>
      <w:r w:rsidRPr="007B502D">
        <w:t xml:space="preserve"> days from the date of submittal of the Appeal;</w:t>
      </w:r>
      <w:r>
        <w:t xml:space="preserve"> and</w:t>
      </w:r>
    </w:p>
    <w:p w14:paraId="0529A136" w14:textId="77777777" w:rsidR="00FA7B71" w:rsidRDefault="00FA7B71" w:rsidP="00FA7B71"/>
    <w:p w14:paraId="291A58BB" w14:textId="75D85689" w:rsidR="00FA7B71" w:rsidRPr="007B502D" w:rsidRDefault="00FA7B71" w:rsidP="00FA7B71">
      <w:r>
        <w:tab/>
        <w:t>WHEREAS, due to an error in the public noticing, on December 15, 2020, the Board continued the public hearing (without public comm</w:t>
      </w:r>
      <w:r w:rsidR="0039601F">
        <w:t>ent) on the Appeal to January 12</w:t>
      </w:r>
      <w:r>
        <w:t xml:space="preserve">, 2021; and </w:t>
      </w:r>
    </w:p>
    <w:p w14:paraId="72CAB5AD" w14:textId="77777777" w:rsidR="00710529" w:rsidRPr="005F6639" w:rsidRDefault="00710529" w:rsidP="00710529">
      <w:pPr>
        <w:rPr>
          <w:highlight w:val="cyan"/>
        </w:rPr>
      </w:pPr>
    </w:p>
    <w:p w14:paraId="65A8B371" w14:textId="77777777" w:rsidR="00710529" w:rsidRDefault="00851F98" w:rsidP="00851F98">
      <w:pPr>
        <w:ind w:firstLine="720"/>
      </w:pPr>
      <w:r>
        <w:rPr>
          <w:spacing w:val="3"/>
        </w:rPr>
        <w:t xml:space="preserve">WHEREAS, </w:t>
      </w:r>
      <w:r w:rsidR="00FA7B71">
        <w:rPr>
          <w:spacing w:val="3"/>
        </w:rPr>
        <w:t xml:space="preserve">on </w:t>
      </w:r>
      <w:r w:rsidR="006F41AB">
        <w:rPr>
          <w:spacing w:val="3"/>
        </w:rPr>
        <w:t>December 22</w:t>
      </w:r>
      <w:r w:rsidR="00B529EE">
        <w:rPr>
          <w:spacing w:val="3"/>
        </w:rPr>
        <w:t xml:space="preserve">, 2020, </w:t>
      </w:r>
      <w:r>
        <w:rPr>
          <w:spacing w:val="3"/>
        </w:rPr>
        <w:t>p</w:t>
      </w:r>
      <w:r w:rsidR="00710529">
        <w:rPr>
          <w:spacing w:val="3"/>
        </w:rPr>
        <w:t>ublic notice</w:t>
      </w:r>
      <w:r w:rsidR="00710529" w:rsidRPr="0021588A">
        <w:rPr>
          <w:spacing w:val="3"/>
        </w:rPr>
        <w:t xml:space="preserve"> </w:t>
      </w:r>
      <w:r w:rsidR="00710529" w:rsidRPr="0021588A">
        <w:t xml:space="preserve">of </w:t>
      </w:r>
      <w:r w:rsidR="00FA7B71">
        <w:rPr>
          <w:spacing w:val="3"/>
        </w:rPr>
        <w:t xml:space="preserve">the January 12, 2021, </w:t>
      </w:r>
      <w:r w:rsidR="00710529" w:rsidRPr="0021588A">
        <w:rPr>
          <w:spacing w:val="3"/>
        </w:rPr>
        <w:t xml:space="preserve">appeal hearing </w:t>
      </w:r>
      <w:r w:rsidR="00B529EE">
        <w:t>was</w:t>
      </w:r>
      <w:r>
        <w:t xml:space="preserve"> mailed </w:t>
      </w:r>
      <w:r w:rsidR="00710529" w:rsidRPr="0021588A">
        <w:t xml:space="preserve">and </w:t>
      </w:r>
      <w:r w:rsidR="00710529" w:rsidRPr="0021588A">
        <w:rPr>
          <w:spacing w:val="3"/>
        </w:rPr>
        <w:t xml:space="preserve">provided </w:t>
      </w:r>
      <w:r w:rsidR="00710529" w:rsidRPr="0021588A">
        <w:t xml:space="preserve">to all </w:t>
      </w:r>
      <w:r w:rsidR="00710529" w:rsidRPr="0021588A">
        <w:rPr>
          <w:spacing w:val="3"/>
        </w:rPr>
        <w:t xml:space="preserve">parties </w:t>
      </w:r>
      <w:r w:rsidR="00710529" w:rsidRPr="0021588A">
        <w:t xml:space="preserve">who </w:t>
      </w:r>
      <w:r w:rsidR="00710529" w:rsidRPr="0021588A">
        <w:rPr>
          <w:spacing w:val="3"/>
        </w:rPr>
        <w:t xml:space="preserve">received notice </w:t>
      </w:r>
      <w:r w:rsidR="00710529" w:rsidRPr="0021588A">
        <w:t xml:space="preserve">of the </w:t>
      </w:r>
      <w:r w:rsidR="00710529" w:rsidRPr="0021588A">
        <w:rPr>
          <w:spacing w:val="4"/>
        </w:rPr>
        <w:t xml:space="preserve">Planning </w:t>
      </w:r>
      <w:r w:rsidR="00710529" w:rsidRPr="0021588A">
        <w:t>Commission hearing on</w:t>
      </w:r>
      <w:r w:rsidR="00710529">
        <w:t xml:space="preserve"> </w:t>
      </w:r>
      <w:r w:rsidR="00710529" w:rsidRPr="00577EA1">
        <w:t xml:space="preserve">September 2, 2020. The notice ran in the </w:t>
      </w:r>
      <w:r w:rsidR="00710529">
        <w:t xml:space="preserve">Napa Valley Register </w:t>
      </w:r>
      <w:r w:rsidR="006F41AB">
        <w:t>on December 22</w:t>
      </w:r>
      <w:r w:rsidR="00B529EE">
        <w:t>, 2020; and</w:t>
      </w:r>
      <w:r w:rsidR="00710529" w:rsidRPr="00577EA1">
        <w:t xml:space="preserve"> </w:t>
      </w:r>
    </w:p>
    <w:p w14:paraId="13F8F129" w14:textId="77777777" w:rsidR="00D93B41" w:rsidRPr="00577EA1" w:rsidRDefault="00D93B41" w:rsidP="00851F98">
      <w:pPr>
        <w:ind w:firstLine="720"/>
      </w:pPr>
    </w:p>
    <w:p w14:paraId="50487614" w14:textId="60C28B88" w:rsidR="00C3384E" w:rsidRPr="00357AF5" w:rsidRDefault="00D31CFA" w:rsidP="00357AF5">
      <w:r w:rsidRPr="000129EE">
        <w:tab/>
      </w:r>
      <w:r w:rsidR="00D93B41">
        <w:t xml:space="preserve">WHEREAS, on January 12, 2021, </w:t>
      </w:r>
      <w:r w:rsidR="00C3384E" w:rsidRPr="00214812">
        <w:t>at a duly noticed continued public hearing on the Appeal, the Board heard and considered all evidence and</w:t>
      </w:r>
      <w:r w:rsidR="00710B3D" w:rsidRPr="00214812">
        <w:t xml:space="preserve"> testimony regarding the Appeal.</w:t>
      </w:r>
      <w:r w:rsidR="00EA4096" w:rsidRPr="00214812">
        <w:t xml:space="preserve"> </w:t>
      </w:r>
      <w:r w:rsidR="00323008">
        <w:t xml:space="preserve"> </w:t>
      </w:r>
      <w:r w:rsidR="00710B3D" w:rsidRPr="00214812">
        <w:t xml:space="preserve">The </w:t>
      </w:r>
      <w:r w:rsidR="00125B07" w:rsidRPr="00214812">
        <w:t xml:space="preserve">Board closed the public hearing and adopted a motion of intent </w:t>
      </w:r>
      <w:r w:rsidR="00125B07" w:rsidRPr="00D93B41">
        <w:t>to:</w:t>
      </w:r>
      <w:r w:rsidR="00A202D7" w:rsidRPr="00A202D7">
        <w:t xml:space="preserve"> </w:t>
      </w:r>
      <w:r w:rsidR="00A202D7">
        <w:t>(1</w:t>
      </w:r>
      <w:r w:rsidR="00A202D7" w:rsidRPr="00D93B41">
        <w:t xml:space="preserve">) </w:t>
      </w:r>
      <w:r w:rsidR="00A202D7">
        <w:t>uphold the Appeal;</w:t>
      </w:r>
      <w:r w:rsidR="00125B07" w:rsidRPr="00D93B41">
        <w:t xml:space="preserve"> </w:t>
      </w:r>
      <w:r w:rsidR="00A202D7">
        <w:t>(2</w:t>
      </w:r>
      <w:r w:rsidR="00125B07" w:rsidRPr="00D93B41">
        <w:t>)</w:t>
      </w:r>
      <w:r w:rsidR="00D93B41" w:rsidRPr="00D93B41">
        <w:t xml:space="preserve"> reverse the Planning Commission’s decision;</w:t>
      </w:r>
      <w:r w:rsidR="00A202D7">
        <w:t xml:space="preserve"> </w:t>
      </w:r>
      <w:r w:rsidR="00D93B41" w:rsidRPr="00D93B41">
        <w:t xml:space="preserve">and (3) approve the Project and Use Permit No. P19-00303 subject to Revised Conditions of </w:t>
      </w:r>
      <w:r w:rsidR="00357AF5">
        <w:t>Approval.  The Boar</w:t>
      </w:r>
      <w:r w:rsidR="00364D8D">
        <w:t>d</w:t>
      </w:r>
      <w:r w:rsidR="00357AF5">
        <w:t xml:space="preserve"> </w:t>
      </w:r>
      <w:r w:rsidR="00C3384E" w:rsidRPr="00F90953">
        <w:rPr>
          <w:szCs w:val="22"/>
        </w:rPr>
        <w:t xml:space="preserve">further directed County Counsel to prepare a resolution containing Findings of Fact and Decision on Appeal in support of its proposed decision </w:t>
      </w:r>
      <w:r w:rsidR="00C3384E" w:rsidRPr="00357AF5">
        <w:rPr>
          <w:szCs w:val="22"/>
        </w:rPr>
        <w:t>to present those findings to the Board for consideration at its meeting on</w:t>
      </w:r>
      <w:r w:rsidR="00357AF5">
        <w:rPr>
          <w:szCs w:val="22"/>
        </w:rPr>
        <w:t xml:space="preserve"> January 26, 2021</w:t>
      </w:r>
      <w:r w:rsidR="00C3384E" w:rsidRPr="00357AF5">
        <w:rPr>
          <w:szCs w:val="22"/>
        </w:rPr>
        <w:t>;</w:t>
      </w:r>
      <w:r w:rsidR="00CE755C" w:rsidRPr="00357AF5">
        <w:rPr>
          <w:szCs w:val="22"/>
        </w:rPr>
        <w:t xml:space="preserve"> and</w:t>
      </w:r>
    </w:p>
    <w:p w14:paraId="06E6C259" w14:textId="77777777" w:rsidR="00CE755C" w:rsidRPr="00F90953" w:rsidRDefault="00F41371" w:rsidP="00CA5D07">
      <w:pPr>
        <w:ind w:firstLine="720"/>
        <w:rPr>
          <w:szCs w:val="22"/>
        </w:rPr>
      </w:pPr>
      <w:r>
        <w:rPr>
          <w:szCs w:val="22"/>
        </w:rPr>
        <w:t xml:space="preserve"> </w:t>
      </w:r>
    </w:p>
    <w:p w14:paraId="5DBA8514" w14:textId="49A1A728" w:rsidR="00D07475" w:rsidRPr="00F90953" w:rsidRDefault="00A2388C" w:rsidP="00D175D9">
      <w:pPr>
        <w:autoSpaceDE w:val="0"/>
        <w:autoSpaceDN w:val="0"/>
        <w:adjustRightInd w:val="0"/>
        <w:ind w:firstLine="720"/>
        <w:rPr>
          <w:rFonts w:eastAsia="Calibri"/>
          <w:szCs w:val="23"/>
        </w:rPr>
      </w:pPr>
      <w:r w:rsidRPr="00F90953">
        <w:rPr>
          <w:rFonts w:eastAsia="Calibri"/>
          <w:szCs w:val="23"/>
        </w:rPr>
        <w:t>WHEREAS, on</w:t>
      </w:r>
      <w:r w:rsidR="00357AF5">
        <w:rPr>
          <w:rFonts w:eastAsia="Calibri"/>
          <w:szCs w:val="23"/>
        </w:rPr>
        <w:t xml:space="preserve"> January 26, 2021</w:t>
      </w:r>
      <w:r w:rsidR="006A164A">
        <w:rPr>
          <w:rFonts w:eastAsia="Calibri"/>
          <w:szCs w:val="23"/>
        </w:rPr>
        <w:t xml:space="preserve">, this </w:t>
      </w:r>
      <w:r w:rsidR="00D07475" w:rsidRPr="00F90953">
        <w:rPr>
          <w:rFonts w:eastAsia="Calibri"/>
          <w:szCs w:val="23"/>
        </w:rPr>
        <w:t xml:space="preserve">proposed resolution containing the Findings of Fact and Decision on Appeal was presented to the Board for possible adoption; and </w:t>
      </w:r>
    </w:p>
    <w:p w14:paraId="57904BAC" w14:textId="77777777" w:rsidR="00D07475" w:rsidRPr="00F90953" w:rsidRDefault="00D07475" w:rsidP="00D175D9">
      <w:pPr>
        <w:autoSpaceDE w:val="0"/>
        <w:autoSpaceDN w:val="0"/>
        <w:adjustRightInd w:val="0"/>
        <w:ind w:firstLine="720"/>
        <w:rPr>
          <w:rFonts w:eastAsia="Calibri"/>
          <w:szCs w:val="23"/>
        </w:rPr>
      </w:pPr>
    </w:p>
    <w:p w14:paraId="55B3E58B" w14:textId="79A5010B" w:rsidR="00D07475" w:rsidRPr="007B502D" w:rsidRDefault="00D07475" w:rsidP="00D175D9">
      <w:pPr>
        <w:autoSpaceDE w:val="0"/>
        <w:autoSpaceDN w:val="0"/>
        <w:adjustRightInd w:val="0"/>
        <w:ind w:firstLine="720"/>
        <w:rPr>
          <w:rFonts w:eastAsia="Calibri"/>
          <w:szCs w:val="23"/>
        </w:rPr>
      </w:pPr>
      <w:r w:rsidRPr="00F90953">
        <w:rPr>
          <w:rFonts w:eastAsia="Calibri"/>
          <w:szCs w:val="23"/>
        </w:rPr>
        <w:t xml:space="preserve">WHEREAS, this proposed resolution containing the Findings of Fact and Decision on Appeal having been presented to the Board for possible adoption at a regular meeting of the </w:t>
      </w:r>
      <w:r w:rsidRPr="00F90953">
        <w:rPr>
          <w:rFonts w:eastAsia="Calibri"/>
          <w:szCs w:val="23"/>
        </w:rPr>
        <w:lastRenderedPageBreak/>
        <w:t>Board on</w:t>
      </w:r>
      <w:r w:rsidR="00F41371">
        <w:rPr>
          <w:rFonts w:eastAsia="Calibri"/>
          <w:szCs w:val="23"/>
        </w:rPr>
        <w:t xml:space="preserve"> </w:t>
      </w:r>
      <w:r w:rsidR="00357AF5" w:rsidRPr="00357AF5">
        <w:rPr>
          <w:rFonts w:eastAsia="Calibri"/>
          <w:szCs w:val="23"/>
        </w:rPr>
        <w:t>January 26</w:t>
      </w:r>
      <w:r w:rsidR="00323008">
        <w:rPr>
          <w:rFonts w:eastAsia="Calibri"/>
          <w:szCs w:val="23"/>
        </w:rPr>
        <w:t>,</w:t>
      </w:r>
      <w:r w:rsidR="00F41371" w:rsidRPr="00357AF5">
        <w:rPr>
          <w:rFonts w:eastAsia="Calibri"/>
          <w:szCs w:val="23"/>
        </w:rPr>
        <w:t xml:space="preserve"> 2021</w:t>
      </w:r>
      <w:r w:rsidRPr="00357AF5">
        <w:rPr>
          <w:rFonts w:eastAsia="Calibri"/>
          <w:szCs w:val="23"/>
        </w:rPr>
        <w:t>, and interested</w:t>
      </w:r>
      <w:r w:rsidRPr="00F90953">
        <w:rPr>
          <w:rFonts w:eastAsia="Calibri"/>
          <w:szCs w:val="23"/>
        </w:rPr>
        <w:t xml:space="preserve"> persons having been given an opportunity to address the Board regarding the proposed resolution;</w:t>
      </w:r>
      <w:r w:rsidRPr="007B502D">
        <w:rPr>
          <w:rFonts w:eastAsia="Calibri"/>
          <w:szCs w:val="23"/>
        </w:rPr>
        <w:t xml:space="preserve"> </w:t>
      </w:r>
    </w:p>
    <w:p w14:paraId="7179DA16" w14:textId="77777777" w:rsidR="00AA2AC1" w:rsidRPr="007B502D" w:rsidRDefault="00AA2AC1" w:rsidP="00D175D9">
      <w:pPr>
        <w:rPr>
          <w:szCs w:val="22"/>
          <w:highlight w:val="lightGray"/>
        </w:rPr>
      </w:pPr>
    </w:p>
    <w:p w14:paraId="6AB080F7" w14:textId="77777777" w:rsidR="00602475" w:rsidRPr="007B502D" w:rsidRDefault="00602475" w:rsidP="00D175D9">
      <w:pPr>
        <w:rPr>
          <w:szCs w:val="22"/>
        </w:rPr>
      </w:pPr>
      <w:r w:rsidRPr="007B502D">
        <w:rPr>
          <w:szCs w:val="22"/>
        </w:rPr>
        <w:tab/>
      </w:r>
      <w:r w:rsidRPr="007B502D">
        <w:rPr>
          <w:b/>
          <w:szCs w:val="22"/>
        </w:rPr>
        <w:t>NOW, THEREFORE, BE IT RESOLVED,</w:t>
      </w:r>
      <w:r w:rsidRPr="007B502D">
        <w:rPr>
          <w:szCs w:val="22"/>
        </w:rPr>
        <w:t xml:space="preserve"> that the Board of Supervisors finds, determines, concludes and decides as follows:</w:t>
      </w:r>
    </w:p>
    <w:p w14:paraId="1050710E" w14:textId="77777777" w:rsidR="00602475" w:rsidRPr="007B502D" w:rsidRDefault="00602475" w:rsidP="00D175D9">
      <w:pPr>
        <w:rPr>
          <w:szCs w:val="22"/>
        </w:rPr>
      </w:pPr>
    </w:p>
    <w:p w14:paraId="790DDA15" w14:textId="77777777" w:rsidR="00602475" w:rsidRPr="007B502D" w:rsidRDefault="00602475" w:rsidP="00D175D9">
      <w:pPr>
        <w:keepNext/>
        <w:rPr>
          <w:b/>
          <w:szCs w:val="22"/>
          <w:u w:val="single"/>
        </w:rPr>
      </w:pPr>
      <w:r w:rsidRPr="007B502D">
        <w:rPr>
          <w:b/>
          <w:szCs w:val="22"/>
          <w:u w:val="single"/>
        </w:rPr>
        <w:t>Section 1.</w:t>
      </w:r>
      <w:r w:rsidRPr="007B502D">
        <w:rPr>
          <w:b/>
          <w:szCs w:val="22"/>
        </w:rPr>
        <w:tab/>
      </w:r>
      <w:r w:rsidR="006A2D40" w:rsidRPr="007B502D">
        <w:rPr>
          <w:b/>
          <w:szCs w:val="22"/>
          <w:u w:val="single"/>
        </w:rPr>
        <w:t>Recitals</w:t>
      </w:r>
      <w:r w:rsidR="00FD7E25" w:rsidRPr="007B502D">
        <w:rPr>
          <w:b/>
          <w:szCs w:val="22"/>
          <w:u w:val="single"/>
        </w:rPr>
        <w:t>.</w:t>
      </w:r>
    </w:p>
    <w:p w14:paraId="23745A15" w14:textId="77777777" w:rsidR="00602475" w:rsidRPr="007B502D" w:rsidRDefault="00602475" w:rsidP="00D175D9">
      <w:pPr>
        <w:keepNext/>
        <w:rPr>
          <w:b/>
          <w:szCs w:val="22"/>
          <w:u w:val="single"/>
        </w:rPr>
      </w:pPr>
    </w:p>
    <w:p w14:paraId="41B0943F" w14:textId="5F9F077A" w:rsidR="00602475" w:rsidRPr="007B502D" w:rsidRDefault="0039601F" w:rsidP="004E2986">
      <w:pPr>
        <w:rPr>
          <w:szCs w:val="22"/>
        </w:rPr>
      </w:pPr>
      <w:r>
        <w:rPr>
          <w:szCs w:val="22"/>
        </w:rPr>
        <w:tab/>
        <w:t>The Board</w:t>
      </w:r>
      <w:r w:rsidR="00602475" w:rsidRPr="007B502D">
        <w:rPr>
          <w:szCs w:val="22"/>
        </w:rPr>
        <w:t xml:space="preserve"> finds and determines that the foregoing recitals are true and correct.</w:t>
      </w:r>
    </w:p>
    <w:p w14:paraId="2E340CB4" w14:textId="77777777" w:rsidR="00EA0D72" w:rsidRPr="007B502D" w:rsidRDefault="00EA0D72" w:rsidP="004E2986">
      <w:pPr>
        <w:rPr>
          <w:b/>
          <w:szCs w:val="22"/>
        </w:rPr>
      </w:pPr>
    </w:p>
    <w:p w14:paraId="1DD82ABD" w14:textId="77777777" w:rsidR="00EA0D72" w:rsidRPr="007B502D" w:rsidRDefault="00EA0D72" w:rsidP="004E2986">
      <w:pPr>
        <w:keepNext/>
        <w:rPr>
          <w:b/>
          <w:szCs w:val="22"/>
          <w:u w:val="single"/>
        </w:rPr>
      </w:pPr>
      <w:r w:rsidRPr="007B502D">
        <w:rPr>
          <w:b/>
          <w:szCs w:val="22"/>
          <w:u w:val="single"/>
        </w:rPr>
        <w:t>Section 2.</w:t>
      </w:r>
      <w:r w:rsidRPr="007B502D">
        <w:rPr>
          <w:b/>
          <w:szCs w:val="22"/>
        </w:rPr>
        <w:tab/>
      </w:r>
      <w:r w:rsidRPr="007B502D">
        <w:rPr>
          <w:b/>
          <w:szCs w:val="22"/>
          <w:u w:val="single"/>
        </w:rPr>
        <w:t>Conduct of Appeal.</w:t>
      </w:r>
    </w:p>
    <w:p w14:paraId="08EC43DE" w14:textId="77777777" w:rsidR="00EA0D72" w:rsidRDefault="00EA0D72" w:rsidP="004E2986">
      <w:pPr>
        <w:keepNext/>
        <w:rPr>
          <w:b/>
          <w:szCs w:val="22"/>
          <w:highlight w:val="lightGray"/>
          <w:u w:val="single"/>
        </w:rPr>
      </w:pPr>
    </w:p>
    <w:p w14:paraId="6AF45FC2" w14:textId="755695B6" w:rsidR="00357AF5" w:rsidRPr="007B502D" w:rsidRDefault="00357AF5" w:rsidP="00357AF5">
      <w:pPr>
        <w:ind w:firstLine="720"/>
        <w:rPr>
          <w:szCs w:val="22"/>
        </w:rPr>
      </w:pPr>
      <w:r w:rsidRPr="007B502D">
        <w:rPr>
          <w:szCs w:val="22"/>
        </w:rPr>
        <w:t>A.</w:t>
      </w:r>
      <w:r w:rsidRPr="007B502D">
        <w:rPr>
          <w:szCs w:val="22"/>
        </w:rPr>
        <w:tab/>
      </w:r>
      <w:r>
        <w:rPr>
          <w:szCs w:val="22"/>
        </w:rPr>
        <w:t xml:space="preserve">NCC </w:t>
      </w:r>
      <w:r w:rsidRPr="007B502D">
        <w:rPr>
          <w:szCs w:val="22"/>
        </w:rPr>
        <w:t>Section 2.88.090(B) provides that if the hearing before the approving authority was recorded electronically or by a certified court reporter then upon request by the appellant or any interested party and upon a showing of good cause, the Board may permit additional evidence to be presented which could have been presented at the time of the decision appealed from was made but was not</w:t>
      </w:r>
      <w:r>
        <w:rPr>
          <w:szCs w:val="22"/>
        </w:rPr>
        <w:t xml:space="preserve"> presented</w:t>
      </w:r>
      <w:r w:rsidRPr="007B502D">
        <w:rPr>
          <w:szCs w:val="22"/>
        </w:rPr>
        <w:t>.  Here, the</w:t>
      </w:r>
      <w:r>
        <w:rPr>
          <w:szCs w:val="22"/>
        </w:rPr>
        <w:t xml:space="preserve"> Planning Commission proceeding was</w:t>
      </w:r>
      <w:r w:rsidRPr="007B502D">
        <w:rPr>
          <w:szCs w:val="22"/>
        </w:rPr>
        <w:t xml:space="preserve"> recorde</w:t>
      </w:r>
      <w:r>
        <w:rPr>
          <w:szCs w:val="22"/>
        </w:rPr>
        <w:t>d electronically and a transcript</w:t>
      </w:r>
      <w:r w:rsidR="001B083A">
        <w:rPr>
          <w:szCs w:val="22"/>
        </w:rPr>
        <w:t xml:space="preserve"> of the </w:t>
      </w:r>
      <w:r>
        <w:rPr>
          <w:szCs w:val="22"/>
        </w:rPr>
        <w:t>proceeding was</w:t>
      </w:r>
      <w:r w:rsidRPr="007B502D">
        <w:rPr>
          <w:szCs w:val="22"/>
        </w:rPr>
        <w:t xml:space="preserve"> provided to the Board.</w:t>
      </w:r>
    </w:p>
    <w:p w14:paraId="3C0A7396" w14:textId="77777777" w:rsidR="00357AF5" w:rsidRPr="007B502D" w:rsidRDefault="00357AF5" w:rsidP="00357AF5">
      <w:pPr>
        <w:ind w:firstLine="720"/>
        <w:rPr>
          <w:highlight w:val="lightGray"/>
        </w:rPr>
      </w:pPr>
    </w:p>
    <w:p w14:paraId="780120B9" w14:textId="77777777" w:rsidR="00357AF5" w:rsidRPr="00357AF5" w:rsidRDefault="00357AF5" w:rsidP="0002441B">
      <w:pPr>
        <w:autoSpaceDE w:val="0"/>
        <w:autoSpaceDN w:val="0"/>
        <w:adjustRightInd w:val="0"/>
        <w:ind w:firstLine="720"/>
        <w:rPr>
          <w:rFonts w:eastAsiaTheme="minorHAnsi"/>
          <w:color w:val="231F20"/>
        </w:rPr>
      </w:pPr>
      <w:r w:rsidRPr="007B502D">
        <w:t xml:space="preserve">B. </w:t>
      </w:r>
      <w:r w:rsidRPr="007B502D">
        <w:rPr>
          <w:rFonts w:eastAsiaTheme="minorHAnsi"/>
          <w:color w:val="231F20"/>
        </w:rPr>
        <w:tab/>
      </w:r>
      <w:r>
        <w:rPr>
          <w:rFonts w:eastAsiaTheme="minorHAnsi"/>
          <w:color w:val="231F20"/>
        </w:rPr>
        <w:t xml:space="preserve">The Appellant did not request </w:t>
      </w:r>
      <w:r w:rsidR="0002441B">
        <w:rPr>
          <w:rFonts w:eastAsiaTheme="minorHAnsi"/>
          <w:color w:val="231F20"/>
        </w:rPr>
        <w:t xml:space="preserve">augmentation of the </w:t>
      </w:r>
      <w:r>
        <w:rPr>
          <w:rFonts w:eastAsiaTheme="minorHAnsi"/>
          <w:color w:val="231F20"/>
        </w:rPr>
        <w:t>Planning Commission rec</w:t>
      </w:r>
      <w:r w:rsidR="0002441B">
        <w:rPr>
          <w:rFonts w:eastAsiaTheme="minorHAnsi"/>
          <w:color w:val="231F20"/>
        </w:rPr>
        <w:t xml:space="preserve">ord of proceedings </w:t>
      </w:r>
      <w:r>
        <w:rPr>
          <w:rFonts w:eastAsiaTheme="minorHAnsi"/>
          <w:color w:val="231F20"/>
        </w:rPr>
        <w:t>with new evidence or that the Board hear the Project de novo.</w:t>
      </w:r>
      <w:r w:rsidRPr="007B502D">
        <w:rPr>
          <w:rFonts w:eastAsiaTheme="minorHAnsi"/>
          <w:color w:val="231F20"/>
        </w:rPr>
        <w:t xml:space="preserve">  </w:t>
      </w:r>
      <w:r>
        <w:rPr>
          <w:rFonts w:eastAsiaTheme="minorHAnsi"/>
          <w:color w:val="231F20"/>
        </w:rPr>
        <w:t xml:space="preserve">As such, </w:t>
      </w:r>
      <w:r w:rsidRPr="007B502D">
        <w:rPr>
          <w:rFonts w:eastAsiaTheme="minorHAnsi"/>
          <w:color w:val="231F20"/>
        </w:rPr>
        <w:t xml:space="preserve">no new evidence </w:t>
      </w:r>
      <w:r>
        <w:rPr>
          <w:rFonts w:eastAsiaTheme="minorHAnsi"/>
          <w:color w:val="231F20"/>
        </w:rPr>
        <w:t>was</w:t>
      </w:r>
      <w:r w:rsidRPr="007B502D">
        <w:rPr>
          <w:rFonts w:eastAsiaTheme="minorHAnsi"/>
          <w:color w:val="231F20"/>
        </w:rPr>
        <w:t xml:space="preserve"> allowed or considered by the Board in connection with the Appeal.</w:t>
      </w:r>
    </w:p>
    <w:p w14:paraId="5E51543D" w14:textId="77777777" w:rsidR="00CA5D07" w:rsidRPr="007B502D" w:rsidRDefault="00CA5D07" w:rsidP="004E2986">
      <w:pPr>
        <w:ind w:firstLine="720"/>
      </w:pPr>
    </w:p>
    <w:p w14:paraId="71198BE3" w14:textId="77777777" w:rsidR="00F00905" w:rsidRPr="007B502D" w:rsidRDefault="00F00905" w:rsidP="004E2986">
      <w:pPr>
        <w:keepNext/>
        <w:ind w:left="1440" w:hanging="1440"/>
        <w:rPr>
          <w:b/>
          <w:u w:val="single"/>
        </w:rPr>
      </w:pPr>
      <w:r w:rsidRPr="007B502D">
        <w:rPr>
          <w:b/>
          <w:u w:val="single"/>
        </w:rPr>
        <w:t>Section 3.</w:t>
      </w:r>
      <w:r w:rsidRPr="007B502D">
        <w:rPr>
          <w:b/>
        </w:rPr>
        <w:tab/>
      </w:r>
      <w:r w:rsidRPr="007B502D">
        <w:rPr>
          <w:b/>
          <w:u w:val="single"/>
        </w:rPr>
        <w:t>Findings of Fact and Conclusions of Law on Appeal.</w:t>
      </w:r>
    </w:p>
    <w:p w14:paraId="7C187A99" w14:textId="77777777" w:rsidR="00F00905" w:rsidRPr="007B502D" w:rsidRDefault="00F00905" w:rsidP="004E2986">
      <w:pPr>
        <w:keepNext/>
        <w:rPr>
          <w:b/>
          <w:u w:val="single"/>
        </w:rPr>
      </w:pPr>
    </w:p>
    <w:p w14:paraId="52243897" w14:textId="11525C4E" w:rsidR="007C5101" w:rsidRPr="007B502D" w:rsidRDefault="00F00905" w:rsidP="004E2986">
      <w:r w:rsidRPr="007B502D">
        <w:tab/>
      </w:r>
      <w:r w:rsidR="0039601F">
        <w:t xml:space="preserve">The Board </w:t>
      </w:r>
      <w:r w:rsidR="007C5101" w:rsidRPr="007B502D">
        <w:t>makes the following findings of fact and conclusions of law in regard to each of the grounds for appeal as stated by Appellant</w:t>
      </w:r>
      <w:r w:rsidR="00824761">
        <w:t xml:space="preserve"> </w:t>
      </w:r>
      <w:r w:rsidR="00862FB2" w:rsidRPr="007B502D">
        <w:t xml:space="preserve">in the </w:t>
      </w:r>
      <w:r w:rsidR="007C5101" w:rsidRPr="007B502D">
        <w:t>Appeal</w:t>
      </w:r>
      <w:r w:rsidR="007C5101" w:rsidRPr="007B502D">
        <w:rPr>
          <w:vertAlign w:val="superscript"/>
        </w:rPr>
        <w:footnoteReference w:id="2"/>
      </w:r>
      <w:r w:rsidR="007C5101" w:rsidRPr="007B502D">
        <w:t>:</w:t>
      </w:r>
    </w:p>
    <w:p w14:paraId="529BE02E" w14:textId="77777777" w:rsidR="00F00905" w:rsidRPr="007B502D" w:rsidRDefault="00F00905" w:rsidP="004E2986"/>
    <w:p w14:paraId="40F4310F" w14:textId="77777777" w:rsidR="00E827C1" w:rsidRPr="007B502D" w:rsidRDefault="00E827C1" w:rsidP="004E2986">
      <w:pPr>
        <w:keepNext/>
        <w:rPr>
          <w:b/>
        </w:rPr>
      </w:pPr>
      <w:r w:rsidRPr="007B502D">
        <w:rPr>
          <w:b/>
        </w:rPr>
        <w:t>A.</w:t>
      </w:r>
      <w:r w:rsidRPr="007B502D">
        <w:rPr>
          <w:b/>
        </w:rPr>
        <w:tab/>
        <w:t>First Ground of Appeal.</w:t>
      </w:r>
    </w:p>
    <w:p w14:paraId="730AD8F3" w14:textId="77777777" w:rsidR="00E827C1" w:rsidRPr="007B502D" w:rsidRDefault="00E827C1" w:rsidP="004E2986">
      <w:pPr>
        <w:keepNext/>
        <w:rPr>
          <w:u w:val="single"/>
        </w:rPr>
      </w:pPr>
    </w:p>
    <w:p w14:paraId="0231CD94" w14:textId="68DDD481" w:rsidR="00B50B6C" w:rsidRDefault="00E827C1" w:rsidP="004E2986">
      <w:r w:rsidRPr="007B502D">
        <w:rPr>
          <w:b/>
        </w:rPr>
        <w:tab/>
      </w:r>
      <w:r w:rsidR="004741F4" w:rsidRPr="007B502D">
        <w:rPr>
          <w:b/>
          <w:u w:val="single"/>
        </w:rPr>
        <w:t>Appellant</w:t>
      </w:r>
      <w:r w:rsidR="00984213">
        <w:rPr>
          <w:b/>
          <w:u w:val="single"/>
        </w:rPr>
        <w:t>’s</w:t>
      </w:r>
      <w:r w:rsidRPr="007B502D">
        <w:rPr>
          <w:b/>
          <w:u w:val="single"/>
        </w:rPr>
        <w:t xml:space="preserve"> Position</w:t>
      </w:r>
      <w:r w:rsidRPr="00031982">
        <w:rPr>
          <w:b/>
          <w:u w:val="single"/>
        </w:rPr>
        <w:t>:</w:t>
      </w:r>
      <w:r w:rsidRPr="007B502D">
        <w:rPr>
          <w:b/>
        </w:rPr>
        <w:t xml:space="preserve">  </w:t>
      </w:r>
      <w:r w:rsidR="007E0D3F" w:rsidRPr="001E2A5A">
        <w:t>Appellant asserts that the Planning Commission abused its discretion by deciding that the zoning ordinance is inconsistent with the County's General Plan, and that balloon launchings should not be permitted, as a rule, in the Agricultural Preserve. Appellant claims that the Board of Supervisors determined in 2006 that Ordinance No. 1276 was consistent with the General Plan and remained consistent with the General Plan update in 2008. Appellant further asserts that the Board made a decision that balloon launching would be permitted in the Agricultural Preserve under very exacting standards.</w:t>
      </w:r>
    </w:p>
    <w:p w14:paraId="4BA85E70" w14:textId="77777777" w:rsidR="009D0644" w:rsidRDefault="009D0644" w:rsidP="004E2986">
      <w:pPr>
        <w:keepNext/>
        <w:rPr>
          <w:b/>
        </w:rPr>
      </w:pPr>
    </w:p>
    <w:p w14:paraId="153BC6F5" w14:textId="77777777" w:rsidR="00E827C1" w:rsidRPr="007B502D" w:rsidRDefault="00E827C1" w:rsidP="008956DF">
      <w:pPr>
        <w:keepNext/>
        <w:ind w:firstLine="720"/>
      </w:pPr>
      <w:r w:rsidRPr="007B502D">
        <w:rPr>
          <w:b/>
          <w:u w:val="single"/>
        </w:rPr>
        <w:t>Findings and Decision</w:t>
      </w:r>
      <w:r w:rsidRPr="00031982">
        <w:rPr>
          <w:b/>
          <w:u w:val="single"/>
        </w:rPr>
        <w:t>:</w:t>
      </w:r>
      <w:r w:rsidRPr="007B502D">
        <w:rPr>
          <w:b/>
        </w:rPr>
        <w:t xml:space="preserve">  </w:t>
      </w:r>
      <w:r w:rsidR="004741F4" w:rsidRPr="007B502D">
        <w:t>The Board finds and determines as follows:</w:t>
      </w:r>
    </w:p>
    <w:p w14:paraId="314C6E6F" w14:textId="77777777" w:rsidR="00C44D98" w:rsidRDefault="00C44D98" w:rsidP="008956DF">
      <w:pPr>
        <w:keepNext/>
      </w:pPr>
    </w:p>
    <w:p w14:paraId="5C357276" w14:textId="1A36BA5D" w:rsidR="00085818" w:rsidRDefault="00E67C6E" w:rsidP="008956DF">
      <w:pPr>
        <w:ind w:firstLine="720"/>
      </w:pPr>
      <w:r w:rsidRPr="00E67C6E">
        <w:t>The Planning Commission</w:t>
      </w:r>
      <w:r>
        <w:t xml:space="preserve"> did not abuse its discretion.  </w:t>
      </w:r>
      <w:r w:rsidR="00323008">
        <w:t>The Planning Commission’s</w:t>
      </w:r>
      <w:r w:rsidR="007E0D3F">
        <w:t xml:space="preserve"> finding of General Plan inconsistency applied to the specific Project before it rather than </w:t>
      </w:r>
      <w:r w:rsidR="000A096E">
        <w:t xml:space="preserve">the underlying zoning ordinance.  </w:t>
      </w:r>
      <w:r w:rsidR="009D0644">
        <w:t xml:space="preserve">As described in </w:t>
      </w:r>
      <w:r w:rsidR="00323008">
        <w:t xml:space="preserve">Planning Commission </w:t>
      </w:r>
      <w:r w:rsidR="009D0644">
        <w:t>Resolution No. 2020-01, t</w:t>
      </w:r>
      <w:r w:rsidR="000A096E">
        <w:t>he Planning Com</w:t>
      </w:r>
      <w:r w:rsidR="00F610E9">
        <w:t>m</w:t>
      </w:r>
      <w:r w:rsidR="009D0644">
        <w:t>ission</w:t>
      </w:r>
      <w:r w:rsidR="00B43389">
        <w:t xml:space="preserve"> interpreted</w:t>
      </w:r>
      <w:r w:rsidR="00597DB3">
        <w:t xml:space="preserve"> General Plan Goal </w:t>
      </w:r>
      <w:r w:rsidR="00F610E9" w:rsidRPr="00F610E9">
        <w:t>AG/LU-1</w:t>
      </w:r>
      <w:r w:rsidR="000F63DB">
        <w:rPr>
          <w:rStyle w:val="FootnoteReference"/>
        </w:rPr>
        <w:footnoteReference w:id="3"/>
      </w:r>
      <w:r w:rsidR="000F63DB">
        <w:t xml:space="preserve"> and Policies AG/LU- 4</w:t>
      </w:r>
      <w:r w:rsidR="000F63DB">
        <w:rPr>
          <w:rStyle w:val="FootnoteReference"/>
        </w:rPr>
        <w:footnoteReference w:id="4"/>
      </w:r>
      <w:r w:rsidR="00F610E9">
        <w:t xml:space="preserve"> and AG/LU-12</w:t>
      </w:r>
      <w:r w:rsidR="000F63DB">
        <w:rPr>
          <w:rStyle w:val="FootnoteReference"/>
        </w:rPr>
        <w:footnoteReference w:id="5"/>
      </w:r>
      <w:r w:rsidR="00F610E9">
        <w:t xml:space="preserve"> in a </w:t>
      </w:r>
      <w:r w:rsidR="00B43389">
        <w:t>manner that resulted in a finding of inconsistency</w:t>
      </w:r>
      <w:r w:rsidR="00071D82">
        <w:t xml:space="preserve"> based on the unique features of the Project site and</w:t>
      </w:r>
      <w:r w:rsidR="001D4453">
        <w:t xml:space="preserve"> what the Commission viewed as </w:t>
      </w:r>
      <w:r w:rsidR="00071D82">
        <w:t>significant increase</w:t>
      </w:r>
      <w:r w:rsidR="00323008">
        <w:t>s</w:t>
      </w:r>
      <w:r w:rsidR="00071D82">
        <w:t xml:space="preserve"> in intensity and level of commercial activity.</w:t>
      </w:r>
      <w:r w:rsidR="001D4453">
        <w:t xml:space="preserve">  Nothing in the Resolution broadly finds or concludes that the zoning ordinance is inconsistent with the General Plan or that hot air balloon launching is an inappropriate use on all agricultural lands.</w:t>
      </w:r>
    </w:p>
    <w:p w14:paraId="0975066A" w14:textId="77777777" w:rsidR="008956DF" w:rsidRDefault="008956DF" w:rsidP="008956DF">
      <w:pPr>
        <w:ind w:firstLine="720"/>
      </w:pPr>
    </w:p>
    <w:p w14:paraId="6983D969" w14:textId="50578C24" w:rsidR="00AE3EEB" w:rsidRPr="007B502D" w:rsidRDefault="00AE3EEB" w:rsidP="008956DF">
      <w:pPr>
        <w:ind w:firstLine="720"/>
      </w:pPr>
      <w:r w:rsidRPr="007B502D">
        <w:t>The Napa County Board of Supervisors is the local government body charged by law with interpreting the County’s land use policies and rendering the final determination on a project’s consistency or lack thereof with those land use policies.</w:t>
      </w:r>
      <w:r w:rsidRPr="007B502D">
        <w:rPr>
          <w:rStyle w:val="FootnoteReference"/>
        </w:rPr>
        <w:footnoteReference w:id="6"/>
      </w:r>
      <w:r w:rsidRPr="007B502D">
        <w:t xml:space="preserve">  Further, the Board has significant discretion in interpreting the County’s land use policies.  The courts’ review of a county’s interpretation of its general plan policies is highly deferential because </w:t>
      </w:r>
      <w:r>
        <w:t>“</w:t>
      </w:r>
      <w:r w:rsidRPr="007B502D">
        <w:t>policies in a general plan reflect a range of competing interests</w:t>
      </w:r>
      <w:r>
        <w:t>”</w:t>
      </w:r>
      <w:r w:rsidRPr="007B502D">
        <w:t xml:space="preserve"> </w:t>
      </w:r>
      <w:r w:rsidR="00E25754">
        <w:t>and</w:t>
      </w:r>
      <w:r w:rsidR="00E25754" w:rsidRPr="007B502D">
        <w:t xml:space="preserve"> </w:t>
      </w:r>
      <w:r w:rsidRPr="007B502D">
        <w:t xml:space="preserve">the agency’s decision-making body </w:t>
      </w:r>
      <w:r>
        <w:t>“</w:t>
      </w:r>
      <w:r w:rsidRPr="007B502D">
        <w:t>must be allowed to weigh and balance the plan’s policies when applying them, and it has broad discretion to construe its policies in light of the plan’s purpose.</w:t>
      </w:r>
      <w:r>
        <w:t>”</w:t>
      </w:r>
      <w:r w:rsidRPr="007B502D">
        <w:rPr>
          <w:rStyle w:val="FootnoteReference"/>
        </w:rPr>
        <w:footnoteReference w:id="7"/>
      </w:r>
    </w:p>
    <w:p w14:paraId="0238873C" w14:textId="77777777" w:rsidR="00AE3EEB" w:rsidRPr="007B502D" w:rsidRDefault="00AE3EEB" w:rsidP="008956DF">
      <w:pPr>
        <w:ind w:firstLine="720"/>
      </w:pPr>
    </w:p>
    <w:p w14:paraId="4DA8C676" w14:textId="77777777" w:rsidR="00AE3EEB" w:rsidRPr="007B502D" w:rsidRDefault="00AE3EEB" w:rsidP="008956DF">
      <w:pPr>
        <w:ind w:firstLine="720"/>
      </w:pPr>
      <w:r w:rsidRPr="007B502D">
        <w:t xml:space="preserve">The rule of general plan consistency is that the project must at least be </w:t>
      </w:r>
      <w:r w:rsidRPr="007B502D">
        <w:rPr>
          <w:i/>
          <w:iCs/>
        </w:rPr>
        <w:t>compatible with</w:t>
      </w:r>
      <w:r w:rsidRPr="007B502D">
        <w:t xml:space="preserve"> the objectives and policies of the general plan.</w:t>
      </w:r>
      <w:r w:rsidRPr="007B502D">
        <w:rPr>
          <w:rStyle w:val="FootnoteReference"/>
        </w:rPr>
        <w:footnoteReference w:id="8"/>
      </w:r>
      <w:r w:rsidRPr="007B502D">
        <w:t xml:space="preserve">  </w:t>
      </w:r>
      <w:r>
        <w:t>“</w:t>
      </w:r>
      <w:r w:rsidRPr="007B502D">
        <w:t>[S]</w:t>
      </w:r>
      <w:proofErr w:type="spellStart"/>
      <w:r w:rsidRPr="007B502D">
        <w:t>tate</w:t>
      </w:r>
      <w:proofErr w:type="spellEnd"/>
      <w:r w:rsidRPr="007B502D">
        <w:t xml:space="preserve"> law does not require </w:t>
      </w:r>
      <w:r>
        <w:t>perfect</w:t>
      </w:r>
      <w:r w:rsidRPr="007B502D">
        <w:t xml:space="preserve"> conformity </w:t>
      </w:r>
      <w:r>
        <w:t xml:space="preserve">between </w:t>
      </w:r>
      <w:r w:rsidRPr="007B502D">
        <w:t>a proposed project</w:t>
      </w:r>
      <w:r>
        <w:t xml:space="preserve"> and</w:t>
      </w:r>
      <w:r w:rsidRPr="007B502D">
        <w:t xml:space="preserve"> the </w:t>
      </w:r>
      <w:r>
        <w:t>applicable general plan”</w:t>
      </w:r>
      <w:r w:rsidRPr="007B502D">
        <w:t xml:space="preserve"> for a site, or an exact match between the project and the applicable general plan. [Citations.] Instead, a finding of consistency requires only that the proposed project be ‘</w:t>
      </w:r>
      <w:r w:rsidRPr="007B502D">
        <w:rPr>
          <w:i/>
          <w:iCs/>
        </w:rPr>
        <w:t>compatible</w:t>
      </w:r>
      <w:r w:rsidRPr="007B502D">
        <w:t xml:space="preserve"> with the objectives, policies, general land uses, and programs specified in’ the applicable plan. [Citation.] </w:t>
      </w:r>
      <w:r>
        <w:t>“</w:t>
      </w:r>
      <w:r w:rsidRPr="007B502D">
        <w:t>The courts have interpreted this provision as requiring that a project be ‘in agreement or harmony with</w:t>
      </w:r>
      <w:r>
        <w:t>’</w:t>
      </w:r>
      <w:r w:rsidRPr="007B502D">
        <w:t xml:space="preserve"> the terms of the applicable plan, not in rigid conformity with every detail thereof.</w:t>
      </w:r>
      <w:r>
        <w:t>”</w:t>
      </w:r>
      <w:r w:rsidRPr="007B502D">
        <w:rPr>
          <w:rStyle w:val="FootnoteReference"/>
        </w:rPr>
        <w:footnoteReference w:id="9"/>
      </w:r>
      <w:r w:rsidRPr="007B502D">
        <w:t xml:space="preserve">  To reiterate, the essential question is </w:t>
      </w:r>
      <w:r>
        <w:t>“</w:t>
      </w:r>
      <w:r w:rsidRPr="007B502D">
        <w:t>whether the project is compatible with, and does not frustrate, the general plan’s goals and policies.</w:t>
      </w:r>
      <w:r>
        <w:t>”</w:t>
      </w:r>
      <w:r w:rsidRPr="007B502D">
        <w:rPr>
          <w:rStyle w:val="FootnoteReference"/>
        </w:rPr>
        <w:footnoteReference w:id="10"/>
      </w:r>
      <w:r w:rsidRPr="007B502D">
        <w:t xml:space="preserve"> </w:t>
      </w:r>
    </w:p>
    <w:p w14:paraId="5ED28984" w14:textId="77777777" w:rsidR="00AE3EEB" w:rsidRPr="007B502D" w:rsidRDefault="00AE3EEB" w:rsidP="00AE3EEB">
      <w:pPr>
        <w:ind w:firstLine="720"/>
      </w:pPr>
    </w:p>
    <w:p w14:paraId="4DF265F8" w14:textId="7A95FBD8" w:rsidR="00AE3EEB" w:rsidRDefault="00AE3EEB" w:rsidP="00AE3EEB">
      <w:pPr>
        <w:ind w:firstLine="720"/>
      </w:pPr>
      <w:r w:rsidRPr="007B502D">
        <w:t>Judicial review of consistency findings is highly deferential to the local agency.</w:t>
      </w:r>
      <w:r w:rsidRPr="007B502D">
        <w:rPr>
          <w:rStyle w:val="FootnoteReference"/>
        </w:rPr>
        <w:footnoteReference w:id="11"/>
      </w:r>
      <w:r w:rsidRPr="007B502D">
        <w:t xml:space="preserve">  </w:t>
      </w:r>
      <w:r>
        <w:t>“</w:t>
      </w:r>
      <w:r w:rsidRPr="007B502D">
        <w:t>[C]</w:t>
      </w:r>
      <w:proofErr w:type="spellStart"/>
      <w:r w:rsidRPr="007B502D">
        <w:t>ourts</w:t>
      </w:r>
      <w:proofErr w:type="spellEnd"/>
      <w:r w:rsidRPr="007B502D">
        <w:t xml:space="preserve"> accord great deference to a local governmental agency’s determination of consistency with its own general plan, recognizing that ‘the body which adopted the general plan policies in its legislative capacity has unique competence to interpret those policies when applying them in its adjudicatory capacity. [Citations.] Because policies in a general plan reflect a range of competing interests, the governmental agency must be allowed to weigh and balance the plan’s policies when applying them, and it has broad discretion to construe its policies in light of the plan’s purposes. [Citations.] A reviewing court’s role </w:t>
      </w:r>
      <w:r>
        <w:t>“</w:t>
      </w:r>
      <w:r w:rsidRPr="007B502D">
        <w:t xml:space="preserve">is simply to decide whether the city officials considered the applicable policies and the extent to which the proposed project conforms </w:t>
      </w:r>
      <w:r w:rsidR="00984213" w:rsidRPr="007B502D">
        <w:t>to</w:t>
      </w:r>
      <w:r w:rsidRPr="007B502D">
        <w:t xml:space="preserve"> those policies.</w:t>
      </w:r>
      <w:r>
        <w:t>”</w:t>
      </w:r>
      <w:r w:rsidRPr="007B502D">
        <w:t xml:space="preserve"> [Citation.]’</w:t>
      </w:r>
      <w:r>
        <w:t>”</w:t>
      </w:r>
      <w:r w:rsidRPr="007B502D">
        <w:rPr>
          <w:rStyle w:val="FootnoteReference"/>
        </w:rPr>
        <w:footnoteReference w:id="12"/>
      </w:r>
    </w:p>
    <w:p w14:paraId="673EACD7" w14:textId="77777777" w:rsidR="00AE3EEB" w:rsidRDefault="00AE3EEB" w:rsidP="00AE3EEB">
      <w:pPr>
        <w:ind w:firstLine="720"/>
      </w:pPr>
    </w:p>
    <w:p w14:paraId="6A799476" w14:textId="2D80DF85" w:rsidR="00C27472" w:rsidRDefault="000A096E" w:rsidP="00444190">
      <w:pPr>
        <w:ind w:firstLine="720"/>
      </w:pPr>
      <w:r>
        <w:rPr>
          <w:rFonts w:eastAsia="Calibri"/>
        </w:rPr>
        <w:t>The Board is not bound by the Commission’s determination that the Project i</w:t>
      </w:r>
      <w:r w:rsidR="006F41AB">
        <w:rPr>
          <w:rFonts w:eastAsia="Calibri"/>
        </w:rPr>
        <w:t xml:space="preserve">s inconsistent with the </w:t>
      </w:r>
      <w:r>
        <w:rPr>
          <w:rFonts w:eastAsia="Calibri"/>
        </w:rPr>
        <w:t>General Plan</w:t>
      </w:r>
      <w:r w:rsidRPr="00C120C4">
        <w:t xml:space="preserve"> </w:t>
      </w:r>
      <w:r w:rsidR="00B43389">
        <w:t xml:space="preserve">and </w:t>
      </w:r>
      <w:r>
        <w:t>would adversely affect the public welfare</w:t>
      </w:r>
      <w:r w:rsidR="00DF56D0">
        <w:rPr>
          <w:rFonts w:eastAsia="Calibri"/>
        </w:rPr>
        <w:t xml:space="preserve">. </w:t>
      </w:r>
      <w:r w:rsidR="00AE3EEB">
        <w:rPr>
          <w:rFonts w:eastAsia="Calibri"/>
        </w:rPr>
        <w:t xml:space="preserve"> </w:t>
      </w:r>
      <w:r w:rsidR="001D4453">
        <w:rPr>
          <w:rFonts w:eastAsia="Calibri"/>
        </w:rPr>
        <w:t>A majority of the Board</w:t>
      </w:r>
      <w:r w:rsidR="00071D82">
        <w:rPr>
          <w:rFonts w:eastAsia="Calibri"/>
        </w:rPr>
        <w:t xml:space="preserve"> reasonably</w:t>
      </w:r>
      <w:r w:rsidR="00DF56D0">
        <w:rPr>
          <w:rFonts w:eastAsia="Calibri"/>
        </w:rPr>
        <w:t xml:space="preserve"> interp</w:t>
      </w:r>
      <w:r w:rsidR="00374522">
        <w:rPr>
          <w:rFonts w:eastAsia="Calibri"/>
        </w:rPr>
        <w:t xml:space="preserve">reted the </w:t>
      </w:r>
      <w:r w:rsidR="00071D82">
        <w:rPr>
          <w:rFonts w:eastAsia="Calibri"/>
        </w:rPr>
        <w:t xml:space="preserve">applicable </w:t>
      </w:r>
      <w:r w:rsidR="006F41AB">
        <w:rPr>
          <w:rFonts w:eastAsia="Calibri"/>
        </w:rPr>
        <w:t xml:space="preserve">General Plan agricultural </w:t>
      </w:r>
      <w:r w:rsidR="00071D82">
        <w:rPr>
          <w:rFonts w:eastAsia="Calibri"/>
        </w:rPr>
        <w:t xml:space="preserve">policies </w:t>
      </w:r>
      <w:r w:rsidR="00DF56D0">
        <w:rPr>
          <w:rFonts w:eastAsia="Calibri"/>
        </w:rPr>
        <w:t>in a manner similar to what Staff had recommended in the General Pla</w:t>
      </w:r>
      <w:r w:rsidR="00AE3EEB">
        <w:rPr>
          <w:rFonts w:eastAsia="Calibri"/>
        </w:rPr>
        <w:t xml:space="preserve">n Consistency Analysis </w:t>
      </w:r>
      <w:r w:rsidR="00DF56D0">
        <w:rPr>
          <w:rFonts w:eastAsia="Calibri"/>
        </w:rPr>
        <w:t>provided to the Planning Commission.</w:t>
      </w:r>
      <w:r w:rsidR="00071D82">
        <w:rPr>
          <w:rFonts w:eastAsia="Calibri"/>
        </w:rPr>
        <w:t xml:space="preserve">  The record reflects that l</w:t>
      </w:r>
      <w:r w:rsidR="00B43389" w:rsidRPr="00B43389">
        <w:rPr>
          <w:rStyle w:val="Strong"/>
          <w:b w:val="0"/>
        </w:rPr>
        <w:t>ess than half of the 2.03-acre parcel would be used for ball</w:t>
      </w:r>
      <w:r w:rsidR="0039601F">
        <w:rPr>
          <w:rStyle w:val="Strong"/>
          <w:b w:val="0"/>
        </w:rPr>
        <w:t xml:space="preserve">oon launching for up to </w:t>
      </w:r>
      <w:r w:rsidR="00B43389" w:rsidRPr="00B43389">
        <w:rPr>
          <w:rStyle w:val="Strong"/>
          <w:b w:val="0"/>
        </w:rPr>
        <w:t>three hours a day, no permanent structures or facilities would be constructed, and the Project would not remove crops or permanently convert the site (predominantly a fallow field) from agricultural use</w:t>
      </w:r>
      <w:r w:rsidR="000F63DB">
        <w:rPr>
          <w:rStyle w:val="Strong"/>
          <w:b w:val="0"/>
        </w:rPr>
        <w:t>.</w:t>
      </w:r>
      <w:r w:rsidR="00444190" w:rsidRPr="00444190">
        <w:t xml:space="preserve"> </w:t>
      </w:r>
      <w:r w:rsidR="00B77CFD">
        <w:t xml:space="preserve"> </w:t>
      </w:r>
      <w:r w:rsidR="00444190">
        <w:t>Furthermore, the addit</w:t>
      </w:r>
      <w:r w:rsidR="006F41AB">
        <w:t>i</w:t>
      </w:r>
      <w:r w:rsidR="00444190">
        <w:t xml:space="preserve">onal launch days per year is </w:t>
      </w:r>
      <w:r w:rsidR="00444190" w:rsidRPr="00F66A18">
        <w:t>not detrimental to agricu</w:t>
      </w:r>
      <w:r w:rsidR="00444190">
        <w:t xml:space="preserve">lture in general or agricultural uses adjacent to the </w:t>
      </w:r>
      <w:r w:rsidR="00444190" w:rsidRPr="00F66A18">
        <w:t>area</w:t>
      </w:r>
      <w:r w:rsidR="00444190">
        <w:t xml:space="preserve"> as evidenced </w:t>
      </w:r>
      <w:r w:rsidR="00444190" w:rsidRPr="00FA2FE2">
        <w:t>by neighboring vineyard owners</w:t>
      </w:r>
      <w:r w:rsidR="00FA2FE2" w:rsidRPr="00FA2FE2">
        <w:t xml:space="preserve"> (Rodgers Land and Development Company) </w:t>
      </w:r>
      <w:r w:rsidR="00444190" w:rsidRPr="00FA2FE2">
        <w:t xml:space="preserve">written support of the Project.  </w:t>
      </w:r>
      <w:r w:rsidR="00444190" w:rsidRPr="00FA2FE2">
        <w:rPr>
          <w:rStyle w:val="Strong"/>
          <w:b w:val="0"/>
        </w:rPr>
        <w:t>Therefore</w:t>
      </w:r>
      <w:r w:rsidR="00FA2FE2">
        <w:rPr>
          <w:rStyle w:val="Strong"/>
          <w:b w:val="0"/>
        </w:rPr>
        <w:t>,</w:t>
      </w:r>
      <w:r w:rsidR="00444190" w:rsidRPr="00FA2FE2">
        <w:rPr>
          <w:rStyle w:val="Strong"/>
          <w:b w:val="0"/>
        </w:rPr>
        <w:t xml:space="preserve"> the Project is consistent with Policies AG/LU-1 and AG/LU-4.  </w:t>
      </w:r>
      <w:r w:rsidR="003364B1">
        <w:t>The Board further recognize</w:t>
      </w:r>
      <w:r w:rsidR="00AE3EEB">
        <w:t>s</w:t>
      </w:r>
      <w:r w:rsidR="003364B1">
        <w:t xml:space="preserve"> that </w:t>
      </w:r>
      <w:r w:rsidR="00C27472">
        <w:t xml:space="preserve">while </w:t>
      </w:r>
      <w:r w:rsidR="003364B1">
        <w:t>hot air balloon launchings are not directly related</w:t>
      </w:r>
      <w:r w:rsidR="00C27472">
        <w:t xml:space="preserve"> to agriculture, they provide a means for showcasing the County’s agricultural preserve and a</w:t>
      </w:r>
      <w:r w:rsidR="00444190">
        <w:t>gricultural landscape and allow people to experience and enjoy the County's agricultural lands that are otherwise inaccessible.</w:t>
      </w:r>
    </w:p>
    <w:p w14:paraId="55416355" w14:textId="77777777" w:rsidR="00444190" w:rsidRDefault="00444190" w:rsidP="00444190">
      <w:pPr>
        <w:ind w:firstLine="720"/>
      </w:pPr>
    </w:p>
    <w:p w14:paraId="488CA65E" w14:textId="5635C89D" w:rsidR="00444190" w:rsidRPr="00444190" w:rsidRDefault="00444190" w:rsidP="00444190">
      <w:pPr>
        <w:ind w:firstLine="720"/>
      </w:pPr>
      <w:r>
        <w:t>In the use permit application, Appellant requested up to 365 launch or attempted launch days a year</w:t>
      </w:r>
      <w:r w:rsidR="0039601F">
        <w:t>, which is the maximum allowed by the ordinance code,</w:t>
      </w:r>
      <w:r>
        <w:t xml:space="preserve"> yet Appellant estimated that </w:t>
      </w:r>
      <w:r w:rsidR="00B77CFD">
        <w:t>launching</w:t>
      </w:r>
      <w:r>
        <w:t xml:space="preserve"> would likely occur approximately 229 days per year.  A </w:t>
      </w:r>
      <w:r w:rsidR="006F41AB">
        <w:t>majority of the Board considers</w:t>
      </w:r>
      <w:r>
        <w:t xml:space="preserve"> launching up to 365 days a year excessive, unlikely given the weather and seasonal variations and </w:t>
      </w:r>
      <w:r w:rsidR="00693731">
        <w:t>per the Appellant unnecessary for Appellant’s</w:t>
      </w:r>
      <w:r w:rsidR="006F41AB">
        <w:t xml:space="preserve"> </w:t>
      </w:r>
      <w:r>
        <w:t>business and economic needs</w:t>
      </w:r>
      <w:r w:rsidR="00FA2FE2">
        <w:t>.  Therefore</w:t>
      </w:r>
      <w:r w:rsidR="001B083A">
        <w:t xml:space="preserve">, the Board reduced the </w:t>
      </w:r>
      <w:r w:rsidR="00FA2FE2">
        <w:t xml:space="preserve">number of </w:t>
      </w:r>
      <w:r>
        <w:t>Appellant’</w:t>
      </w:r>
      <w:r w:rsidR="00FA2FE2">
        <w:t>s</w:t>
      </w:r>
      <w:r>
        <w:t xml:space="preserve"> launch days per year </w:t>
      </w:r>
      <w:r w:rsidR="00FA2FE2">
        <w:t>from</w:t>
      </w:r>
      <w:r>
        <w:t xml:space="preserve"> a maximum </w:t>
      </w:r>
      <w:r w:rsidR="00FA2FE2">
        <w:t>of 365 to 225</w:t>
      </w:r>
      <w:r>
        <w:t>.</w:t>
      </w:r>
      <w:r>
        <w:rPr>
          <w:rStyle w:val="Strong"/>
          <w:b w:val="0"/>
          <w:bCs w:val="0"/>
        </w:rPr>
        <w:t xml:space="preserve"> </w:t>
      </w:r>
      <w:r w:rsidR="00A8183D">
        <w:t xml:space="preserve">(See </w:t>
      </w:r>
      <w:r w:rsidR="00984213">
        <w:t>Revised COA Project Scope No. 1.1 (</w:t>
      </w:r>
      <w:r w:rsidR="00984213" w:rsidRPr="00984213">
        <w:t>a)</w:t>
      </w:r>
      <w:r w:rsidR="00984213">
        <w:t xml:space="preserve"> and COA No. 4.12 (a)</w:t>
      </w:r>
      <w:r w:rsidR="00984213" w:rsidRPr="00984213">
        <w:t>.</w:t>
      </w:r>
      <w:r w:rsidR="00A8183D" w:rsidRPr="00984213">
        <w:t>)</w:t>
      </w:r>
      <w:r>
        <w:rPr>
          <w:rStyle w:val="Strong"/>
          <w:b w:val="0"/>
          <w:bCs w:val="0"/>
        </w:rPr>
        <w:t xml:space="preserve"> </w:t>
      </w:r>
      <w:r>
        <w:t>The Board finds that the additional launch days resulting from grant of the use permit is an expansion of the existing use that is already occurring and is not a new use or of such magnitude as to render the primary use of the parcel as commercial rather than agriculture.</w:t>
      </w:r>
      <w:r w:rsidR="00A8183D">
        <w:t xml:space="preserve">  Therefore, the Project is not inconsistent with Policy AG/LU-12.</w:t>
      </w:r>
    </w:p>
    <w:p w14:paraId="56D752F7" w14:textId="77777777" w:rsidR="00E827C1" w:rsidRPr="007B502D" w:rsidRDefault="00E827C1" w:rsidP="004E2986">
      <w:pPr>
        <w:rPr>
          <w:b/>
        </w:rPr>
      </w:pPr>
    </w:p>
    <w:p w14:paraId="1D96C060" w14:textId="77777777" w:rsidR="009E7F03" w:rsidRPr="007B502D" w:rsidRDefault="009E7F03" w:rsidP="004E2986">
      <w:pPr>
        <w:keepNext/>
        <w:autoSpaceDE w:val="0"/>
        <w:autoSpaceDN w:val="0"/>
        <w:adjustRightInd w:val="0"/>
        <w:rPr>
          <w:b/>
          <w:u w:val="single"/>
        </w:rPr>
      </w:pPr>
      <w:r w:rsidRPr="007B502D">
        <w:tab/>
      </w:r>
      <w:r w:rsidRPr="007B502D">
        <w:rPr>
          <w:b/>
          <w:u w:val="single"/>
        </w:rPr>
        <w:t>Conclusions:</w:t>
      </w:r>
    </w:p>
    <w:p w14:paraId="3B5ED2E8" w14:textId="77777777" w:rsidR="009E7F03" w:rsidRPr="007B502D" w:rsidRDefault="009E7F03" w:rsidP="004E2986">
      <w:pPr>
        <w:keepNext/>
      </w:pPr>
    </w:p>
    <w:p w14:paraId="3FCDD251" w14:textId="10867434" w:rsidR="00867734" w:rsidRPr="00444190" w:rsidRDefault="001A7230" w:rsidP="00444190">
      <w:pPr>
        <w:ind w:firstLine="720"/>
        <w:rPr>
          <w:rFonts w:eastAsia="Calibri"/>
        </w:rPr>
      </w:pPr>
      <w:r w:rsidRPr="00867734">
        <w:t>For the foregoing reasons,</w:t>
      </w:r>
      <w:r w:rsidR="00444190">
        <w:rPr>
          <w:rStyle w:val="Strong"/>
          <w:b w:val="0"/>
        </w:rPr>
        <w:t xml:space="preserve"> the Board finds the </w:t>
      </w:r>
      <w:r w:rsidR="00444190" w:rsidRPr="00B43389">
        <w:rPr>
          <w:rStyle w:val="Strong"/>
          <w:b w:val="0"/>
        </w:rPr>
        <w:t xml:space="preserve">Project consistent </w:t>
      </w:r>
      <w:r w:rsidR="00B77CFD">
        <w:rPr>
          <w:rStyle w:val="Strong"/>
          <w:b w:val="0"/>
        </w:rPr>
        <w:t xml:space="preserve">with </w:t>
      </w:r>
      <w:r w:rsidR="00444190">
        <w:rPr>
          <w:rStyle w:val="Strong"/>
          <w:b w:val="0"/>
        </w:rPr>
        <w:t xml:space="preserve">the General Plan and </w:t>
      </w:r>
      <w:r w:rsidR="00444190" w:rsidRPr="00B43389">
        <w:rPr>
          <w:rStyle w:val="Strong"/>
          <w:b w:val="0"/>
        </w:rPr>
        <w:t>with applicable General Plan p</w:t>
      </w:r>
      <w:r w:rsidR="00444190">
        <w:rPr>
          <w:rStyle w:val="Strong"/>
          <w:b w:val="0"/>
        </w:rPr>
        <w:t>olicies supporting agriculture.  The</w:t>
      </w:r>
      <w:r w:rsidRPr="00867734">
        <w:t xml:space="preserve"> Board </w:t>
      </w:r>
      <w:r w:rsidR="00444190">
        <w:t xml:space="preserve">further </w:t>
      </w:r>
      <w:r w:rsidRPr="00867734">
        <w:t xml:space="preserve">finds that substantial evidence exists in the record to </w:t>
      </w:r>
      <w:r w:rsidR="00867734" w:rsidRPr="00867734">
        <w:t>uphold the Appeal in its entirety, reverse the Planning Commission’s decision to deny the Project and approve the Project and Use Permit No. P19-00303 subject to the Revised Conditions of Approval attached as Exhibit “A.”</w:t>
      </w:r>
    </w:p>
    <w:p w14:paraId="560A4491" w14:textId="77777777" w:rsidR="00867734" w:rsidRDefault="00867734" w:rsidP="004E2986">
      <w:pPr>
        <w:ind w:firstLine="720"/>
      </w:pPr>
    </w:p>
    <w:p w14:paraId="7A70D3AC" w14:textId="22CD8364" w:rsidR="00E67C6E" w:rsidRDefault="00E67C6E" w:rsidP="004E2986">
      <w:pPr>
        <w:rPr>
          <w:b/>
        </w:rPr>
      </w:pPr>
      <w:r>
        <w:rPr>
          <w:b/>
        </w:rPr>
        <w:t>/ /</w:t>
      </w:r>
    </w:p>
    <w:p w14:paraId="62F55207" w14:textId="1D30F697" w:rsidR="00C4759B" w:rsidRDefault="00C4759B" w:rsidP="004E2986">
      <w:pPr>
        <w:rPr>
          <w:b/>
        </w:rPr>
      </w:pPr>
      <w:r>
        <w:rPr>
          <w:b/>
        </w:rPr>
        <w:t>B.</w:t>
      </w:r>
      <w:r>
        <w:rPr>
          <w:b/>
        </w:rPr>
        <w:tab/>
        <w:t>Second Ground of Appeal.</w:t>
      </w:r>
    </w:p>
    <w:p w14:paraId="7858D133" w14:textId="77777777" w:rsidR="00867734" w:rsidRPr="00C4759B" w:rsidRDefault="00867734" w:rsidP="004E2986">
      <w:pPr>
        <w:rPr>
          <w:b/>
        </w:rPr>
      </w:pPr>
    </w:p>
    <w:p w14:paraId="025E78A2" w14:textId="774CD970" w:rsidR="00BE390D" w:rsidRDefault="00C4759B" w:rsidP="004E2986">
      <w:pPr>
        <w:ind w:firstLine="720"/>
      </w:pPr>
      <w:r>
        <w:rPr>
          <w:b/>
          <w:u w:val="single"/>
        </w:rPr>
        <w:t>Appellant’s Position</w:t>
      </w:r>
      <w:r w:rsidRPr="00657BFB">
        <w:rPr>
          <w:b/>
          <w:u w:val="single"/>
        </w:rPr>
        <w:t>:</w:t>
      </w:r>
      <w:r w:rsidRPr="00657BFB">
        <w:t xml:space="preserve">  </w:t>
      </w:r>
      <w:r w:rsidR="006A69AA" w:rsidRPr="00657BFB">
        <w:t xml:space="preserve">Appellant asserts that </w:t>
      </w:r>
      <w:r w:rsidR="006A69AA">
        <w:t xml:space="preserve">the area used for balloon launching is actually about an acre that has not been in agricultural use for at least 40 years. </w:t>
      </w:r>
      <w:r w:rsidR="009C29E9">
        <w:t xml:space="preserve"> </w:t>
      </w:r>
      <w:r w:rsidR="006A69AA">
        <w:t>Balloon launchings already occur on the property, so granting the requested use permit would not create a new use.</w:t>
      </w:r>
    </w:p>
    <w:p w14:paraId="7D468FED" w14:textId="77777777" w:rsidR="00BE390D" w:rsidRDefault="00BE390D" w:rsidP="004E2986">
      <w:pPr>
        <w:ind w:firstLine="720"/>
      </w:pPr>
    </w:p>
    <w:p w14:paraId="170C7655" w14:textId="77777777" w:rsidR="00016D4D" w:rsidRDefault="00C4759B" w:rsidP="00867734">
      <w:pPr>
        <w:ind w:firstLine="720"/>
      </w:pPr>
      <w:r>
        <w:rPr>
          <w:b/>
          <w:u w:val="single"/>
        </w:rPr>
        <w:t>Findings and Decision:</w:t>
      </w:r>
      <w:r>
        <w:rPr>
          <w:b/>
        </w:rPr>
        <w:t xml:space="preserve">  </w:t>
      </w:r>
      <w:r>
        <w:t xml:space="preserve">The Board </w:t>
      </w:r>
      <w:r w:rsidR="00016D4D">
        <w:t>finds and determines as follows:</w:t>
      </w:r>
    </w:p>
    <w:p w14:paraId="54244F67" w14:textId="77777777" w:rsidR="00016D4D" w:rsidRDefault="00016D4D" w:rsidP="00867734">
      <w:pPr>
        <w:ind w:firstLine="720"/>
      </w:pPr>
    </w:p>
    <w:p w14:paraId="100708EC" w14:textId="77777777" w:rsidR="006A69AA" w:rsidRDefault="001B083A" w:rsidP="006F41AB">
      <w:pPr>
        <w:ind w:firstLine="720"/>
      </w:pPr>
      <w:r>
        <w:t xml:space="preserve">Appellant holds </w:t>
      </w:r>
      <w:r w:rsidR="00F060DC">
        <w:t xml:space="preserve">Administrative </w:t>
      </w:r>
      <w:r>
        <w:t xml:space="preserve">Permit No. P19-00235 that allows </w:t>
      </w:r>
      <w:r w:rsidR="00F060DC">
        <w:t>a maximum of 50 launch days per y</w:t>
      </w:r>
      <w:r>
        <w:t>ear or attempted launches</w:t>
      </w:r>
      <w:r w:rsidR="00F060DC">
        <w:t xml:space="preserve">.  </w:t>
      </w:r>
      <w:r w:rsidR="00016D4D">
        <w:t xml:space="preserve">The Board </w:t>
      </w:r>
      <w:r w:rsidR="00867734">
        <w:t>concurs with Appellant that gran</w:t>
      </w:r>
      <w:r w:rsidR="00F060DC">
        <w:t xml:space="preserve">ting Use Permit No. P19-00303 </w:t>
      </w:r>
      <w:r w:rsidR="00867734">
        <w:t>would increase the number of lau</w:t>
      </w:r>
      <w:r w:rsidR="00016D4D">
        <w:t>n</w:t>
      </w:r>
      <w:r w:rsidR="00867734">
        <w:t>ch days already occurring</w:t>
      </w:r>
      <w:r w:rsidR="00F060DC">
        <w:t xml:space="preserve"> on the property but is not a new use and therefore</w:t>
      </w:r>
      <w:r w:rsidR="00444190">
        <w:t xml:space="preserve"> the Project is </w:t>
      </w:r>
      <w:r w:rsidR="000768B8">
        <w:t>not in</w:t>
      </w:r>
      <w:r w:rsidR="00444190">
        <w:t xml:space="preserve">consistent with </w:t>
      </w:r>
      <w:r w:rsidR="00F060DC">
        <w:t>Policy AG/LU-</w:t>
      </w:r>
      <w:r w:rsidR="00444190">
        <w:t>12.</w:t>
      </w:r>
      <w:r w:rsidR="006F41AB">
        <w:t xml:space="preserve">  </w:t>
      </w:r>
      <w:r w:rsidR="00A5363B" w:rsidRPr="001B604E">
        <w:t xml:space="preserve">See also </w:t>
      </w:r>
      <w:r w:rsidR="001B604E" w:rsidRPr="001B604E">
        <w:t>Findings and Determination to the First Ground of Appeal</w:t>
      </w:r>
      <w:r w:rsidR="006A69AA" w:rsidRPr="001B604E">
        <w:t xml:space="preserve"> incorporated here by reference.</w:t>
      </w:r>
    </w:p>
    <w:p w14:paraId="78EE0BCA" w14:textId="77777777" w:rsidR="00A5363B" w:rsidRDefault="00A5363B" w:rsidP="004E2986">
      <w:pPr>
        <w:ind w:firstLine="720"/>
      </w:pPr>
    </w:p>
    <w:p w14:paraId="5F473E37" w14:textId="77777777" w:rsidR="00C4759B" w:rsidRDefault="00C4759B" w:rsidP="004E2986">
      <w:pPr>
        <w:ind w:firstLine="720"/>
        <w:rPr>
          <w:b/>
          <w:u w:val="single"/>
        </w:rPr>
      </w:pPr>
      <w:r>
        <w:rPr>
          <w:b/>
          <w:u w:val="single"/>
        </w:rPr>
        <w:t>Conclusion:</w:t>
      </w:r>
    </w:p>
    <w:p w14:paraId="4B2AAB4E" w14:textId="77777777" w:rsidR="00444190" w:rsidRDefault="00444190" w:rsidP="004E2986">
      <w:pPr>
        <w:ind w:firstLine="720"/>
        <w:rPr>
          <w:b/>
          <w:u w:val="single"/>
        </w:rPr>
      </w:pPr>
    </w:p>
    <w:p w14:paraId="3EFABBAF" w14:textId="11249E40" w:rsidR="00444190" w:rsidRPr="00444190" w:rsidRDefault="00444190" w:rsidP="00444190">
      <w:pPr>
        <w:ind w:firstLine="720"/>
        <w:rPr>
          <w:rFonts w:eastAsia="Calibri"/>
        </w:rPr>
      </w:pPr>
      <w:r w:rsidRPr="00867734">
        <w:t>For the foregoing reasons,</w:t>
      </w:r>
      <w:r>
        <w:rPr>
          <w:rStyle w:val="Strong"/>
          <w:b w:val="0"/>
        </w:rPr>
        <w:t xml:space="preserve"> the Board finds the </w:t>
      </w:r>
      <w:r w:rsidRPr="00B43389">
        <w:rPr>
          <w:rStyle w:val="Strong"/>
          <w:b w:val="0"/>
        </w:rPr>
        <w:t>Project consistent</w:t>
      </w:r>
      <w:r w:rsidR="009C29E9">
        <w:rPr>
          <w:rStyle w:val="Strong"/>
          <w:b w:val="0"/>
        </w:rPr>
        <w:t xml:space="preserve"> with</w:t>
      </w:r>
      <w:r w:rsidRPr="00B43389">
        <w:rPr>
          <w:rStyle w:val="Strong"/>
          <w:b w:val="0"/>
        </w:rPr>
        <w:t xml:space="preserve"> </w:t>
      </w:r>
      <w:r>
        <w:rPr>
          <w:rStyle w:val="Strong"/>
          <w:b w:val="0"/>
        </w:rPr>
        <w:t xml:space="preserve">the General Plan and </w:t>
      </w:r>
      <w:r w:rsidRPr="00B43389">
        <w:rPr>
          <w:rStyle w:val="Strong"/>
          <w:b w:val="0"/>
        </w:rPr>
        <w:t>with applicable General Plan p</w:t>
      </w:r>
      <w:r>
        <w:rPr>
          <w:rStyle w:val="Strong"/>
          <w:b w:val="0"/>
        </w:rPr>
        <w:t>olicies supporting agriculture.  The</w:t>
      </w:r>
      <w:r w:rsidRPr="00867734">
        <w:t xml:space="preserve"> Board </w:t>
      </w:r>
      <w:r>
        <w:t xml:space="preserve">further </w:t>
      </w:r>
      <w:r w:rsidRPr="00867734">
        <w:t>finds that substantial evidence exists in the record to uphold the Appeal in its entirety, reverse the Planning Commission’s decision to deny the Project and approve the Project and Use Permit No. P19-00303 subject to the Revised Conditions of Approval attached as Exhibit “A.”</w:t>
      </w:r>
    </w:p>
    <w:p w14:paraId="33FEF514" w14:textId="77777777" w:rsidR="00F060DC" w:rsidRDefault="00F060DC" w:rsidP="00444190"/>
    <w:p w14:paraId="570CC533" w14:textId="77777777" w:rsidR="00C4759B" w:rsidRDefault="00C4759B" w:rsidP="004E2986">
      <w:pPr>
        <w:rPr>
          <w:b/>
        </w:rPr>
      </w:pPr>
      <w:r>
        <w:rPr>
          <w:b/>
        </w:rPr>
        <w:t>C.</w:t>
      </w:r>
      <w:r>
        <w:rPr>
          <w:b/>
        </w:rPr>
        <w:tab/>
        <w:t>Third Ground of Appeal.</w:t>
      </w:r>
    </w:p>
    <w:p w14:paraId="1FF61391" w14:textId="77777777" w:rsidR="002868ED" w:rsidRDefault="002868ED" w:rsidP="004E2986">
      <w:pPr>
        <w:rPr>
          <w:b/>
        </w:rPr>
      </w:pPr>
    </w:p>
    <w:p w14:paraId="3E595394" w14:textId="39D460C5" w:rsidR="003E4512" w:rsidRDefault="00C4759B" w:rsidP="004E2986">
      <w:pPr>
        <w:ind w:firstLine="720"/>
      </w:pPr>
      <w:r>
        <w:rPr>
          <w:b/>
          <w:u w:val="single"/>
        </w:rPr>
        <w:t>Appellant’s Position</w:t>
      </w:r>
      <w:r w:rsidRPr="00657BFB">
        <w:rPr>
          <w:b/>
          <w:u w:val="single"/>
        </w:rPr>
        <w:t>:</w:t>
      </w:r>
      <w:r w:rsidRPr="00657BFB">
        <w:t xml:space="preserve">  </w:t>
      </w:r>
      <w:r w:rsidR="003E4512" w:rsidRPr="00657BFB">
        <w:t xml:space="preserve">Appellant asserts that </w:t>
      </w:r>
      <w:r w:rsidR="003E4512">
        <w:t xml:space="preserve">the Project and the zoning ordinance that permits the Project both further the objectives and policies of the General Plan, including Agricultural Policies AG/LU-1, AG/LU-4 and AG/LU-12, which require the preservation and reservation of agricultural lands for agricultural uses, because hot air balloon flights allow people to experience and enjoy the County's agricultural lands that are otherwise inaccessible. </w:t>
      </w:r>
      <w:r w:rsidR="009C29E9">
        <w:t xml:space="preserve"> </w:t>
      </w:r>
      <w:r w:rsidR="003E4512">
        <w:t xml:space="preserve">This visual experience draws tourists to partake in other aspects of the County's agricultural identity, including wine tasting and tours. </w:t>
      </w:r>
      <w:r w:rsidR="009C29E9">
        <w:t xml:space="preserve"> </w:t>
      </w:r>
      <w:r w:rsidR="003E4512">
        <w:t>The Project's small footprint and lack of permanent physical changes to the property mean that future agricultural use of the property is neither inhibited nor obstructed.</w:t>
      </w:r>
    </w:p>
    <w:p w14:paraId="03E82D8F" w14:textId="77777777" w:rsidR="002868ED" w:rsidRDefault="002868ED" w:rsidP="004E2986">
      <w:pPr>
        <w:ind w:firstLine="720"/>
      </w:pPr>
    </w:p>
    <w:p w14:paraId="7D2883CA" w14:textId="77777777" w:rsidR="00C4759B" w:rsidRDefault="003F6A87" w:rsidP="004E2986">
      <w:pPr>
        <w:ind w:firstLine="720"/>
      </w:pPr>
      <w:r>
        <w:rPr>
          <w:b/>
          <w:u w:val="single"/>
        </w:rPr>
        <w:t>Findings</w:t>
      </w:r>
      <w:r w:rsidR="00C4759B">
        <w:rPr>
          <w:b/>
          <w:u w:val="single"/>
        </w:rPr>
        <w:t xml:space="preserve"> and Decision</w:t>
      </w:r>
      <w:r w:rsidR="00C4759B" w:rsidRPr="00031982">
        <w:rPr>
          <w:b/>
          <w:u w:val="single"/>
        </w:rPr>
        <w:t>:</w:t>
      </w:r>
      <w:r w:rsidR="00C4759B">
        <w:t xml:space="preserve">  The Board find</w:t>
      </w:r>
      <w:r w:rsidR="00BD7E01">
        <w:t>s</w:t>
      </w:r>
      <w:r w:rsidR="00C4759B">
        <w:t xml:space="preserve"> and determines as follows:</w:t>
      </w:r>
    </w:p>
    <w:p w14:paraId="1654C91B" w14:textId="77777777" w:rsidR="0043237C" w:rsidRDefault="0043237C" w:rsidP="0043237C"/>
    <w:p w14:paraId="4DB3D9DD" w14:textId="44D7A8EF" w:rsidR="0043237C" w:rsidRPr="006F41AB" w:rsidRDefault="0043526B" w:rsidP="006F41AB">
      <w:pPr>
        <w:rPr>
          <w:color w:val="000000"/>
        </w:rPr>
      </w:pPr>
      <w:r>
        <w:tab/>
      </w:r>
      <w:r w:rsidR="0043237C">
        <w:t>A majority of the Board concurs with</w:t>
      </w:r>
      <w:r w:rsidR="006F41AB">
        <w:t xml:space="preserve"> Appellant and with</w:t>
      </w:r>
      <w:r w:rsidR="0043237C">
        <w:t xml:space="preserve"> the Staff</w:t>
      </w:r>
      <w:r w:rsidR="009C29E9">
        <w:t>-</w:t>
      </w:r>
      <w:r w:rsidR="0043237C">
        <w:t xml:space="preserve">recommended </w:t>
      </w:r>
      <w:r w:rsidRPr="00A702B2">
        <w:t xml:space="preserve">General Plan Consistency </w:t>
      </w:r>
      <w:r>
        <w:t>A</w:t>
      </w:r>
      <w:r w:rsidR="0043237C">
        <w:t xml:space="preserve">nalysis </w:t>
      </w:r>
      <w:r w:rsidR="00597DB3">
        <w:t>regarding</w:t>
      </w:r>
      <w:r>
        <w:t xml:space="preserve"> the P</w:t>
      </w:r>
      <w:r w:rsidRPr="00A702B2">
        <w:t xml:space="preserve">roject’s consistency with the </w:t>
      </w:r>
      <w:r w:rsidR="006F41AB">
        <w:t xml:space="preserve">General Plan including </w:t>
      </w:r>
      <w:r w:rsidRPr="00A702B2">
        <w:t>Community Character Element, Recre</w:t>
      </w:r>
      <w:r w:rsidR="001B083A">
        <w:t xml:space="preserve">ation and Open Space Element, </w:t>
      </w:r>
      <w:r w:rsidR="006F41AB">
        <w:t xml:space="preserve">Economic </w:t>
      </w:r>
      <w:r w:rsidR="001B083A">
        <w:t xml:space="preserve">Element and </w:t>
      </w:r>
      <w:r w:rsidR="00A8183D">
        <w:rPr>
          <w:color w:val="000000"/>
        </w:rPr>
        <w:t>applicable General Plan policies supporting agriculture</w:t>
      </w:r>
      <w:r w:rsidR="0043237C">
        <w:rPr>
          <w:color w:val="000000"/>
        </w:rPr>
        <w:t>.</w:t>
      </w:r>
      <w:r w:rsidR="006F41AB">
        <w:rPr>
          <w:color w:val="000000"/>
        </w:rPr>
        <w:t xml:space="preserve">  </w:t>
      </w:r>
      <w:r w:rsidR="0043237C" w:rsidRPr="001B604E">
        <w:t xml:space="preserve">See also Findings and Determination to the </w:t>
      </w:r>
      <w:r w:rsidR="0043237C" w:rsidRPr="006F41AB">
        <w:t>First and Second Grounds of Appeal incorporated here by reference.</w:t>
      </w:r>
    </w:p>
    <w:p w14:paraId="07B9D0F3" w14:textId="77777777" w:rsidR="00FB5109" w:rsidRDefault="00FB5109" w:rsidP="0043237C"/>
    <w:p w14:paraId="1E7603B5" w14:textId="1BAEEDF3" w:rsidR="00E67C6E" w:rsidRPr="00E67C6E" w:rsidRDefault="00E67C6E" w:rsidP="00E67C6E">
      <w:pPr>
        <w:rPr>
          <w:b/>
        </w:rPr>
      </w:pPr>
      <w:r>
        <w:rPr>
          <w:b/>
        </w:rPr>
        <w:t>/ /</w:t>
      </w:r>
    </w:p>
    <w:p w14:paraId="65157AF7" w14:textId="77777777" w:rsidR="00E67C6E" w:rsidRDefault="00E67C6E" w:rsidP="00E67C6E">
      <w:pPr>
        <w:ind w:firstLine="720"/>
        <w:rPr>
          <w:b/>
          <w:u w:val="single"/>
        </w:rPr>
      </w:pPr>
    </w:p>
    <w:p w14:paraId="04CA943E" w14:textId="2B1329B2" w:rsidR="00E67C6E" w:rsidRDefault="00C4759B" w:rsidP="00E67C6E">
      <w:pPr>
        <w:ind w:firstLine="720"/>
        <w:rPr>
          <w:b/>
          <w:u w:val="single"/>
        </w:rPr>
      </w:pPr>
      <w:r>
        <w:rPr>
          <w:b/>
          <w:u w:val="single"/>
        </w:rPr>
        <w:t>Conclusion:</w:t>
      </w:r>
    </w:p>
    <w:p w14:paraId="19336570" w14:textId="77777777" w:rsidR="00E67C6E" w:rsidRDefault="00E67C6E" w:rsidP="00E67C6E">
      <w:pPr>
        <w:ind w:firstLine="720"/>
        <w:rPr>
          <w:b/>
          <w:u w:val="single"/>
        </w:rPr>
      </w:pPr>
    </w:p>
    <w:p w14:paraId="5EA33791" w14:textId="7F9B52F6" w:rsidR="00444190" w:rsidRPr="00E67C6E" w:rsidRDefault="00444190" w:rsidP="00E67C6E">
      <w:pPr>
        <w:ind w:firstLine="720"/>
        <w:rPr>
          <w:b/>
          <w:u w:val="single"/>
        </w:rPr>
      </w:pPr>
      <w:r w:rsidRPr="00867734">
        <w:t>For the foregoing reasons,</w:t>
      </w:r>
      <w:r>
        <w:rPr>
          <w:rStyle w:val="Strong"/>
          <w:b w:val="0"/>
        </w:rPr>
        <w:t xml:space="preserve"> the Board finds the </w:t>
      </w:r>
      <w:r w:rsidRPr="00B43389">
        <w:rPr>
          <w:rStyle w:val="Strong"/>
          <w:b w:val="0"/>
        </w:rPr>
        <w:t xml:space="preserve">Project consistent </w:t>
      </w:r>
      <w:r w:rsidR="009C29E9">
        <w:rPr>
          <w:rStyle w:val="Strong"/>
          <w:b w:val="0"/>
        </w:rPr>
        <w:t xml:space="preserve">with </w:t>
      </w:r>
      <w:r>
        <w:rPr>
          <w:rStyle w:val="Strong"/>
          <w:b w:val="0"/>
        </w:rPr>
        <w:t xml:space="preserve">the General Plan and </w:t>
      </w:r>
      <w:r w:rsidRPr="00B43389">
        <w:rPr>
          <w:rStyle w:val="Strong"/>
          <w:b w:val="0"/>
        </w:rPr>
        <w:t>with applicable General Plan p</w:t>
      </w:r>
      <w:r>
        <w:rPr>
          <w:rStyle w:val="Strong"/>
          <w:b w:val="0"/>
        </w:rPr>
        <w:t>olicies supporting agriculture.  The</w:t>
      </w:r>
      <w:r w:rsidRPr="00867734">
        <w:t xml:space="preserve"> Board </w:t>
      </w:r>
      <w:r>
        <w:t xml:space="preserve">further </w:t>
      </w:r>
      <w:r w:rsidRPr="00867734">
        <w:t>finds that substantial evidence exists in the record to uphold the Appeal in its entirety, reverse the Planning Commission’s decision to deny the Project and approve the Project and Use Permit No. P19-00303 subject to the Revised Conditions of Approval attached as Exhibit “A.”</w:t>
      </w:r>
    </w:p>
    <w:p w14:paraId="36978DA4" w14:textId="77777777" w:rsidR="00FB5109" w:rsidRPr="00FB5109" w:rsidRDefault="00FB5109" w:rsidP="00444190"/>
    <w:p w14:paraId="6F21AFDB" w14:textId="77777777" w:rsidR="00C4759B" w:rsidRDefault="00C4759B" w:rsidP="004E2986">
      <w:pPr>
        <w:rPr>
          <w:b/>
        </w:rPr>
      </w:pPr>
      <w:r>
        <w:rPr>
          <w:b/>
        </w:rPr>
        <w:t>D.</w:t>
      </w:r>
      <w:r>
        <w:rPr>
          <w:b/>
        </w:rPr>
        <w:tab/>
        <w:t>Fourth Ground of Appeal.</w:t>
      </w:r>
    </w:p>
    <w:p w14:paraId="7A64583F" w14:textId="77777777" w:rsidR="00715D08" w:rsidRPr="00C4759B" w:rsidRDefault="00715D08" w:rsidP="004E2986">
      <w:pPr>
        <w:rPr>
          <w:b/>
        </w:rPr>
      </w:pPr>
    </w:p>
    <w:p w14:paraId="769A541B" w14:textId="77777777" w:rsidR="00F53B32" w:rsidRDefault="00C4759B" w:rsidP="004E2986">
      <w:pPr>
        <w:ind w:firstLine="720"/>
      </w:pPr>
      <w:r>
        <w:rPr>
          <w:b/>
          <w:u w:val="single"/>
        </w:rPr>
        <w:t>Appellant’s Position</w:t>
      </w:r>
      <w:r w:rsidRPr="00657BFB">
        <w:rPr>
          <w:b/>
          <w:u w:val="single"/>
        </w:rPr>
        <w:t>:</w:t>
      </w:r>
      <w:r>
        <w:t xml:space="preserve">  </w:t>
      </w:r>
      <w:r w:rsidR="00F53B32" w:rsidRPr="00657BFB">
        <w:t xml:space="preserve">Appellant asserts that </w:t>
      </w:r>
      <w:r w:rsidR="00F53B32">
        <w:t>the Commission erred in substituting its own judgment for that of the Board of Supervisors who adopted Ordinance No. 1276 an</w:t>
      </w:r>
      <w:r w:rsidR="006F41AB">
        <w:t>d the General Plan and for the S</w:t>
      </w:r>
      <w:r w:rsidR="00F53B32">
        <w:t>taff members who carefully prepared the General Plan Consistency Analysis.</w:t>
      </w:r>
    </w:p>
    <w:p w14:paraId="19998D51" w14:textId="77777777" w:rsidR="00210A21" w:rsidRDefault="00210A21" w:rsidP="004E2986">
      <w:pPr>
        <w:ind w:firstLine="720"/>
      </w:pPr>
    </w:p>
    <w:p w14:paraId="32CF197E" w14:textId="77777777" w:rsidR="0043237C" w:rsidRDefault="00C4759B" w:rsidP="001D217D">
      <w:pPr>
        <w:autoSpaceDE w:val="0"/>
        <w:autoSpaceDN w:val="0"/>
        <w:adjustRightInd w:val="0"/>
        <w:ind w:firstLine="720"/>
      </w:pPr>
      <w:r>
        <w:rPr>
          <w:b/>
          <w:u w:val="single"/>
        </w:rPr>
        <w:t>Findings and Decision</w:t>
      </w:r>
      <w:r w:rsidRPr="00031982">
        <w:rPr>
          <w:b/>
          <w:u w:val="single"/>
        </w:rPr>
        <w:t>:</w:t>
      </w:r>
      <w:r>
        <w:t xml:space="preserve">  The Board </w:t>
      </w:r>
      <w:r w:rsidR="0043237C">
        <w:t>finds and determines as follows:</w:t>
      </w:r>
    </w:p>
    <w:p w14:paraId="4E11D209" w14:textId="77777777" w:rsidR="0043237C" w:rsidRDefault="0043237C" w:rsidP="001D217D">
      <w:pPr>
        <w:autoSpaceDE w:val="0"/>
        <w:autoSpaceDN w:val="0"/>
        <w:adjustRightInd w:val="0"/>
        <w:ind w:firstLine="720"/>
      </w:pPr>
    </w:p>
    <w:p w14:paraId="1CB38641" w14:textId="1E63B86A" w:rsidR="006F41AB" w:rsidRDefault="00A55A30" w:rsidP="00E67C6E">
      <w:pPr>
        <w:autoSpaceDE w:val="0"/>
        <w:autoSpaceDN w:val="0"/>
        <w:adjustRightInd w:val="0"/>
        <w:ind w:firstLine="720"/>
      </w:pPr>
      <w:r>
        <w:t>The Planning Commission did not substitute its judgment for that of the Board of Supervisors.  The Commission used its judgment and discretion and interpreted the General Plan policies in a reasonable manner.  The fact that the interpretation does not comport with Appellant’s interpretat</w:t>
      </w:r>
      <w:r w:rsidR="001D217D">
        <w:t>i</w:t>
      </w:r>
      <w:r w:rsidR="0043237C">
        <w:t xml:space="preserve">on does not make it erroneous.  </w:t>
      </w:r>
    </w:p>
    <w:p w14:paraId="2E321D11" w14:textId="77777777" w:rsidR="006F41AB" w:rsidRDefault="006F41AB" w:rsidP="00A8183D">
      <w:pPr>
        <w:autoSpaceDE w:val="0"/>
        <w:autoSpaceDN w:val="0"/>
        <w:adjustRightInd w:val="0"/>
        <w:ind w:firstLine="720"/>
      </w:pPr>
    </w:p>
    <w:p w14:paraId="5391EA85" w14:textId="7CC4DDFA" w:rsidR="0043237C" w:rsidRDefault="001D217D" w:rsidP="00A8183D">
      <w:pPr>
        <w:autoSpaceDE w:val="0"/>
        <w:autoSpaceDN w:val="0"/>
        <w:adjustRightInd w:val="0"/>
        <w:ind w:firstLine="720"/>
      </w:pPr>
      <w:r>
        <w:t>T</w:t>
      </w:r>
      <w:r w:rsidR="00210A21">
        <w:t>he Board is not bound</w:t>
      </w:r>
      <w:r w:rsidR="0039601F">
        <w:t>, however,</w:t>
      </w:r>
      <w:r w:rsidR="00210A21">
        <w:t xml:space="preserve"> by the Planning Commission’s interpretation and </w:t>
      </w:r>
      <w:r>
        <w:t>may make its own reasonable interpretation of the policie</w:t>
      </w:r>
      <w:r w:rsidR="0043237C">
        <w:t>s</w:t>
      </w:r>
      <w:r>
        <w:t xml:space="preserve"> at issue. </w:t>
      </w:r>
      <w:r w:rsidR="009C29E9">
        <w:t xml:space="preserve"> </w:t>
      </w:r>
      <w:r>
        <w:t xml:space="preserve">Furthermore, as </w:t>
      </w:r>
      <w:r w:rsidR="00210A21">
        <w:t xml:space="preserve">the body that adopted the General Plan, the Board is the body empowered to </w:t>
      </w:r>
      <w:r>
        <w:t>decide matters of consistency.</w:t>
      </w:r>
      <w:r w:rsidR="0043237C" w:rsidRPr="0043237C">
        <w:t xml:space="preserve"> </w:t>
      </w:r>
      <w:r w:rsidR="009C29E9">
        <w:t xml:space="preserve"> </w:t>
      </w:r>
      <w:r w:rsidR="0043237C" w:rsidRPr="001B604E">
        <w:t>See also Findings and Determination to the First Ground of Appeal incorporated here by reference.</w:t>
      </w:r>
    </w:p>
    <w:p w14:paraId="1FDEC5E3" w14:textId="77777777" w:rsidR="0043237C" w:rsidRDefault="0043237C" w:rsidP="004E2986">
      <w:pPr>
        <w:autoSpaceDE w:val="0"/>
        <w:autoSpaceDN w:val="0"/>
        <w:adjustRightInd w:val="0"/>
        <w:ind w:firstLine="720"/>
      </w:pPr>
    </w:p>
    <w:p w14:paraId="405A5993" w14:textId="77777777" w:rsidR="00C4759B" w:rsidRDefault="00C4759B" w:rsidP="004E2986">
      <w:pPr>
        <w:autoSpaceDE w:val="0"/>
        <w:autoSpaceDN w:val="0"/>
        <w:adjustRightInd w:val="0"/>
        <w:ind w:firstLine="720"/>
        <w:rPr>
          <w:b/>
          <w:u w:val="single"/>
        </w:rPr>
      </w:pPr>
      <w:r>
        <w:rPr>
          <w:b/>
          <w:u w:val="single"/>
        </w:rPr>
        <w:t>Conclusion:</w:t>
      </w:r>
    </w:p>
    <w:p w14:paraId="652B3A83" w14:textId="77777777" w:rsidR="000768B8" w:rsidRDefault="000768B8" w:rsidP="004E2986">
      <w:pPr>
        <w:autoSpaceDE w:val="0"/>
        <w:autoSpaceDN w:val="0"/>
        <w:adjustRightInd w:val="0"/>
        <w:ind w:firstLine="720"/>
        <w:rPr>
          <w:b/>
          <w:u w:val="single"/>
        </w:rPr>
      </w:pPr>
    </w:p>
    <w:p w14:paraId="467092D3" w14:textId="3AC26A25" w:rsidR="000768B8" w:rsidRPr="00444190" w:rsidRDefault="000768B8" w:rsidP="000768B8">
      <w:pPr>
        <w:ind w:firstLine="720"/>
        <w:rPr>
          <w:rFonts w:eastAsia="Calibri"/>
        </w:rPr>
      </w:pPr>
      <w:r w:rsidRPr="00867734">
        <w:t>For the foregoing reasons,</w:t>
      </w:r>
      <w:r>
        <w:rPr>
          <w:rStyle w:val="Strong"/>
          <w:b w:val="0"/>
        </w:rPr>
        <w:t xml:space="preserve"> the Board finds the </w:t>
      </w:r>
      <w:r w:rsidRPr="00B43389">
        <w:rPr>
          <w:rStyle w:val="Strong"/>
          <w:b w:val="0"/>
        </w:rPr>
        <w:t xml:space="preserve">Project consistent </w:t>
      </w:r>
      <w:r w:rsidR="009C29E9">
        <w:rPr>
          <w:rStyle w:val="Strong"/>
          <w:b w:val="0"/>
        </w:rPr>
        <w:t xml:space="preserve">with </w:t>
      </w:r>
      <w:r>
        <w:rPr>
          <w:rStyle w:val="Strong"/>
          <w:b w:val="0"/>
        </w:rPr>
        <w:t xml:space="preserve">the General Plan and </w:t>
      </w:r>
      <w:r w:rsidRPr="00B43389">
        <w:rPr>
          <w:rStyle w:val="Strong"/>
          <w:b w:val="0"/>
        </w:rPr>
        <w:t>with applicable General Plan p</w:t>
      </w:r>
      <w:r>
        <w:rPr>
          <w:rStyle w:val="Strong"/>
          <w:b w:val="0"/>
        </w:rPr>
        <w:t>olicies supporting agriculture.  The</w:t>
      </w:r>
      <w:r w:rsidRPr="00867734">
        <w:t xml:space="preserve"> Board </w:t>
      </w:r>
      <w:r>
        <w:t xml:space="preserve">further </w:t>
      </w:r>
      <w:r w:rsidRPr="00867734">
        <w:t>finds that substantial evidence exists in the record to uphold the Appeal in its entirety, reverse the Planning Commission’s decision to deny the Project and approve the Project and Use Permit No. P19-00303 subject to the Revised Conditions of Approval attached as Exhibit “A.”</w:t>
      </w:r>
    </w:p>
    <w:p w14:paraId="67BD7D52" w14:textId="77777777" w:rsidR="001D217D" w:rsidRPr="00BD7E01" w:rsidRDefault="001D217D" w:rsidP="001D217D"/>
    <w:p w14:paraId="6B7D965E" w14:textId="77777777" w:rsidR="00765B27" w:rsidRDefault="00765B27" w:rsidP="004E2986">
      <w:pPr>
        <w:rPr>
          <w:b/>
        </w:rPr>
      </w:pPr>
      <w:r w:rsidRPr="00542FA2">
        <w:rPr>
          <w:b/>
        </w:rPr>
        <w:t xml:space="preserve">E.  </w:t>
      </w:r>
      <w:r w:rsidRPr="00542FA2">
        <w:rPr>
          <w:b/>
        </w:rPr>
        <w:tab/>
        <w:t xml:space="preserve">Fifth Ground of Appeal. </w:t>
      </w:r>
    </w:p>
    <w:p w14:paraId="4BFE7D59" w14:textId="77777777" w:rsidR="00443D2A" w:rsidRDefault="00443D2A" w:rsidP="004E2986">
      <w:pPr>
        <w:rPr>
          <w:b/>
        </w:rPr>
      </w:pPr>
    </w:p>
    <w:p w14:paraId="7D1B9A11" w14:textId="2DC17859" w:rsidR="00D95503" w:rsidRDefault="00765B27" w:rsidP="004E2986">
      <w:pPr>
        <w:ind w:firstLine="720"/>
      </w:pPr>
      <w:r>
        <w:rPr>
          <w:b/>
          <w:u w:val="single"/>
        </w:rPr>
        <w:t>Appellant’s Position:</w:t>
      </w:r>
      <w:r w:rsidR="00C4759B" w:rsidRPr="00657BFB">
        <w:t xml:space="preserve">  </w:t>
      </w:r>
      <w:r w:rsidR="00D95503" w:rsidRPr="00657BFB">
        <w:t>Appellant asserts that</w:t>
      </w:r>
      <w:r w:rsidR="00D95503">
        <w:t xml:space="preserve"> it</w:t>
      </w:r>
      <w:r w:rsidR="00D95503" w:rsidRPr="00657BFB">
        <w:t xml:space="preserve"> </w:t>
      </w:r>
      <w:r w:rsidR="00D95503">
        <w:t xml:space="preserve">has safely operated a balloon launching business from the property since June 2019. </w:t>
      </w:r>
      <w:r w:rsidR="009C29E9">
        <w:t xml:space="preserve"> </w:t>
      </w:r>
      <w:r w:rsidR="00D95503">
        <w:t xml:space="preserve">Any suggestion by the Commission that its application is adversely affects the health, safety and welfare of the County is overreaching and belies the fact that the application was not given fair consideration. </w:t>
      </w:r>
      <w:r w:rsidR="009C29E9">
        <w:t xml:space="preserve"> </w:t>
      </w:r>
      <w:r w:rsidR="00D95503">
        <w:t xml:space="preserve">Appellant asserts that the Planning Commission does not have any reasonable facts at its disposal that show that Appellant is not operating </w:t>
      </w:r>
      <w:r w:rsidR="00D95503" w:rsidRPr="00F3612A">
        <w:t xml:space="preserve">safely or poses any meaningful risk to public health, safety or welfare. </w:t>
      </w:r>
    </w:p>
    <w:p w14:paraId="26F27D1B" w14:textId="77777777" w:rsidR="00443D2A" w:rsidRPr="00F3612A" w:rsidRDefault="00443D2A" w:rsidP="004E2986">
      <w:pPr>
        <w:ind w:firstLine="720"/>
      </w:pPr>
    </w:p>
    <w:p w14:paraId="3FB64342" w14:textId="77777777" w:rsidR="00765B27" w:rsidRDefault="00765B27" w:rsidP="004E2986">
      <w:pPr>
        <w:ind w:firstLine="720"/>
      </w:pPr>
      <w:r>
        <w:rPr>
          <w:b/>
          <w:u w:val="single"/>
        </w:rPr>
        <w:t>Findings and Decision</w:t>
      </w:r>
      <w:r w:rsidR="00C4759B" w:rsidRPr="00031982">
        <w:rPr>
          <w:b/>
          <w:u w:val="single"/>
        </w:rPr>
        <w:t>:</w:t>
      </w:r>
      <w:r w:rsidR="00C4759B">
        <w:t xml:space="preserve">  </w:t>
      </w:r>
      <w:r>
        <w:t>The Board finds and determines as follows:</w:t>
      </w:r>
    </w:p>
    <w:p w14:paraId="4E3F1BA2" w14:textId="77777777" w:rsidR="00443D2A" w:rsidRDefault="00443D2A" w:rsidP="004E2986">
      <w:pPr>
        <w:ind w:firstLine="720"/>
      </w:pPr>
    </w:p>
    <w:p w14:paraId="6613FBD4" w14:textId="2E0977D4" w:rsidR="0043237C" w:rsidRDefault="0043237C" w:rsidP="00FE46E5">
      <w:pPr>
        <w:ind w:firstLine="720"/>
      </w:pPr>
      <w:r>
        <w:t xml:space="preserve">While the </w:t>
      </w:r>
      <w:r w:rsidR="00FE1BA6">
        <w:t xml:space="preserve">record contains </w:t>
      </w:r>
      <w:r w:rsidR="00693731">
        <w:t xml:space="preserve">verbal and written </w:t>
      </w:r>
      <w:r w:rsidR="00D2056E">
        <w:t xml:space="preserve">testimony, complaints, </w:t>
      </w:r>
      <w:r w:rsidR="00693731">
        <w:t xml:space="preserve">and photographs from residents </w:t>
      </w:r>
      <w:r w:rsidR="00D2056E">
        <w:t>regarding</w:t>
      </w:r>
      <w:r>
        <w:t xml:space="preserve"> noise and</w:t>
      </w:r>
      <w:r w:rsidR="00E117E6">
        <w:t xml:space="preserve"> disruption</w:t>
      </w:r>
      <w:r w:rsidR="00D2056E">
        <w:t xml:space="preserve"> to their quality of life resulting from </w:t>
      </w:r>
      <w:r w:rsidR="0039601F">
        <w:t xml:space="preserve">balloon </w:t>
      </w:r>
      <w:r w:rsidR="00984213">
        <w:t>operations</w:t>
      </w:r>
      <w:r w:rsidR="0039601F">
        <w:t xml:space="preserve"> in general and then also from residents </w:t>
      </w:r>
      <w:r w:rsidR="00D2056E">
        <w:t>living in clo</w:t>
      </w:r>
      <w:r>
        <w:t>se proximity</w:t>
      </w:r>
      <w:r w:rsidR="00521373">
        <w:t xml:space="preserve"> to the launch site, </w:t>
      </w:r>
      <w:r w:rsidR="00693731">
        <w:t xml:space="preserve">the </w:t>
      </w:r>
      <w:r w:rsidR="006F41AB">
        <w:t xml:space="preserve">property owners residing </w:t>
      </w:r>
      <w:r w:rsidR="00521373">
        <w:t xml:space="preserve">within 500 </w:t>
      </w:r>
      <w:r>
        <w:t>feet of the Project site all support the Project</w:t>
      </w:r>
      <w:r w:rsidR="0039601F">
        <w:t xml:space="preserve"> (a </w:t>
      </w:r>
      <w:r w:rsidR="00984213">
        <w:t>prerequisite</w:t>
      </w:r>
      <w:r w:rsidR="0039601F">
        <w:t xml:space="preserve"> required by the County Code)</w:t>
      </w:r>
      <w:r>
        <w:t>.</w:t>
      </w:r>
    </w:p>
    <w:p w14:paraId="27B0D606" w14:textId="77777777" w:rsidR="0043237C" w:rsidRDefault="0043237C" w:rsidP="0043237C"/>
    <w:p w14:paraId="460F6E22" w14:textId="62866D4E" w:rsidR="00FE1BA6" w:rsidRDefault="0043237C" w:rsidP="0043237C">
      <w:pPr>
        <w:ind w:firstLine="720"/>
      </w:pPr>
      <w:r>
        <w:t>The Federal Aviation Administration</w:t>
      </w:r>
      <w:r w:rsidR="00767F15">
        <w:t xml:space="preserve"> </w:t>
      </w:r>
      <w:r w:rsidR="001B083A">
        <w:t>(FAA</w:t>
      </w:r>
      <w:r w:rsidR="002F57A7">
        <w:t xml:space="preserve">) </w:t>
      </w:r>
      <w:r w:rsidR="00767F15">
        <w:t>requires that each hot air bal</w:t>
      </w:r>
      <w:r w:rsidR="00691219">
        <w:t>loon have a serial number on the balloon</w:t>
      </w:r>
      <w:r>
        <w:t xml:space="preserve"> as a form of identification</w:t>
      </w:r>
      <w:r w:rsidR="00767F15">
        <w:t>.</w:t>
      </w:r>
      <w:r w:rsidR="00FE46E5">
        <w:t xml:space="preserve">  </w:t>
      </w:r>
      <w:r w:rsidR="00FE1BA6">
        <w:t>However</w:t>
      </w:r>
      <w:r w:rsidR="009C29E9">
        <w:t>,</w:t>
      </w:r>
      <w:r w:rsidR="0039601F">
        <w:t xml:space="preserve"> some people have stated that</w:t>
      </w:r>
      <w:r w:rsidR="00FE1BA6">
        <w:t xml:space="preserve"> the serial </w:t>
      </w:r>
      <w:r w:rsidR="0053427C">
        <w:t xml:space="preserve">numbers are illegible </w:t>
      </w:r>
      <w:r w:rsidR="00767F15">
        <w:t xml:space="preserve">from </w:t>
      </w:r>
      <w:r w:rsidR="00FE1BA6">
        <w:t>a distance</w:t>
      </w:r>
      <w:r w:rsidR="00767F15">
        <w:t xml:space="preserve"> once </w:t>
      </w:r>
      <w:r w:rsidR="0053427C">
        <w:t xml:space="preserve">the balloons are </w:t>
      </w:r>
      <w:r w:rsidR="00767F15">
        <w:t>airborne</w:t>
      </w:r>
      <w:r w:rsidR="00FE1BA6">
        <w:t>,</w:t>
      </w:r>
      <w:r w:rsidR="0039601F">
        <w:t xml:space="preserve"> so</w:t>
      </w:r>
      <w:r w:rsidR="00FE1BA6">
        <w:t xml:space="preserve"> it is difficult </w:t>
      </w:r>
      <w:r w:rsidR="0039601F">
        <w:t xml:space="preserve">for them </w:t>
      </w:r>
      <w:r w:rsidR="002F57A7">
        <w:t xml:space="preserve">to ascertain which operator’s </w:t>
      </w:r>
      <w:r w:rsidR="00FE1BA6">
        <w:t xml:space="preserve">balloons are responsible </w:t>
      </w:r>
      <w:r w:rsidR="00FE46E5">
        <w:t>for</w:t>
      </w:r>
      <w:r w:rsidR="00693731">
        <w:t xml:space="preserve"> the</w:t>
      </w:r>
      <w:r w:rsidR="00FE1BA6">
        <w:t xml:space="preserve"> </w:t>
      </w:r>
      <w:r w:rsidR="00693731">
        <w:t>public c</w:t>
      </w:r>
      <w:r w:rsidR="00FE1BA6">
        <w:t>o</w:t>
      </w:r>
      <w:r w:rsidR="00767F15">
        <w:t>mplaints and</w:t>
      </w:r>
      <w:r w:rsidR="002F57A7">
        <w:t xml:space="preserve"> alleged violations</w:t>
      </w:r>
      <w:r w:rsidR="00767F15">
        <w:t>.</w:t>
      </w:r>
      <w:r w:rsidR="00FE46E5">
        <w:t xml:space="preserve">  </w:t>
      </w:r>
      <w:r w:rsidR="009C29E9">
        <w:t>To</w:t>
      </w:r>
      <w:r w:rsidR="00FE1BA6">
        <w:t xml:space="preserve"> ensure </w:t>
      </w:r>
      <w:r w:rsidR="002F57A7">
        <w:t>that Appellant’s balloons are readily identifiable</w:t>
      </w:r>
      <w:r w:rsidR="009C29E9">
        <w:t xml:space="preserve"> and</w:t>
      </w:r>
      <w:r w:rsidR="002F57A7">
        <w:t xml:space="preserve"> operat</w:t>
      </w:r>
      <w:r w:rsidR="009C29E9">
        <w:t>ing</w:t>
      </w:r>
      <w:r w:rsidR="002F57A7">
        <w:t xml:space="preserve"> in compliance </w:t>
      </w:r>
      <w:r w:rsidR="00FE1BA6">
        <w:t xml:space="preserve">with FAA </w:t>
      </w:r>
      <w:r w:rsidR="00597DB3">
        <w:t>regulations</w:t>
      </w:r>
      <w:r w:rsidR="002F57A7">
        <w:t xml:space="preserve"> including minimum altitude requirements, </w:t>
      </w:r>
      <w:r w:rsidR="00A63358">
        <w:t>Appellant voluntarily agreed</w:t>
      </w:r>
      <w:r w:rsidR="002F57A7" w:rsidRPr="002F57A7">
        <w:t xml:space="preserve"> </w:t>
      </w:r>
      <w:r w:rsidR="002F57A7">
        <w:t>at the Appeal hearing</w:t>
      </w:r>
      <w:r w:rsidR="00A63358">
        <w:t xml:space="preserve"> to </w:t>
      </w:r>
      <w:r w:rsidR="002F57A7">
        <w:t>a new Condition of Appro</w:t>
      </w:r>
      <w:r w:rsidR="00691219">
        <w:t>val requiring</w:t>
      </w:r>
      <w:r w:rsidR="002F57A7">
        <w:t xml:space="preserve"> </w:t>
      </w:r>
      <w:r w:rsidR="001B083A">
        <w:t xml:space="preserve">self-identification.  Appellant agreed that all of its balloons would </w:t>
      </w:r>
      <w:r w:rsidR="002F57A7">
        <w:t>be clearly marked and identifiable.  The Board finds that Appellant’s voluntary agreemen</w:t>
      </w:r>
      <w:r w:rsidR="00691219">
        <w:t xml:space="preserve">t will ensure that </w:t>
      </w:r>
      <w:r w:rsidR="002F57A7">
        <w:t xml:space="preserve">County Staff </w:t>
      </w:r>
      <w:r w:rsidR="004F0F5C">
        <w:t xml:space="preserve">and the community </w:t>
      </w:r>
      <w:r w:rsidR="00691219">
        <w:t>can r</w:t>
      </w:r>
      <w:r w:rsidR="004F0F5C">
        <w:t xml:space="preserve">eadily </w:t>
      </w:r>
      <w:r w:rsidR="002F57A7">
        <w:t>asc</w:t>
      </w:r>
      <w:r w:rsidR="00691219">
        <w:t xml:space="preserve">ertain BATV balloons from other balloon operators that may be </w:t>
      </w:r>
      <w:r w:rsidR="004F0F5C">
        <w:t>adversely affecting the c</w:t>
      </w:r>
      <w:r w:rsidR="002F57A7">
        <w:t>ommunity’s priv</w:t>
      </w:r>
      <w:r w:rsidR="004F0F5C">
        <w:t>acy, health, safety and</w:t>
      </w:r>
      <w:r w:rsidR="00984213">
        <w:t xml:space="preserve"> welfare.  (See Revised COA No. 4.12 (k)</w:t>
      </w:r>
      <w:r w:rsidR="00521373" w:rsidRPr="00984213">
        <w:t>.)</w:t>
      </w:r>
    </w:p>
    <w:p w14:paraId="0469E4A0" w14:textId="6D747D7A" w:rsidR="00F71AC3" w:rsidRDefault="00F71AC3" w:rsidP="0043237C">
      <w:pPr>
        <w:ind w:firstLine="720"/>
      </w:pPr>
    </w:p>
    <w:p w14:paraId="28FEA9BB" w14:textId="7C69D5D5" w:rsidR="00F71AC3" w:rsidRDefault="007B1EF1" w:rsidP="007B1EF1">
      <w:pPr>
        <w:ind w:firstLine="720"/>
      </w:pPr>
      <w:r>
        <w:t>The FAA also requires that manned balloon launching facilities must notify the FAA Administrator by su</w:t>
      </w:r>
      <w:r w:rsidR="00E67C6E">
        <w:t>bmitting FAA Form 7480-1 and consulting with the FAA prior to commencing operations</w:t>
      </w:r>
      <w:r>
        <w:t xml:space="preserve">.  </w:t>
      </w:r>
      <w:r w:rsidR="00F71AC3">
        <w:t xml:space="preserve">At the Appeal hearing, Appellant voluntarily offered a new Condition of Approval </w:t>
      </w:r>
      <w:r>
        <w:t>to sub</w:t>
      </w:r>
      <w:r w:rsidR="00E67C6E">
        <w:t xml:space="preserve">mit Form 7480-1 and consult with the </w:t>
      </w:r>
      <w:r w:rsidR="00984213">
        <w:t xml:space="preserve">FAA </w:t>
      </w:r>
      <w:r>
        <w:t xml:space="preserve">before it begins operations under </w:t>
      </w:r>
      <w:r w:rsidRPr="00867734">
        <w:t>Use Permit No. P19-00303</w:t>
      </w:r>
      <w:r>
        <w:t>.  The Board finds that Appellant’s voluntary agreement addresses any concerns regarding FAA compliance.  (See Revised COA No.</w:t>
      </w:r>
      <w:r w:rsidR="00984213">
        <w:t xml:space="preserve"> 4.12 (m).</w:t>
      </w:r>
      <w:r w:rsidRPr="00984213">
        <w:t>)</w:t>
      </w:r>
    </w:p>
    <w:p w14:paraId="5900F2E7" w14:textId="77777777" w:rsidR="00703385" w:rsidRDefault="00703385" w:rsidP="00703385"/>
    <w:p w14:paraId="14737EFB" w14:textId="50BB7CB0" w:rsidR="004F0F5C" w:rsidRDefault="00703385" w:rsidP="00703385">
      <w:pPr>
        <w:autoSpaceDE w:val="0"/>
        <w:autoSpaceDN w:val="0"/>
        <w:adjustRightInd w:val="0"/>
        <w:ind w:firstLine="720"/>
      </w:pPr>
      <w:r>
        <w:t>Ordinance No. 1276</w:t>
      </w:r>
      <w:r w:rsidR="007B1EF1">
        <w:t>, adopted by the Board</w:t>
      </w:r>
      <w:r w:rsidR="004F0F5C">
        <w:t xml:space="preserve"> in 2006</w:t>
      </w:r>
      <w:r w:rsidR="007B1EF1">
        <w:t xml:space="preserve">, </w:t>
      </w:r>
      <w:r>
        <w:t xml:space="preserve">authorized hot air balloon launching sites in any zoning district and created two separate permit processes depending on the number of launch days requested (County Code Sections 18.120.010(B)(16) and (D)(5)).  The Ordinance authorized administrative permits for launching sites involving 50 or few days of launches or attempted launches per year (County Code Section 18.126.030(G)) and permitted launchings for more than 50 launches or attempted launches per year upon grant of a Use Permit (Section 18.120.010(B)(16)) </w:t>
      </w:r>
      <w:r w:rsidR="007B1EF1">
        <w:t>if</w:t>
      </w:r>
      <w:r>
        <w:t xml:space="preserve"> the required findings can be made (Section 18.104.400).  </w:t>
      </w:r>
    </w:p>
    <w:p w14:paraId="2DDB2EB6" w14:textId="77777777" w:rsidR="004F0F5C" w:rsidRDefault="004F0F5C" w:rsidP="00703385">
      <w:pPr>
        <w:autoSpaceDE w:val="0"/>
        <w:autoSpaceDN w:val="0"/>
        <w:adjustRightInd w:val="0"/>
        <w:ind w:firstLine="720"/>
      </w:pPr>
    </w:p>
    <w:p w14:paraId="4C9BD98D" w14:textId="61EACC14" w:rsidR="00693731" w:rsidRDefault="00703385" w:rsidP="00FC3B77">
      <w:pPr>
        <w:autoSpaceDE w:val="0"/>
        <w:autoSpaceDN w:val="0"/>
        <w:adjustRightInd w:val="0"/>
        <w:ind w:firstLine="720"/>
        <w:rPr>
          <w:highlight w:val="yellow"/>
        </w:rPr>
      </w:pPr>
      <w:r>
        <w:t xml:space="preserve">The County has issued seven administrative balloon launch permits since 2012, including </w:t>
      </w:r>
      <w:r w:rsidR="00597DB3">
        <w:t>Administrative</w:t>
      </w:r>
      <w:r>
        <w:t xml:space="preserve"> Permit No. P19-00235 issued to the Appellant in 2019 for the Pro</w:t>
      </w:r>
      <w:r w:rsidR="00597DB3">
        <w:t>ject site.  However, the County</w:t>
      </w:r>
      <w:r w:rsidR="004F0F5C">
        <w:t xml:space="preserve"> has </w:t>
      </w:r>
      <w:r>
        <w:t>not received a use permit appl</w:t>
      </w:r>
      <w:r w:rsidR="00597DB3">
        <w:t xml:space="preserve">ication since adoption of the Ordinance </w:t>
      </w:r>
      <w:r>
        <w:t>in 2006</w:t>
      </w:r>
      <w:r w:rsidR="00597DB3">
        <w:t xml:space="preserve"> until now</w:t>
      </w:r>
      <w:r>
        <w:t>.</w:t>
      </w:r>
      <w:r w:rsidR="004F0F5C">
        <w:t xml:space="preserve">  </w:t>
      </w:r>
      <w:r w:rsidR="002C42AD">
        <w:t xml:space="preserve">Appellant’s application is the first use permit request for a </w:t>
      </w:r>
      <w:r>
        <w:t xml:space="preserve">hot air balloon </w:t>
      </w:r>
      <w:r w:rsidR="00A758F7">
        <w:t>launch</w:t>
      </w:r>
      <w:r>
        <w:t xml:space="preserve"> </w:t>
      </w:r>
      <w:r w:rsidR="00597DB3">
        <w:t xml:space="preserve">site for </w:t>
      </w:r>
      <w:r>
        <w:t xml:space="preserve">more than 50 launch days </w:t>
      </w:r>
      <w:r w:rsidR="00A758F7">
        <w:t xml:space="preserve">per </w:t>
      </w:r>
      <w:r w:rsidR="00691219">
        <w:t xml:space="preserve">year.  </w:t>
      </w:r>
      <w:r w:rsidR="00521373">
        <w:t xml:space="preserve">The Board acknowledges </w:t>
      </w:r>
      <w:r w:rsidR="00691219">
        <w:t xml:space="preserve">the concerns expressed by the public and </w:t>
      </w:r>
      <w:r w:rsidR="007B1EF1">
        <w:t xml:space="preserve">finds </w:t>
      </w:r>
      <w:r w:rsidR="00FC3B77">
        <w:t>t</w:t>
      </w:r>
      <w:r w:rsidR="00691219">
        <w:t xml:space="preserve">hat since this is the </w:t>
      </w:r>
      <w:r w:rsidR="00FC3B77">
        <w:t xml:space="preserve">first </w:t>
      </w:r>
      <w:r w:rsidR="00691219">
        <w:t>u</w:t>
      </w:r>
      <w:r w:rsidR="00FC3B77">
        <w:t>se permit for balloon launchi</w:t>
      </w:r>
      <w:r w:rsidR="00693731">
        <w:t xml:space="preserve">ng, there should be an </w:t>
      </w:r>
      <w:r w:rsidR="00FC3B77">
        <w:t xml:space="preserve">administrative review of </w:t>
      </w:r>
      <w:r w:rsidR="00E9359C">
        <w:t xml:space="preserve">BATV’s </w:t>
      </w:r>
      <w:r w:rsidR="002C42AD">
        <w:t>compliance with the conditions of approval</w:t>
      </w:r>
      <w:r w:rsidR="00A758F7">
        <w:t xml:space="preserve"> one year after a</w:t>
      </w:r>
      <w:r w:rsidR="00FC3B77">
        <w:t>pproval</w:t>
      </w:r>
      <w:r w:rsidR="00A758F7">
        <w:t>.  Th</w:t>
      </w:r>
      <w:r w:rsidR="004F0F5C">
        <w:t xml:space="preserve">e Board directed Staff </w:t>
      </w:r>
      <w:r w:rsidR="00A758F7">
        <w:t>to include an administrative review of Appellant’s Use Permit within one year of project approva</w:t>
      </w:r>
      <w:r w:rsidR="004F0F5C">
        <w:t xml:space="preserve">l in the Revised COA. </w:t>
      </w:r>
      <w:r w:rsidR="00A758F7">
        <w:t xml:space="preserve"> (Se</w:t>
      </w:r>
      <w:r w:rsidR="004F0F5C">
        <w:t>e Revised COA</w:t>
      </w:r>
      <w:r w:rsidR="00A758F7">
        <w:t xml:space="preserve"> No.</w:t>
      </w:r>
      <w:r w:rsidR="00984213">
        <w:t xml:space="preserve"> 4.12 (l).)</w:t>
      </w:r>
      <w:r w:rsidR="00521373">
        <w:rPr>
          <w:highlight w:val="yellow"/>
        </w:rPr>
        <w:t xml:space="preserve">  </w:t>
      </w:r>
    </w:p>
    <w:p w14:paraId="11F5E379" w14:textId="77777777" w:rsidR="0028661C" w:rsidRDefault="0028661C" w:rsidP="00FC3B77">
      <w:pPr>
        <w:autoSpaceDE w:val="0"/>
        <w:autoSpaceDN w:val="0"/>
        <w:adjustRightInd w:val="0"/>
        <w:ind w:firstLine="720"/>
        <w:rPr>
          <w:highlight w:val="yellow"/>
        </w:rPr>
      </w:pPr>
    </w:p>
    <w:p w14:paraId="212445FE" w14:textId="25C4F5B0" w:rsidR="004F0F5C" w:rsidRPr="00693731" w:rsidRDefault="00521373" w:rsidP="00FC3B77">
      <w:pPr>
        <w:autoSpaceDE w:val="0"/>
        <w:autoSpaceDN w:val="0"/>
        <w:adjustRightInd w:val="0"/>
        <w:ind w:firstLine="720"/>
      </w:pPr>
      <w:r w:rsidRPr="00693731">
        <w:t xml:space="preserve">At the Planning Commission </w:t>
      </w:r>
      <w:r w:rsidR="00693731" w:rsidRPr="00693731">
        <w:t xml:space="preserve">hearing, </w:t>
      </w:r>
      <w:r w:rsidR="00FC3B77" w:rsidRPr="00693731">
        <w:t xml:space="preserve">Appellant </w:t>
      </w:r>
      <w:r w:rsidRPr="00693731">
        <w:t xml:space="preserve">testified that Appellant </w:t>
      </w:r>
      <w:r w:rsidR="0039601F">
        <w:t xml:space="preserve">may </w:t>
      </w:r>
      <w:r w:rsidR="00FC3B77" w:rsidRPr="00693731">
        <w:t xml:space="preserve">allow other companies to launch from the Project </w:t>
      </w:r>
      <w:r w:rsidR="007B1EF1" w:rsidRPr="00693731">
        <w:t>site,</w:t>
      </w:r>
      <w:r w:rsidRPr="00693731">
        <w:t xml:space="preserve"> </w:t>
      </w:r>
      <w:r w:rsidR="0039601F">
        <w:t xml:space="preserve">which is not prohibited by the </w:t>
      </w:r>
      <w:r w:rsidR="00984213">
        <w:t>County</w:t>
      </w:r>
      <w:r w:rsidR="0039601F">
        <w:t xml:space="preserve"> </w:t>
      </w:r>
      <w:r w:rsidR="00984213">
        <w:t>Code,</w:t>
      </w:r>
      <w:r w:rsidR="00984213" w:rsidRPr="00693731">
        <w:t xml:space="preserve"> but</w:t>
      </w:r>
      <w:r w:rsidRPr="00693731">
        <w:t xml:space="preserve"> the </w:t>
      </w:r>
      <w:r w:rsidR="00FC3B77" w:rsidRPr="00693731">
        <w:t>Board</w:t>
      </w:r>
      <w:r w:rsidRPr="00693731">
        <w:t xml:space="preserve"> acknowledges</w:t>
      </w:r>
      <w:r w:rsidR="00FC3B77" w:rsidRPr="00693731">
        <w:t xml:space="preserve"> </w:t>
      </w:r>
      <w:r w:rsidR="001B083A">
        <w:t xml:space="preserve">the </w:t>
      </w:r>
      <w:r w:rsidR="00FC3B77" w:rsidRPr="00693731">
        <w:t xml:space="preserve">concerns from neighbors that the </w:t>
      </w:r>
      <w:r w:rsidRPr="00693731">
        <w:t xml:space="preserve">launch site could be </w:t>
      </w:r>
      <w:r w:rsidR="00FC3B77" w:rsidRPr="00693731">
        <w:t>used b</w:t>
      </w:r>
      <w:r w:rsidR="001B083A">
        <w:t xml:space="preserve">y other balloon companies and that those other companies’ </w:t>
      </w:r>
      <w:r w:rsidR="00FC3B77" w:rsidRPr="00693731">
        <w:t xml:space="preserve">operations and qualifications have not been reviewed by the County.  </w:t>
      </w:r>
      <w:r w:rsidR="004F0F5C" w:rsidRPr="00693731">
        <w:t>To ensure</w:t>
      </w:r>
      <w:r w:rsidR="00FC3B77" w:rsidRPr="00693731">
        <w:t xml:space="preserve"> that the launch site is used only by BATV and its successors and assigns, the Revised Conditions of Approval prohibit Appellant from subletting the launch site</w:t>
      </w:r>
      <w:r w:rsidRPr="00693731">
        <w:t xml:space="preserve"> to other hot air balloon companies</w:t>
      </w:r>
      <w:r w:rsidR="00FC3B77" w:rsidRPr="00693731">
        <w:t xml:space="preserve">.  </w:t>
      </w:r>
      <w:r w:rsidR="004F0F5C" w:rsidRPr="00693731">
        <w:t xml:space="preserve">(See Revised COA No. </w:t>
      </w:r>
      <w:r w:rsidR="00984213" w:rsidRPr="00984213">
        <w:t>4.12 (</w:t>
      </w:r>
      <w:proofErr w:type="spellStart"/>
      <w:r w:rsidR="00984213" w:rsidRPr="00984213">
        <w:t>i</w:t>
      </w:r>
      <w:proofErr w:type="spellEnd"/>
      <w:r w:rsidR="00984213" w:rsidRPr="00984213">
        <w:t>).</w:t>
      </w:r>
      <w:r w:rsidR="004F0F5C" w:rsidRPr="00984213">
        <w:t>)</w:t>
      </w:r>
    </w:p>
    <w:p w14:paraId="079DDB1F" w14:textId="77777777" w:rsidR="00521373" w:rsidRPr="00693731" w:rsidRDefault="00521373" w:rsidP="00FC3B77">
      <w:pPr>
        <w:autoSpaceDE w:val="0"/>
        <w:autoSpaceDN w:val="0"/>
        <w:adjustRightInd w:val="0"/>
        <w:ind w:firstLine="720"/>
      </w:pPr>
    </w:p>
    <w:p w14:paraId="4DEBF06E" w14:textId="77777777" w:rsidR="00521373" w:rsidRPr="00521373" w:rsidRDefault="00521373" w:rsidP="00FC3B77">
      <w:pPr>
        <w:autoSpaceDE w:val="0"/>
        <w:autoSpaceDN w:val="0"/>
        <w:adjustRightInd w:val="0"/>
        <w:ind w:firstLine="720"/>
      </w:pPr>
      <w:r w:rsidRPr="00521373">
        <w:t>The Revised COA</w:t>
      </w:r>
      <w:r>
        <w:t xml:space="preserve"> </w:t>
      </w:r>
      <w:r w:rsidR="001B083A">
        <w:t>will</w:t>
      </w:r>
      <w:r w:rsidR="00693731">
        <w:t xml:space="preserve"> address many </w:t>
      </w:r>
      <w:r>
        <w:t>of the public’</w:t>
      </w:r>
      <w:r w:rsidR="00693731">
        <w:t xml:space="preserve">s concerns and </w:t>
      </w:r>
      <w:r>
        <w:t>ensure that the Project will not adversely affect the public health, safety and welfare.</w:t>
      </w:r>
    </w:p>
    <w:p w14:paraId="6F738054" w14:textId="77777777" w:rsidR="00D2056E" w:rsidRDefault="00D2056E" w:rsidP="004E2986"/>
    <w:p w14:paraId="3D0F0496" w14:textId="77777777" w:rsidR="00765B27" w:rsidRDefault="00765B27" w:rsidP="004E2986">
      <w:pPr>
        <w:autoSpaceDE w:val="0"/>
        <w:autoSpaceDN w:val="0"/>
        <w:adjustRightInd w:val="0"/>
        <w:ind w:firstLine="720"/>
        <w:rPr>
          <w:b/>
          <w:u w:val="single"/>
        </w:rPr>
      </w:pPr>
      <w:r>
        <w:rPr>
          <w:b/>
          <w:u w:val="single"/>
        </w:rPr>
        <w:t>Conclusion:</w:t>
      </w:r>
    </w:p>
    <w:p w14:paraId="042FC1E4" w14:textId="77777777" w:rsidR="00AA63C6" w:rsidRDefault="00AA63C6" w:rsidP="004E2986">
      <w:pPr>
        <w:autoSpaceDE w:val="0"/>
        <w:autoSpaceDN w:val="0"/>
        <w:adjustRightInd w:val="0"/>
        <w:ind w:firstLine="720"/>
        <w:rPr>
          <w:b/>
          <w:u w:val="single"/>
        </w:rPr>
      </w:pPr>
    </w:p>
    <w:p w14:paraId="372E01AC" w14:textId="77777777" w:rsidR="00AA63C6" w:rsidRPr="00210A21" w:rsidRDefault="00AA63C6" w:rsidP="00AA63C6">
      <w:pPr>
        <w:ind w:firstLine="720"/>
      </w:pPr>
      <w:r w:rsidRPr="00867734">
        <w:t>For the foregoing reasons, the Board finds that substantial evidence exists in the record to uphold the Appeal in its entirety, reverse the Planning Commission’s decision to deny the Project and approve the Project and Use Permit No. P19-00303 subject to the Revised Conditions of Approval attached as Exhibit “A.”</w:t>
      </w:r>
    </w:p>
    <w:p w14:paraId="7B030603" w14:textId="77777777" w:rsidR="004D43A2" w:rsidRPr="004D43A2" w:rsidRDefault="004D43A2" w:rsidP="00E9359C"/>
    <w:p w14:paraId="3E0A9BD3" w14:textId="77777777" w:rsidR="00F00905" w:rsidRPr="007B502D" w:rsidRDefault="00F00905" w:rsidP="004E2986">
      <w:pPr>
        <w:widowControl w:val="0"/>
        <w:autoSpaceDE w:val="0"/>
        <w:autoSpaceDN w:val="0"/>
        <w:rPr>
          <w:b/>
          <w:u w:val="single"/>
        </w:rPr>
      </w:pPr>
      <w:r w:rsidRPr="007B502D">
        <w:rPr>
          <w:b/>
          <w:u w:val="single"/>
        </w:rPr>
        <w:t xml:space="preserve">Section </w:t>
      </w:r>
      <w:r w:rsidR="001F5AFA" w:rsidRPr="007B502D">
        <w:rPr>
          <w:b/>
          <w:u w:val="single"/>
        </w:rPr>
        <w:t>4</w:t>
      </w:r>
      <w:r w:rsidRPr="007B502D">
        <w:rPr>
          <w:b/>
          <w:u w:val="single"/>
        </w:rPr>
        <w:t>.</w:t>
      </w:r>
      <w:r w:rsidRPr="007B502D">
        <w:rPr>
          <w:b/>
        </w:rPr>
        <w:tab/>
      </w:r>
      <w:r w:rsidRPr="007B502D">
        <w:rPr>
          <w:b/>
          <w:u w:val="single"/>
        </w:rPr>
        <w:t>CEQA Determination.</w:t>
      </w:r>
    </w:p>
    <w:p w14:paraId="3808B582" w14:textId="77777777" w:rsidR="00F00905" w:rsidRPr="007B502D" w:rsidRDefault="00F00905" w:rsidP="004E2986">
      <w:pPr>
        <w:keepNext/>
      </w:pPr>
    </w:p>
    <w:p w14:paraId="41281D7C" w14:textId="77777777" w:rsidR="00DD0CE3" w:rsidRPr="00B0447B" w:rsidRDefault="00DD0CE3" w:rsidP="004E2986">
      <w:pPr>
        <w:widowControl w:val="0"/>
        <w:autoSpaceDE w:val="0"/>
        <w:autoSpaceDN w:val="0"/>
        <w:ind w:firstLine="720"/>
        <w:rPr>
          <w:rFonts w:eastAsia="Arial"/>
        </w:rPr>
      </w:pPr>
      <w:r>
        <w:rPr>
          <w:rFonts w:eastAsia="Arial"/>
        </w:rPr>
        <w:t>T</w:t>
      </w:r>
      <w:r w:rsidR="00074839">
        <w:rPr>
          <w:rFonts w:eastAsia="Arial"/>
        </w:rPr>
        <w:t xml:space="preserve">he Board has received and reviewed the </w:t>
      </w:r>
      <w:r>
        <w:rPr>
          <w:rFonts w:eastAsia="Arial"/>
        </w:rPr>
        <w:t xml:space="preserve">Negative Declaration pursuant to </w:t>
      </w:r>
      <w:r w:rsidR="00074839">
        <w:rPr>
          <w:rFonts w:eastAsia="Arial"/>
        </w:rPr>
        <w:t xml:space="preserve">the provisions of </w:t>
      </w:r>
      <w:r>
        <w:rPr>
          <w:rFonts w:eastAsia="Arial"/>
        </w:rPr>
        <w:t>CEQA and Napa County’s Local Procedures for Implementation of CEQA,</w:t>
      </w:r>
      <w:r w:rsidR="00074839">
        <w:rPr>
          <w:rFonts w:eastAsia="Arial"/>
        </w:rPr>
        <w:t xml:space="preserve"> and finds that</w:t>
      </w:r>
      <w:r>
        <w:rPr>
          <w:rFonts w:eastAsia="Arial"/>
        </w:rPr>
        <w:t>:</w:t>
      </w:r>
    </w:p>
    <w:p w14:paraId="3AFFEF0C" w14:textId="77777777" w:rsidR="00DD0CE3" w:rsidRPr="00E553DF" w:rsidRDefault="00DD0CE3" w:rsidP="004E2986">
      <w:pPr>
        <w:widowControl w:val="0"/>
        <w:autoSpaceDE w:val="0"/>
        <w:autoSpaceDN w:val="0"/>
        <w:rPr>
          <w:rFonts w:eastAsia="Arial"/>
        </w:rPr>
      </w:pPr>
    </w:p>
    <w:p w14:paraId="07826067" w14:textId="77777777" w:rsidR="00DD0CE3" w:rsidRPr="00E553DF" w:rsidRDefault="00074839" w:rsidP="00B83359">
      <w:pPr>
        <w:widowControl w:val="0"/>
        <w:numPr>
          <w:ilvl w:val="1"/>
          <w:numId w:val="31"/>
        </w:numPr>
        <w:tabs>
          <w:tab w:val="left" w:pos="720"/>
        </w:tabs>
        <w:autoSpaceDE w:val="0"/>
        <w:autoSpaceDN w:val="0"/>
        <w:ind w:left="720" w:hanging="720"/>
      </w:pPr>
      <w:r>
        <w:t xml:space="preserve">Prior to taking action on the Negative Declaration and Project, the </w:t>
      </w:r>
      <w:r w:rsidR="00DD0CE3" w:rsidRPr="00E553DF">
        <w:rPr>
          <w:spacing w:val="2"/>
        </w:rPr>
        <w:t>Board</w:t>
      </w:r>
      <w:r w:rsidR="00DD0CE3" w:rsidRPr="00E553DF">
        <w:t xml:space="preserve"> </w:t>
      </w:r>
      <w:r w:rsidR="00DD0CE3" w:rsidRPr="00E553DF">
        <w:rPr>
          <w:spacing w:val="2"/>
        </w:rPr>
        <w:t xml:space="preserve">read </w:t>
      </w:r>
      <w:r w:rsidR="00DD0CE3" w:rsidRPr="00E553DF">
        <w:t xml:space="preserve">and </w:t>
      </w:r>
      <w:r w:rsidR="00DD0CE3" w:rsidRPr="00E553DF">
        <w:rPr>
          <w:spacing w:val="2"/>
        </w:rPr>
        <w:t xml:space="preserve">considered </w:t>
      </w:r>
      <w:r w:rsidR="00DD0CE3" w:rsidRPr="00E553DF">
        <w:t xml:space="preserve">the </w:t>
      </w:r>
      <w:r>
        <w:rPr>
          <w:spacing w:val="2"/>
        </w:rPr>
        <w:t>Negative Declaration.</w:t>
      </w:r>
    </w:p>
    <w:p w14:paraId="2FB8F602" w14:textId="77777777" w:rsidR="00DD0CE3" w:rsidRPr="00E553DF" w:rsidRDefault="00DD0CE3" w:rsidP="00B83359">
      <w:pPr>
        <w:widowControl w:val="0"/>
        <w:numPr>
          <w:ilvl w:val="1"/>
          <w:numId w:val="31"/>
        </w:numPr>
        <w:tabs>
          <w:tab w:val="left" w:pos="720"/>
        </w:tabs>
        <w:autoSpaceDE w:val="0"/>
        <w:autoSpaceDN w:val="0"/>
        <w:ind w:left="720" w:hanging="720"/>
      </w:pPr>
      <w:r w:rsidRPr="00E553DF">
        <w:t xml:space="preserve">The </w:t>
      </w:r>
      <w:r>
        <w:t xml:space="preserve">Negative </w:t>
      </w:r>
      <w:r w:rsidRPr="00E553DF">
        <w:rPr>
          <w:spacing w:val="2"/>
        </w:rPr>
        <w:t xml:space="preserve">Declaration </w:t>
      </w:r>
      <w:r w:rsidRPr="00E553DF">
        <w:t xml:space="preserve">is </w:t>
      </w:r>
      <w:r w:rsidRPr="00E553DF">
        <w:rPr>
          <w:spacing w:val="2"/>
        </w:rPr>
        <w:t xml:space="preserve">based </w:t>
      </w:r>
      <w:r w:rsidRPr="00E553DF">
        <w:t xml:space="preserve">on </w:t>
      </w:r>
      <w:r w:rsidRPr="00E553DF">
        <w:rPr>
          <w:spacing w:val="2"/>
        </w:rPr>
        <w:t xml:space="preserve">independent judgment exercised </w:t>
      </w:r>
      <w:r w:rsidRPr="00E553DF">
        <w:t xml:space="preserve">by the </w:t>
      </w:r>
      <w:r w:rsidRPr="00E553DF">
        <w:rPr>
          <w:spacing w:val="2"/>
        </w:rPr>
        <w:t>Board</w:t>
      </w:r>
      <w:r w:rsidRPr="00E553DF">
        <w:rPr>
          <w:spacing w:val="3"/>
        </w:rPr>
        <w:t>.</w:t>
      </w:r>
    </w:p>
    <w:p w14:paraId="65C2731B" w14:textId="77777777" w:rsidR="00DD0CE3" w:rsidRPr="00E553DF" w:rsidRDefault="00DD0CE3" w:rsidP="00B83359">
      <w:pPr>
        <w:widowControl w:val="0"/>
        <w:numPr>
          <w:ilvl w:val="1"/>
          <w:numId w:val="31"/>
        </w:numPr>
        <w:tabs>
          <w:tab w:val="left" w:pos="720"/>
        </w:tabs>
        <w:autoSpaceDE w:val="0"/>
        <w:autoSpaceDN w:val="0"/>
        <w:ind w:left="720" w:hanging="720"/>
      </w:pPr>
      <w:r>
        <w:t>The</w:t>
      </w:r>
      <w:r w:rsidRPr="00E553DF">
        <w:t xml:space="preserve"> </w:t>
      </w:r>
      <w:r w:rsidRPr="00E553DF">
        <w:rPr>
          <w:spacing w:val="2"/>
        </w:rPr>
        <w:t xml:space="preserve">Negative Declaration </w:t>
      </w:r>
      <w:r w:rsidRPr="00E553DF">
        <w:t xml:space="preserve">was </w:t>
      </w:r>
      <w:r w:rsidRPr="00E553DF">
        <w:rPr>
          <w:spacing w:val="2"/>
        </w:rPr>
        <w:t xml:space="preserve">prepared </w:t>
      </w:r>
      <w:r w:rsidRPr="00E553DF">
        <w:t xml:space="preserve">and </w:t>
      </w:r>
      <w:r w:rsidRPr="00E553DF">
        <w:rPr>
          <w:spacing w:val="2"/>
        </w:rPr>
        <w:t xml:space="preserve">considered </w:t>
      </w:r>
      <w:r w:rsidRPr="00E553DF">
        <w:t xml:space="preserve">in </w:t>
      </w:r>
      <w:r w:rsidRPr="00E553DF">
        <w:rPr>
          <w:spacing w:val="2"/>
        </w:rPr>
        <w:t xml:space="preserve">accordance with </w:t>
      </w:r>
      <w:r w:rsidRPr="00E553DF">
        <w:t xml:space="preserve">the </w:t>
      </w:r>
      <w:r w:rsidRPr="00E553DF">
        <w:rPr>
          <w:spacing w:val="2"/>
        </w:rPr>
        <w:t xml:space="preserve">requirements </w:t>
      </w:r>
      <w:r w:rsidRPr="00E553DF">
        <w:rPr>
          <w:spacing w:val="3"/>
        </w:rPr>
        <w:t xml:space="preserve">of </w:t>
      </w:r>
      <w:r w:rsidR="00074839">
        <w:t>CEQA.</w:t>
      </w:r>
    </w:p>
    <w:p w14:paraId="6FC6BE7A" w14:textId="77777777" w:rsidR="00DD0CE3" w:rsidRPr="00E553DF" w:rsidRDefault="00DD0CE3" w:rsidP="00B83359">
      <w:pPr>
        <w:widowControl w:val="0"/>
        <w:numPr>
          <w:ilvl w:val="1"/>
          <w:numId w:val="31"/>
        </w:numPr>
        <w:tabs>
          <w:tab w:val="left" w:pos="720"/>
        </w:tabs>
        <w:autoSpaceDE w:val="0"/>
        <w:autoSpaceDN w:val="0"/>
        <w:ind w:left="720" w:hanging="720"/>
      </w:pPr>
      <w:r w:rsidRPr="00E553DF">
        <w:rPr>
          <w:spacing w:val="2"/>
        </w:rPr>
        <w:t xml:space="preserve">There </w:t>
      </w:r>
      <w:r w:rsidRPr="00E553DF">
        <w:t xml:space="preserve">is no </w:t>
      </w:r>
      <w:r w:rsidRPr="00E553DF">
        <w:rPr>
          <w:spacing w:val="2"/>
        </w:rPr>
        <w:t xml:space="preserve">substantial evidence </w:t>
      </w:r>
      <w:r w:rsidRPr="00E553DF">
        <w:t xml:space="preserve">in the </w:t>
      </w:r>
      <w:r w:rsidRPr="00E553DF">
        <w:rPr>
          <w:spacing w:val="2"/>
        </w:rPr>
        <w:t xml:space="preserve">record </w:t>
      </w:r>
      <w:r w:rsidRPr="00E553DF">
        <w:t xml:space="preserve">as a </w:t>
      </w:r>
      <w:r w:rsidRPr="00E553DF">
        <w:rPr>
          <w:spacing w:val="2"/>
        </w:rPr>
        <w:t xml:space="preserve">whole that </w:t>
      </w:r>
      <w:r w:rsidRPr="00E553DF">
        <w:t xml:space="preserve">the </w:t>
      </w:r>
      <w:r>
        <w:t xml:space="preserve">proposed </w:t>
      </w:r>
      <w:r w:rsidRPr="00E553DF">
        <w:rPr>
          <w:spacing w:val="2"/>
        </w:rPr>
        <w:t xml:space="preserve">Project will have </w:t>
      </w:r>
      <w:r w:rsidRPr="00E553DF">
        <w:t xml:space="preserve">a significant effect on the </w:t>
      </w:r>
      <w:r w:rsidRPr="00E553DF">
        <w:rPr>
          <w:spacing w:val="2"/>
        </w:rPr>
        <w:t>environment.</w:t>
      </w:r>
    </w:p>
    <w:p w14:paraId="36864F33" w14:textId="77777777" w:rsidR="00DD0CE3" w:rsidRPr="00E553DF" w:rsidRDefault="00DD0CE3" w:rsidP="00B83359">
      <w:pPr>
        <w:widowControl w:val="0"/>
        <w:numPr>
          <w:ilvl w:val="1"/>
          <w:numId w:val="31"/>
        </w:numPr>
        <w:tabs>
          <w:tab w:val="left" w:pos="720"/>
        </w:tabs>
        <w:autoSpaceDE w:val="0"/>
        <w:autoSpaceDN w:val="0"/>
        <w:ind w:left="720" w:hanging="720"/>
      </w:pPr>
      <w:r w:rsidRPr="00E553DF">
        <w:rPr>
          <w:spacing w:val="2"/>
        </w:rPr>
        <w:t xml:space="preserve">There </w:t>
      </w:r>
      <w:r w:rsidRPr="00E553DF">
        <w:t xml:space="preserve">is no </w:t>
      </w:r>
      <w:r w:rsidRPr="00E553DF">
        <w:rPr>
          <w:spacing w:val="2"/>
        </w:rPr>
        <w:t xml:space="preserve">evidence </w:t>
      </w:r>
      <w:r w:rsidRPr="00E553DF">
        <w:t xml:space="preserve">in the </w:t>
      </w:r>
      <w:r w:rsidRPr="00E553DF">
        <w:rPr>
          <w:spacing w:val="2"/>
        </w:rPr>
        <w:t xml:space="preserve">record </w:t>
      </w:r>
      <w:r w:rsidRPr="00E553DF">
        <w:t xml:space="preserve">as a </w:t>
      </w:r>
      <w:r w:rsidRPr="00E553DF">
        <w:rPr>
          <w:spacing w:val="2"/>
        </w:rPr>
        <w:t xml:space="preserve">whole that </w:t>
      </w:r>
      <w:r w:rsidR="00074839">
        <w:t xml:space="preserve">the </w:t>
      </w:r>
      <w:r w:rsidRPr="00E553DF">
        <w:rPr>
          <w:spacing w:val="2"/>
        </w:rPr>
        <w:t xml:space="preserve">Project will have </w:t>
      </w:r>
      <w:r w:rsidRPr="00E553DF">
        <w:t xml:space="preserve">a </w:t>
      </w:r>
      <w:r w:rsidRPr="00E553DF">
        <w:rPr>
          <w:spacing w:val="3"/>
        </w:rPr>
        <w:t xml:space="preserve">potential </w:t>
      </w:r>
      <w:r w:rsidRPr="00E553DF">
        <w:rPr>
          <w:spacing w:val="2"/>
        </w:rPr>
        <w:t xml:space="preserve">adverse effect </w:t>
      </w:r>
      <w:r w:rsidRPr="00E553DF">
        <w:t xml:space="preserve">on </w:t>
      </w:r>
      <w:r w:rsidRPr="00E553DF">
        <w:rPr>
          <w:spacing w:val="2"/>
        </w:rPr>
        <w:t xml:space="preserve">wildlife resources </w:t>
      </w:r>
      <w:r w:rsidRPr="00E553DF">
        <w:t xml:space="preserve">or </w:t>
      </w:r>
      <w:r w:rsidRPr="00E553DF">
        <w:rPr>
          <w:spacing w:val="2"/>
        </w:rPr>
        <w:t xml:space="preserve">habitat upon which </w:t>
      </w:r>
      <w:r w:rsidRPr="00E553DF">
        <w:t xml:space="preserve">the </w:t>
      </w:r>
      <w:r w:rsidRPr="00E553DF">
        <w:rPr>
          <w:spacing w:val="2"/>
        </w:rPr>
        <w:t xml:space="preserve">wildlife </w:t>
      </w:r>
      <w:r w:rsidRPr="00E553DF">
        <w:rPr>
          <w:spacing w:val="3"/>
        </w:rPr>
        <w:t>depends.</w:t>
      </w:r>
    </w:p>
    <w:p w14:paraId="59991B30" w14:textId="77777777" w:rsidR="00DD0CE3" w:rsidRPr="00074839" w:rsidRDefault="00DD0CE3" w:rsidP="00B83359">
      <w:pPr>
        <w:widowControl w:val="0"/>
        <w:numPr>
          <w:ilvl w:val="1"/>
          <w:numId w:val="31"/>
        </w:numPr>
        <w:tabs>
          <w:tab w:val="left" w:pos="720"/>
        </w:tabs>
        <w:autoSpaceDE w:val="0"/>
        <w:autoSpaceDN w:val="0"/>
        <w:ind w:left="720" w:hanging="720"/>
      </w:pPr>
      <w:r w:rsidRPr="00E553DF">
        <w:rPr>
          <w:spacing w:val="2"/>
        </w:rPr>
        <w:t xml:space="preserve">The </w:t>
      </w:r>
      <w:r w:rsidRPr="00E553DF">
        <w:rPr>
          <w:spacing w:val="3"/>
        </w:rPr>
        <w:t xml:space="preserve">site </w:t>
      </w:r>
      <w:r w:rsidRPr="00E553DF">
        <w:t xml:space="preserve">of </w:t>
      </w:r>
      <w:r w:rsidRPr="00E553DF">
        <w:rPr>
          <w:spacing w:val="3"/>
        </w:rPr>
        <w:t>th</w:t>
      </w:r>
      <w:r>
        <w:rPr>
          <w:spacing w:val="3"/>
        </w:rPr>
        <w:t>e</w:t>
      </w:r>
      <w:r w:rsidRPr="00E553DF">
        <w:rPr>
          <w:spacing w:val="3"/>
        </w:rPr>
        <w:t xml:space="preserve"> proposed Project </w:t>
      </w:r>
      <w:r w:rsidRPr="00E553DF">
        <w:t xml:space="preserve">is </w:t>
      </w:r>
      <w:r w:rsidRPr="00E553DF">
        <w:rPr>
          <w:spacing w:val="2"/>
        </w:rPr>
        <w:t xml:space="preserve">not </w:t>
      </w:r>
      <w:r w:rsidRPr="00E553DF">
        <w:t xml:space="preserve">on </w:t>
      </w:r>
      <w:r w:rsidRPr="00E553DF">
        <w:rPr>
          <w:spacing w:val="2"/>
        </w:rPr>
        <w:t xml:space="preserve">any </w:t>
      </w:r>
      <w:r w:rsidRPr="00E553DF">
        <w:t xml:space="preserve">of </w:t>
      </w:r>
      <w:r w:rsidRPr="00E553DF">
        <w:rPr>
          <w:spacing w:val="2"/>
        </w:rPr>
        <w:t xml:space="preserve">the </w:t>
      </w:r>
      <w:r w:rsidRPr="00E553DF">
        <w:rPr>
          <w:spacing w:val="3"/>
        </w:rPr>
        <w:t xml:space="preserve">lists </w:t>
      </w:r>
      <w:r w:rsidRPr="00E553DF">
        <w:t xml:space="preserve">of </w:t>
      </w:r>
      <w:r w:rsidRPr="00E553DF">
        <w:rPr>
          <w:spacing w:val="3"/>
        </w:rPr>
        <w:t xml:space="preserve">hazardous waste sites enumerated </w:t>
      </w:r>
      <w:r w:rsidRPr="00E553DF">
        <w:rPr>
          <w:spacing w:val="4"/>
        </w:rPr>
        <w:t xml:space="preserve">under </w:t>
      </w:r>
      <w:r w:rsidRPr="00E553DF">
        <w:rPr>
          <w:spacing w:val="2"/>
        </w:rPr>
        <w:t>Government</w:t>
      </w:r>
      <w:r w:rsidRPr="00E553DF">
        <w:rPr>
          <w:spacing w:val="13"/>
        </w:rPr>
        <w:t xml:space="preserve"> </w:t>
      </w:r>
      <w:r w:rsidRPr="00E553DF">
        <w:rPr>
          <w:spacing w:val="2"/>
        </w:rPr>
        <w:t>Code</w:t>
      </w:r>
      <w:r w:rsidRPr="00E553DF">
        <w:rPr>
          <w:spacing w:val="13"/>
        </w:rPr>
        <w:t xml:space="preserve"> </w:t>
      </w:r>
      <w:r w:rsidRPr="00E553DF">
        <w:rPr>
          <w:spacing w:val="2"/>
        </w:rPr>
        <w:t>Section</w:t>
      </w:r>
      <w:r w:rsidRPr="00E553DF">
        <w:rPr>
          <w:spacing w:val="13"/>
        </w:rPr>
        <w:t xml:space="preserve"> </w:t>
      </w:r>
      <w:r w:rsidRPr="00E553DF">
        <w:rPr>
          <w:spacing w:val="2"/>
        </w:rPr>
        <w:t>65962.5</w:t>
      </w:r>
      <w:r w:rsidRPr="00E553DF">
        <w:rPr>
          <w:spacing w:val="13"/>
        </w:rPr>
        <w:t xml:space="preserve"> </w:t>
      </w:r>
      <w:r w:rsidRPr="00E553DF">
        <w:t>and</w:t>
      </w:r>
      <w:r w:rsidRPr="00E553DF">
        <w:rPr>
          <w:spacing w:val="13"/>
        </w:rPr>
        <w:t xml:space="preserve"> </w:t>
      </w:r>
      <w:r w:rsidRPr="00E553DF">
        <w:t>is</w:t>
      </w:r>
      <w:r w:rsidRPr="00E553DF">
        <w:rPr>
          <w:spacing w:val="13"/>
        </w:rPr>
        <w:t xml:space="preserve"> </w:t>
      </w:r>
      <w:r w:rsidRPr="00E553DF">
        <w:t>not</w:t>
      </w:r>
      <w:r w:rsidRPr="00E553DF">
        <w:rPr>
          <w:spacing w:val="13"/>
        </w:rPr>
        <w:t xml:space="preserve"> </w:t>
      </w:r>
      <w:r w:rsidRPr="00E553DF">
        <w:rPr>
          <w:spacing w:val="2"/>
        </w:rPr>
        <w:t>within</w:t>
      </w:r>
      <w:r w:rsidRPr="00E553DF">
        <w:rPr>
          <w:spacing w:val="13"/>
        </w:rPr>
        <w:t xml:space="preserve"> </w:t>
      </w:r>
      <w:r w:rsidRPr="00E553DF">
        <w:t>the</w:t>
      </w:r>
      <w:r w:rsidRPr="00E553DF">
        <w:rPr>
          <w:spacing w:val="13"/>
        </w:rPr>
        <w:t xml:space="preserve"> </w:t>
      </w:r>
      <w:r w:rsidRPr="00E553DF">
        <w:rPr>
          <w:spacing w:val="2"/>
        </w:rPr>
        <w:t>boundaries</w:t>
      </w:r>
      <w:r w:rsidRPr="00E553DF">
        <w:rPr>
          <w:spacing w:val="13"/>
        </w:rPr>
        <w:t xml:space="preserve"> </w:t>
      </w:r>
      <w:r w:rsidRPr="00E553DF">
        <w:t>of</w:t>
      </w:r>
      <w:r w:rsidRPr="00E553DF">
        <w:rPr>
          <w:spacing w:val="13"/>
        </w:rPr>
        <w:t xml:space="preserve"> </w:t>
      </w:r>
      <w:r w:rsidRPr="00E553DF">
        <w:t>any</w:t>
      </w:r>
      <w:r w:rsidRPr="00E553DF">
        <w:rPr>
          <w:spacing w:val="13"/>
        </w:rPr>
        <w:t xml:space="preserve"> </w:t>
      </w:r>
      <w:r w:rsidRPr="00E553DF">
        <w:rPr>
          <w:spacing w:val="2"/>
        </w:rPr>
        <w:t>airport</w:t>
      </w:r>
      <w:r w:rsidRPr="00E553DF">
        <w:rPr>
          <w:spacing w:val="13"/>
        </w:rPr>
        <w:t xml:space="preserve"> </w:t>
      </w:r>
      <w:r w:rsidRPr="00E553DF">
        <w:rPr>
          <w:spacing w:val="2"/>
        </w:rPr>
        <w:t>land</w:t>
      </w:r>
      <w:r w:rsidRPr="00E553DF">
        <w:rPr>
          <w:spacing w:val="13"/>
        </w:rPr>
        <w:t xml:space="preserve"> </w:t>
      </w:r>
      <w:r w:rsidRPr="00E553DF">
        <w:t>use</w:t>
      </w:r>
      <w:r w:rsidRPr="00E553DF">
        <w:rPr>
          <w:spacing w:val="13"/>
        </w:rPr>
        <w:t xml:space="preserve"> </w:t>
      </w:r>
      <w:r w:rsidRPr="00E553DF">
        <w:rPr>
          <w:spacing w:val="3"/>
        </w:rPr>
        <w:t>plan.</w:t>
      </w:r>
    </w:p>
    <w:p w14:paraId="61B4DB19" w14:textId="77777777" w:rsidR="00074839" w:rsidRPr="00E553DF" w:rsidRDefault="00074839" w:rsidP="00B83359">
      <w:pPr>
        <w:widowControl w:val="0"/>
        <w:numPr>
          <w:ilvl w:val="1"/>
          <w:numId w:val="31"/>
        </w:numPr>
        <w:tabs>
          <w:tab w:val="left" w:pos="720"/>
        </w:tabs>
        <w:autoSpaceDE w:val="0"/>
        <w:autoSpaceDN w:val="0"/>
        <w:ind w:left="720" w:hanging="720"/>
      </w:pPr>
      <w:r>
        <w:t xml:space="preserve">The Clerk of the Board of Supervisors is the custodian of records of the proceedings on which this decision is based.  The records are </w:t>
      </w:r>
      <w:r w:rsidR="00597DB3">
        <w:t>located</w:t>
      </w:r>
      <w:r>
        <w:t xml:space="preserve"> at the Napa County Planning, Building and Environmental Services Department, 1195 Third Avenue, Second Floor, Napa, </w:t>
      </w:r>
      <w:r w:rsidR="00597DB3">
        <w:t>California</w:t>
      </w:r>
      <w:r>
        <w:t>.</w:t>
      </w:r>
    </w:p>
    <w:p w14:paraId="7246460A" w14:textId="77777777" w:rsidR="002A4D02" w:rsidRPr="007B502D" w:rsidRDefault="002A4D02" w:rsidP="004E2986"/>
    <w:p w14:paraId="0CF9E66C" w14:textId="77777777" w:rsidR="00F00905" w:rsidRPr="007B502D" w:rsidRDefault="00F00905" w:rsidP="004E2986">
      <w:pPr>
        <w:keepNext/>
        <w:outlineLvl w:val="0"/>
        <w:rPr>
          <w:b/>
          <w:u w:val="single"/>
        </w:rPr>
      </w:pPr>
      <w:r w:rsidRPr="007B502D">
        <w:rPr>
          <w:b/>
          <w:u w:val="single"/>
        </w:rPr>
        <w:t xml:space="preserve">Section </w:t>
      </w:r>
      <w:r w:rsidR="001F5AFA" w:rsidRPr="007B502D">
        <w:rPr>
          <w:b/>
          <w:u w:val="single"/>
        </w:rPr>
        <w:t>5</w:t>
      </w:r>
      <w:r w:rsidRPr="007B502D">
        <w:rPr>
          <w:b/>
          <w:u w:val="single"/>
        </w:rPr>
        <w:t>.</w:t>
      </w:r>
      <w:r w:rsidRPr="007B502D">
        <w:rPr>
          <w:b/>
        </w:rPr>
        <w:tab/>
      </w:r>
      <w:r w:rsidRPr="007B502D">
        <w:rPr>
          <w:b/>
          <w:u w:val="single"/>
        </w:rPr>
        <w:t>Substantial Evidence.</w:t>
      </w:r>
    </w:p>
    <w:p w14:paraId="6A096937" w14:textId="77777777" w:rsidR="00F00905" w:rsidRPr="007B502D" w:rsidRDefault="00F00905" w:rsidP="004E2986">
      <w:pPr>
        <w:keepNext/>
      </w:pPr>
    </w:p>
    <w:p w14:paraId="061654BA" w14:textId="5679FEE3" w:rsidR="00F00905" w:rsidRPr="007B502D" w:rsidRDefault="00F00905" w:rsidP="004E2986">
      <w:r w:rsidRPr="007B502D">
        <w:tab/>
        <w:t>Substanti</w:t>
      </w:r>
      <w:r w:rsidR="0039601F">
        <w:t xml:space="preserve">al evidence supporting </w:t>
      </w:r>
      <w:r w:rsidRPr="007B502D">
        <w:t>every finding made herein is contained in the record of proceedings.  All of the files and records that comprise the administrative record for the Project are incorporated herein by reference.</w:t>
      </w:r>
    </w:p>
    <w:p w14:paraId="21BD0CB5" w14:textId="77777777" w:rsidR="00F00905" w:rsidRPr="007B502D" w:rsidRDefault="00F00905" w:rsidP="004E2986">
      <w:r w:rsidRPr="007B502D">
        <w:t xml:space="preserve">  </w:t>
      </w:r>
    </w:p>
    <w:p w14:paraId="6C9D4AE0" w14:textId="77777777" w:rsidR="00F00905" w:rsidRPr="007B502D" w:rsidRDefault="00F00905" w:rsidP="004E2986">
      <w:pPr>
        <w:keepNext/>
        <w:rPr>
          <w:b/>
          <w:u w:val="single"/>
        </w:rPr>
      </w:pPr>
      <w:r w:rsidRPr="007B502D">
        <w:rPr>
          <w:b/>
          <w:u w:val="single"/>
        </w:rPr>
        <w:t>Section 6.</w:t>
      </w:r>
      <w:r w:rsidRPr="007B502D">
        <w:rPr>
          <w:b/>
        </w:rPr>
        <w:tab/>
      </w:r>
      <w:r w:rsidRPr="007B502D">
        <w:rPr>
          <w:b/>
          <w:u w:val="single"/>
        </w:rPr>
        <w:t>Summary of Decision.</w:t>
      </w:r>
    </w:p>
    <w:p w14:paraId="694E6C62" w14:textId="77777777" w:rsidR="00F00905" w:rsidRPr="007B502D" w:rsidRDefault="00F00905" w:rsidP="004E2986">
      <w:pPr>
        <w:keepNext/>
        <w:rPr>
          <w:b/>
          <w:u w:val="single"/>
        </w:rPr>
      </w:pPr>
    </w:p>
    <w:p w14:paraId="34C8BA72" w14:textId="77970356" w:rsidR="008D22FF" w:rsidRPr="007B502D" w:rsidRDefault="00F67446" w:rsidP="004E2986">
      <w:r w:rsidRPr="007B502D">
        <w:tab/>
        <w:t xml:space="preserve">Based on the foregoing facts, findings, and determinations, the Board of Supervisors hereby: </w:t>
      </w:r>
    </w:p>
    <w:p w14:paraId="13A573EC" w14:textId="77777777" w:rsidR="002A4D02" w:rsidRPr="00CD1B37" w:rsidRDefault="002A4D02" w:rsidP="004E2986">
      <w:r w:rsidRPr="007B502D">
        <w:tab/>
      </w:r>
      <w:r w:rsidR="00074839" w:rsidRPr="00CD1B37">
        <w:t xml:space="preserve">A. </w:t>
      </w:r>
      <w:r w:rsidR="00074839" w:rsidRPr="00CD1B37">
        <w:tab/>
        <w:t xml:space="preserve">Upholds </w:t>
      </w:r>
      <w:r w:rsidRPr="00CD1B37">
        <w:t>the Appeal in its entirety;</w:t>
      </w:r>
    </w:p>
    <w:p w14:paraId="4D5CCECE" w14:textId="77777777" w:rsidR="007A40C5" w:rsidRPr="00CD1B37" w:rsidRDefault="00F67446" w:rsidP="004E2986">
      <w:r w:rsidRPr="00CD1B37">
        <w:tab/>
      </w:r>
      <w:r w:rsidR="002A4D02" w:rsidRPr="00CD1B37">
        <w:t>B</w:t>
      </w:r>
      <w:r w:rsidR="008213E9" w:rsidRPr="00CD1B37">
        <w:t>.</w:t>
      </w:r>
      <w:r w:rsidR="008213E9" w:rsidRPr="00CD1B37">
        <w:tab/>
      </w:r>
      <w:r w:rsidR="00074839" w:rsidRPr="00CD1B37">
        <w:t>Reverses the Planning Commission’s decision to deny the Project;</w:t>
      </w:r>
    </w:p>
    <w:p w14:paraId="7C76A184" w14:textId="77777777" w:rsidR="00074839" w:rsidRPr="00CD1B37" w:rsidRDefault="00074839" w:rsidP="004E2986">
      <w:r w:rsidRPr="00CD1B37">
        <w:tab/>
        <w:t>C.</w:t>
      </w:r>
      <w:r w:rsidRPr="00CD1B37">
        <w:tab/>
        <w:t xml:space="preserve">Adopts </w:t>
      </w:r>
      <w:r w:rsidR="00CD1B37" w:rsidRPr="00CD1B37">
        <w:t>the Negative Declaration for the Project; and</w:t>
      </w:r>
    </w:p>
    <w:p w14:paraId="6E1F4407" w14:textId="77777777" w:rsidR="00F67446" w:rsidRPr="00CD1B37" w:rsidRDefault="00CD1B37" w:rsidP="00CD1B37">
      <w:pPr>
        <w:ind w:left="1440" w:hanging="720"/>
      </w:pPr>
      <w:r>
        <w:t>D.</w:t>
      </w:r>
      <w:r w:rsidR="002A4D02" w:rsidRPr="00CD1B37">
        <w:tab/>
        <w:t>Approv</w:t>
      </w:r>
      <w:r w:rsidRPr="00CD1B37">
        <w:t>es the Project and Use Permit No. P19-00303 subject to the Revised</w:t>
      </w:r>
      <w:r w:rsidR="002A4D02" w:rsidRPr="00CD1B37">
        <w:t xml:space="preserve"> Conditions of Approval attached as Exhibit </w:t>
      </w:r>
      <w:r w:rsidR="00E46D53" w:rsidRPr="00CD1B37">
        <w:t>“</w:t>
      </w:r>
      <w:r w:rsidRPr="00CD1B37">
        <w:t>A</w:t>
      </w:r>
      <w:r w:rsidR="002A4D02" w:rsidRPr="00CD1B37">
        <w:t>.</w:t>
      </w:r>
      <w:r w:rsidR="00E46D53" w:rsidRPr="00CD1B37">
        <w:t>”</w:t>
      </w:r>
      <w:r w:rsidR="002A4D02" w:rsidRPr="00CD1B37">
        <w:t xml:space="preserve"> </w:t>
      </w:r>
    </w:p>
    <w:p w14:paraId="4081C325" w14:textId="77777777" w:rsidR="00074839" w:rsidRPr="007B502D" w:rsidRDefault="00074839" w:rsidP="004E2986"/>
    <w:p w14:paraId="4D282CFF" w14:textId="77777777" w:rsidR="008A5073" w:rsidRPr="007B502D" w:rsidRDefault="00580D23" w:rsidP="004E2986">
      <w:pPr>
        <w:keepNext/>
        <w:rPr>
          <w:b/>
          <w:u w:val="single"/>
        </w:rPr>
      </w:pPr>
      <w:r w:rsidRPr="007B502D">
        <w:rPr>
          <w:b/>
          <w:u w:val="single"/>
        </w:rPr>
        <w:t xml:space="preserve">Section </w:t>
      </w:r>
      <w:r w:rsidR="001F5AFA" w:rsidRPr="007B502D">
        <w:rPr>
          <w:b/>
          <w:u w:val="single"/>
        </w:rPr>
        <w:t>7</w:t>
      </w:r>
      <w:r w:rsidR="008A5073" w:rsidRPr="007B502D">
        <w:rPr>
          <w:b/>
          <w:u w:val="single"/>
        </w:rPr>
        <w:t>.</w:t>
      </w:r>
      <w:r w:rsidR="008A5073" w:rsidRPr="007B502D">
        <w:rPr>
          <w:b/>
        </w:rPr>
        <w:tab/>
      </w:r>
      <w:r w:rsidR="008A5073" w:rsidRPr="007B502D">
        <w:rPr>
          <w:b/>
          <w:u w:val="single"/>
        </w:rPr>
        <w:t>Effective Date.</w:t>
      </w:r>
    </w:p>
    <w:p w14:paraId="19530237" w14:textId="77777777" w:rsidR="008A5073" w:rsidRPr="007B502D" w:rsidRDefault="008A5073" w:rsidP="004E2986">
      <w:pPr>
        <w:keepNext/>
        <w:rPr>
          <w:b/>
          <w:u w:val="single"/>
        </w:rPr>
      </w:pPr>
    </w:p>
    <w:p w14:paraId="2088A7B6" w14:textId="77777777" w:rsidR="008A5073" w:rsidRPr="007B502D" w:rsidRDefault="008A5073" w:rsidP="004E2986">
      <w:r w:rsidRPr="007B502D">
        <w:tab/>
        <w:t>This resolution shall take effect in accordance with the</w:t>
      </w:r>
      <w:r w:rsidR="007A40C5">
        <w:t xml:space="preserve"> provisions of NCC </w:t>
      </w:r>
      <w:r w:rsidR="00CF6C2A" w:rsidRPr="007B502D">
        <w:t>Section</w:t>
      </w:r>
      <w:r w:rsidRPr="007B502D">
        <w:t xml:space="preserve"> 2.88.090.</w:t>
      </w:r>
    </w:p>
    <w:p w14:paraId="3596BFA5" w14:textId="77777777" w:rsidR="00F67446" w:rsidRPr="007B502D" w:rsidRDefault="00F67446" w:rsidP="004E2986"/>
    <w:p w14:paraId="7342DE33" w14:textId="77777777" w:rsidR="00F67446" w:rsidRPr="007B502D" w:rsidRDefault="0063493D" w:rsidP="004E2986">
      <w:pPr>
        <w:keepNext/>
        <w:ind w:left="1440" w:hanging="1440"/>
        <w:rPr>
          <w:b/>
          <w:u w:val="single"/>
        </w:rPr>
      </w:pPr>
      <w:r w:rsidRPr="007B502D">
        <w:rPr>
          <w:b/>
          <w:u w:val="single"/>
        </w:rPr>
        <w:t xml:space="preserve">Section </w:t>
      </w:r>
      <w:r w:rsidR="002A4D02" w:rsidRPr="007B502D">
        <w:rPr>
          <w:b/>
          <w:u w:val="single"/>
        </w:rPr>
        <w:t>8</w:t>
      </w:r>
      <w:r w:rsidR="00F67446" w:rsidRPr="007B502D">
        <w:rPr>
          <w:b/>
          <w:u w:val="single"/>
        </w:rPr>
        <w:t>.</w:t>
      </w:r>
      <w:r w:rsidR="00F67446" w:rsidRPr="007B502D">
        <w:rPr>
          <w:b/>
        </w:rPr>
        <w:tab/>
      </w:r>
      <w:r w:rsidR="00F67446" w:rsidRPr="007B502D">
        <w:rPr>
          <w:b/>
          <w:u w:val="single"/>
        </w:rPr>
        <w:t>Judicial Challenge.</w:t>
      </w:r>
    </w:p>
    <w:p w14:paraId="675352BF" w14:textId="77777777" w:rsidR="00F67446" w:rsidRPr="007B502D" w:rsidRDefault="00F67446" w:rsidP="004E2986">
      <w:pPr>
        <w:keepNext/>
      </w:pPr>
    </w:p>
    <w:p w14:paraId="029A4BEC" w14:textId="77777777" w:rsidR="00F67446" w:rsidRPr="007B502D" w:rsidRDefault="00F67446" w:rsidP="004E2986">
      <w:pPr>
        <w:widowControl w:val="0"/>
      </w:pPr>
      <w:r w:rsidRPr="007B502D">
        <w:tab/>
        <w:t>Unless a shorter period applies, any judicial challenge to this decision is governed by California Code of Civil Procedure Section 1094.6.</w:t>
      </w:r>
    </w:p>
    <w:p w14:paraId="745F4ABD" w14:textId="77777777" w:rsidR="008A5073" w:rsidRPr="007B502D" w:rsidRDefault="008A5073" w:rsidP="004E2986"/>
    <w:p w14:paraId="06C322BC" w14:textId="144407FD" w:rsidR="0010581B" w:rsidRPr="007B502D" w:rsidRDefault="008A5073" w:rsidP="004E2986">
      <w:r w:rsidRPr="007B502D">
        <w:tab/>
      </w:r>
      <w:r w:rsidRPr="007B502D">
        <w:rPr>
          <w:b/>
        </w:rPr>
        <w:t>THE FOREGOING RESOLUTION WAS DULY AND REGULARLY ADOPTED</w:t>
      </w:r>
      <w:r w:rsidRPr="007B502D">
        <w:t xml:space="preserve"> by the Board of Supervisors of the County of Napa, State of California, at a regular meeting of said Board held o</w:t>
      </w:r>
      <w:r w:rsidR="00A71A68">
        <w:t>n the 26</w:t>
      </w:r>
      <w:r w:rsidR="00A71A68" w:rsidRPr="00A71A68">
        <w:rPr>
          <w:vertAlign w:val="superscript"/>
        </w:rPr>
        <w:t>th</w:t>
      </w:r>
      <w:r w:rsidR="00A71A68">
        <w:t xml:space="preserve"> </w:t>
      </w:r>
      <w:r w:rsidR="009A7C20" w:rsidRPr="007B502D">
        <w:t>day of</w:t>
      </w:r>
      <w:r w:rsidR="00A71A68">
        <w:t xml:space="preserve"> January</w:t>
      </w:r>
      <w:r w:rsidR="00031982">
        <w:t>,</w:t>
      </w:r>
      <w:r w:rsidR="00A71A68">
        <w:t xml:space="preserve"> </w:t>
      </w:r>
      <w:r w:rsidR="003711A6">
        <w:t>2021</w:t>
      </w:r>
      <w:r w:rsidRPr="007B502D">
        <w:t>, by the following vote:</w:t>
      </w:r>
    </w:p>
    <w:p w14:paraId="07184A43" w14:textId="77777777" w:rsidR="008A5073" w:rsidRPr="007B502D" w:rsidRDefault="008A5073" w:rsidP="00D175D9"/>
    <w:p w14:paraId="371E6040" w14:textId="73429919" w:rsidR="00A71A68" w:rsidRPr="007B68F8" w:rsidRDefault="00D83D88" w:rsidP="00A71A68">
      <w:pPr>
        <w:suppressAutoHyphens/>
        <w:overflowPunct w:val="0"/>
        <w:autoSpaceDE w:val="0"/>
        <w:autoSpaceDN w:val="0"/>
        <w:adjustRightInd w:val="0"/>
        <w:jc w:val="both"/>
        <w:textAlignment w:val="baseline"/>
        <w:rPr>
          <w:spacing w:val="-2"/>
          <w:szCs w:val="20"/>
        </w:rPr>
      </w:pPr>
      <w:r w:rsidRPr="007B502D">
        <w:tab/>
      </w:r>
      <w:r w:rsidR="00A71A68" w:rsidRPr="00031982">
        <w:rPr>
          <w:spacing w:val="-2"/>
          <w:szCs w:val="20"/>
        </w:rPr>
        <w:t>AYES:</w:t>
      </w:r>
      <w:r w:rsidR="00A71A68" w:rsidRPr="00031982">
        <w:rPr>
          <w:spacing w:val="-2"/>
          <w:szCs w:val="20"/>
        </w:rPr>
        <w:tab/>
      </w:r>
      <w:r w:rsidR="00A71A68" w:rsidRPr="00031982">
        <w:rPr>
          <w:spacing w:val="-2"/>
          <w:szCs w:val="20"/>
        </w:rPr>
        <w:tab/>
        <w:t xml:space="preserve">SUPERVISORS   </w:t>
      </w:r>
      <w:r w:rsidR="00A71A68" w:rsidRPr="00031982">
        <w:rPr>
          <w:spacing w:val="-2"/>
          <w:szCs w:val="20"/>
        </w:rPr>
        <w:tab/>
        <w:t>GREGORY, RAMOS and PEDROZA</w:t>
      </w:r>
    </w:p>
    <w:p w14:paraId="235F354B" w14:textId="77777777" w:rsidR="00A71A68" w:rsidRPr="008151A9" w:rsidRDefault="00A71A68" w:rsidP="00A71A68">
      <w:pPr>
        <w:suppressAutoHyphens/>
        <w:overflowPunct w:val="0"/>
        <w:autoSpaceDE w:val="0"/>
        <w:autoSpaceDN w:val="0"/>
        <w:adjustRightInd w:val="0"/>
        <w:jc w:val="both"/>
        <w:textAlignment w:val="baseline"/>
        <w:rPr>
          <w:spacing w:val="-2"/>
          <w:szCs w:val="20"/>
        </w:rPr>
      </w:pPr>
    </w:p>
    <w:p w14:paraId="168C4103" w14:textId="4F2DD768" w:rsidR="00A71A68" w:rsidRDefault="00A71A68" w:rsidP="00A71A68">
      <w:pPr>
        <w:suppressAutoHyphens/>
        <w:overflowPunct w:val="0"/>
        <w:autoSpaceDE w:val="0"/>
        <w:autoSpaceDN w:val="0"/>
        <w:adjustRightInd w:val="0"/>
        <w:jc w:val="both"/>
        <w:textAlignment w:val="baseline"/>
        <w:rPr>
          <w:spacing w:val="-2"/>
          <w:szCs w:val="20"/>
        </w:rPr>
      </w:pPr>
      <w:r w:rsidRPr="008151A9">
        <w:rPr>
          <w:spacing w:val="-2"/>
          <w:szCs w:val="20"/>
        </w:rPr>
        <w:t xml:space="preserve">    </w:t>
      </w:r>
      <w:r w:rsidRPr="008151A9">
        <w:rPr>
          <w:spacing w:val="-2"/>
          <w:szCs w:val="20"/>
        </w:rPr>
        <w:tab/>
        <w:t>NOES:</w:t>
      </w:r>
      <w:r w:rsidRPr="008151A9">
        <w:rPr>
          <w:spacing w:val="-2"/>
          <w:szCs w:val="20"/>
        </w:rPr>
        <w:tab/>
      </w:r>
      <w:r>
        <w:rPr>
          <w:spacing w:val="-2"/>
          <w:szCs w:val="20"/>
        </w:rPr>
        <w:tab/>
      </w:r>
      <w:r w:rsidRPr="008151A9">
        <w:rPr>
          <w:spacing w:val="-2"/>
          <w:szCs w:val="20"/>
        </w:rPr>
        <w:t xml:space="preserve">SUPERVISORS   </w:t>
      </w:r>
      <w:r w:rsidRPr="008151A9">
        <w:rPr>
          <w:spacing w:val="-2"/>
          <w:szCs w:val="20"/>
        </w:rPr>
        <w:tab/>
      </w:r>
      <w:r w:rsidR="007B68F8">
        <w:rPr>
          <w:spacing w:val="-2"/>
          <w:szCs w:val="20"/>
        </w:rPr>
        <w:t>WAGENKNECHT and DILLON</w:t>
      </w:r>
      <w:bookmarkStart w:id="0" w:name="_GoBack"/>
      <w:bookmarkEnd w:id="0"/>
    </w:p>
    <w:p w14:paraId="1DA6BD80" w14:textId="77777777" w:rsidR="00A71A68" w:rsidRDefault="00A71A68" w:rsidP="00A71A68">
      <w:pPr>
        <w:suppressAutoHyphens/>
        <w:overflowPunct w:val="0"/>
        <w:autoSpaceDE w:val="0"/>
        <w:autoSpaceDN w:val="0"/>
        <w:adjustRightInd w:val="0"/>
        <w:jc w:val="both"/>
        <w:textAlignment w:val="baseline"/>
        <w:rPr>
          <w:spacing w:val="-2"/>
          <w:szCs w:val="20"/>
        </w:rPr>
      </w:pPr>
    </w:p>
    <w:p w14:paraId="20C08DD3" w14:textId="77777777" w:rsidR="00A71A68" w:rsidRPr="008151A9" w:rsidRDefault="00A71A68" w:rsidP="00A71A68">
      <w:pPr>
        <w:suppressAutoHyphens/>
        <w:overflowPunct w:val="0"/>
        <w:autoSpaceDE w:val="0"/>
        <w:autoSpaceDN w:val="0"/>
        <w:adjustRightInd w:val="0"/>
        <w:jc w:val="both"/>
        <w:textAlignment w:val="baseline"/>
        <w:rPr>
          <w:spacing w:val="-2"/>
          <w:szCs w:val="20"/>
        </w:rPr>
      </w:pPr>
      <w:r>
        <w:rPr>
          <w:spacing w:val="-2"/>
          <w:szCs w:val="20"/>
        </w:rPr>
        <w:tab/>
        <w:t>ABSTAIN:</w:t>
      </w:r>
      <w:r>
        <w:rPr>
          <w:spacing w:val="-2"/>
          <w:szCs w:val="20"/>
        </w:rPr>
        <w:tab/>
        <w:t>SUPERVISORS</w:t>
      </w:r>
      <w:r>
        <w:rPr>
          <w:spacing w:val="-2"/>
          <w:szCs w:val="20"/>
        </w:rPr>
        <w:tab/>
        <w:t>NONE</w:t>
      </w:r>
    </w:p>
    <w:p w14:paraId="160DA595" w14:textId="77777777" w:rsidR="00A71A68" w:rsidRPr="008151A9" w:rsidRDefault="00A71A68" w:rsidP="00A71A68">
      <w:pPr>
        <w:suppressAutoHyphens/>
        <w:overflowPunct w:val="0"/>
        <w:autoSpaceDE w:val="0"/>
        <w:autoSpaceDN w:val="0"/>
        <w:adjustRightInd w:val="0"/>
        <w:jc w:val="both"/>
        <w:textAlignment w:val="baseline"/>
        <w:rPr>
          <w:spacing w:val="-2"/>
          <w:szCs w:val="20"/>
        </w:rPr>
      </w:pPr>
    </w:p>
    <w:p w14:paraId="2495F503" w14:textId="77777777" w:rsidR="00A71A68" w:rsidRDefault="00A71A68" w:rsidP="00A71A68">
      <w:pPr>
        <w:suppressAutoHyphens/>
        <w:overflowPunct w:val="0"/>
        <w:autoSpaceDE w:val="0"/>
        <w:autoSpaceDN w:val="0"/>
        <w:adjustRightInd w:val="0"/>
        <w:jc w:val="both"/>
        <w:textAlignment w:val="baseline"/>
        <w:rPr>
          <w:spacing w:val="-2"/>
          <w:szCs w:val="20"/>
        </w:rPr>
      </w:pPr>
      <w:r w:rsidRPr="008151A9">
        <w:rPr>
          <w:spacing w:val="-2"/>
          <w:szCs w:val="20"/>
        </w:rPr>
        <w:t xml:space="preserve">       </w:t>
      </w:r>
      <w:r w:rsidRPr="008151A9">
        <w:rPr>
          <w:spacing w:val="-2"/>
          <w:szCs w:val="20"/>
        </w:rPr>
        <w:tab/>
        <w:t>ABSENT</w:t>
      </w:r>
      <w:r>
        <w:rPr>
          <w:spacing w:val="-2"/>
          <w:szCs w:val="20"/>
        </w:rPr>
        <w:t>:</w:t>
      </w:r>
      <w:r w:rsidRPr="008151A9">
        <w:rPr>
          <w:spacing w:val="-2"/>
          <w:szCs w:val="20"/>
        </w:rPr>
        <w:t xml:space="preserve">  </w:t>
      </w:r>
      <w:r w:rsidRPr="008151A9">
        <w:rPr>
          <w:spacing w:val="-2"/>
          <w:szCs w:val="20"/>
        </w:rPr>
        <w:tab/>
        <w:t xml:space="preserve">SUPERVISORS   </w:t>
      </w:r>
      <w:r w:rsidRPr="008151A9">
        <w:rPr>
          <w:spacing w:val="-2"/>
          <w:szCs w:val="20"/>
        </w:rPr>
        <w:tab/>
      </w:r>
      <w:r>
        <w:rPr>
          <w:spacing w:val="-2"/>
          <w:szCs w:val="20"/>
        </w:rPr>
        <w:t>NONE</w:t>
      </w:r>
    </w:p>
    <w:p w14:paraId="54B48557" w14:textId="77777777" w:rsidR="005800C8" w:rsidRPr="00E67C6E" w:rsidRDefault="005800C8" w:rsidP="005800C8">
      <w:pPr>
        <w:suppressAutoHyphens/>
        <w:overflowPunct w:val="0"/>
        <w:autoSpaceDE w:val="0"/>
        <w:autoSpaceDN w:val="0"/>
        <w:adjustRightInd w:val="0"/>
        <w:ind w:left="4320"/>
        <w:textAlignment w:val="baseline"/>
        <w:rPr>
          <w:sz w:val="22"/>
          <w:szCs w:val="22"/>
        </w:rPr>
      </w:pPr>
    </w:p>
    <w:p w14:paraId="2C6C3CD7" w14:textId="77777777" w:rsidR="005800C8" w:rsidRPr="00E67C6E" w:rsidRDefault="005800C8" w:rsidP="005800C8">
      <w:pPr>
        <w:suppressAutoHyphens/>
        <w:overflowPunct w:val="0"/>
        <w:autoSpaceDE w:val="0"/>
        <w:autoSpaceDN w:val="0"/>
        <w:adjustRightInd w:val="0"/>
        <w:ind w:left="4320"/>
        <w:textAlignment w:val="baseline"/>
        <w:rPr>
          <w:sz w:val="22"/>
          <w:szCs w:val="22"/>
        </w:rPr>
      </w:pPr>
      <w:r w:rsidRPr="00E67C6E">
        <w:rPr>
          <w:sz w:val="22"/>
          <w:szCs w:val="22"/>
        </w:rPr>
        <w:t>NAPA COUNTY, a political subdivision of</w:t>
      </w:r>
    </w:p>
    <w:p w14:paraId="7F0D64F7" w14:textId="2A4A1EBE" w:rsidR="005800C8" w:rsidRDefault="005800C8" w:rsidP="00984213">
      <w:pPr>
        <w:suppressAutoHyphens/>
        <w:overflowPunct w:val="0"/>
        <w:autoSpaceDE w:val="0"/>
        <w:autoSpaceDN w:val="0"/>
        <w:adjustRightInd w:val="0"/>
        <w:ind w:left="4320"/>
        <w:textAlignment w:val="baseline"/>
        <w:rPr>
          <w:sz w:val="22"/>
          <w:szCs w:val="22"/>
        </w:rPr>
      </w:pPr>
      <w:proofErr w:type="gramStart"/>
      <w:r w:rsidRPr="00E67C6E">
        <w:rPr>
          <w:sz w:val="22"/>
          <w:szCs w:val="22"/>
        </w:rPr>
        <w:t>the</w:t>
      </w:r>
      <w:proofErr w:type="gramEnd"/>
      <w:r w:rsidRPr="00E67C6E">
        <w:rPr>
          <w:sz w:val="22"/>
          <w:szCs w:val="22"/>
        </w:rPr>
        <w:t xml:space="preserve"> State of California</w:t>
      </w:r>
    </w:p>
    <w:p w14:paraId="0B450213" w14:textId="573FFFB3" w:rsidR="00FA3096" w:rsidRPr="00E67C6E" w:rsidRDefault="00FA3096" w:rsidP="00984213">
      <w:pPr>
        <w:suppressAutoHyphens/>
        <w:overflowPunct w:val="0"/>
        <w:autoSpaceDE w:val="0"/>
        <w:autoSpaceDN w:val="0"/>
        <w:adjustRightInd w:val="0"/>
        <w:ind w:left="4320"/>
        <w:textAlignment w:val="baseline"/>
        <w:rPr>
          <w:sz w:val="22"/>
          <w:szCs w:val="22"/>
        </w:rPr>
      </w:pPr>
    </w:p>
    <w:p w14:paraId="3FE76558" w14:textId="559C9585" w:rsidR="005800C8" w:rsidRPr="00E67C6E" w:rsidRDefault="00031982" w:rsidP="00031982">
      <w:pPr>
        <w:suppressAutoHyphens/>
        <w:overflowPunct w:val="0"/>
        <w:autoSpaceDE w:val="0"/>
        <w:autoSpaceDN w:val="0"/>
        <w:adjustRightInd w:val="0"/>
        <w:ind w:left="3780"/>
        <w:textAlignment w:val="baseline"/>
        <w:rPr>
          <w:sz w:val="22"/>
          <w:szCs w:val="22"/>
        </w:rPr>
      </w:pPr>
      <w:r>
        <w:rPr>
          <w:sz w:val="22"/>
          <w:szCs w:val="22"/>
        </w:rPr>
        <w:t>By:</w:t>
      </w:r>
      <w:r>
        <w:rPr>
          <w:sz w:val="22"/>
          <w:szCs w:val="22"/>
        </w:rPr>
        <w:tab/>
      </w:r>
      <w:r w:rsidR="005800C8" w:rsidRPr="00E67C6E">
        <w:rPr>
          <w:sz w:val="22"/>
          <w:szCs w:val="22"/>
        </w:rPr>
        <w:t>__________________________________</w:t>
      </w:r>
    </w:p>
    <w:p w14:paraId="2B27C680" w14:textId="77777777" w:rsidR="005800C8" w:rsidRPr="00E67C6E" w:rsidRDefault="00CD1B37" w:rsidP="00422C8B">
      <w:pPr>
        <w:suppressAutoHyphens/>
        <w:overflowPunct w:val="0"/>
        <w:autoSpaceDE w:val="0"/>
        <w:autoSpaceDN w:val="0"/>
        <w:adjustRightInd w:val="0"/>
        <w:ind w:left="3600" w:firstLine="720"/>
        <w:textAlignment w:val="baseline"/>
        <w:rPr>
          <w:sz w:val="22"/>
          <w:szCs w:val="22"/>
        </w:rPr>
      </w:pPr>
      <w:r w:rsidRPr="00E67C6E">
        <w:rPr>
          <w:sz w:val="22"/>
          <w:szCs w:val="22"/>
        </w:rPr>
        <w:t>ALFREDO PEDROZA</w:t>
      </w:r>
      <w:r w:rsidR="005800C8" w:rsidRPr="00E67C6E">
        <w:rPr>
          <w:sz w:val="22"/>
          <w:szCs w:val="22"/>
        </w:rPr>
        <w:t>, Chair of the</w:t>
      </w:r>
    </w:p>
    <w:p w14:paraId="2FF6D4B3" w14:textId="77777777" w:rsidR="005800C8" w:rsidRPr="00E67C6E" w:rsidRDefault="005800C8" w:rsidP="005800C8">
      <w:pPr>
        <w:suppressAutoHyphens/>
        <w:overflowPunct w:val="0"/>
        <w:autoSpaceDE w:val="0"/>
        <w:autoSpaceDN w:val="0"/>
        <w:adjustRightInd w:val="0"/>
        <w:ind w:left="4320"/>
        <w:textAlignment w:val="baseline"/>
        <w:rPr>
          <w:sz w:val="22"/>
          <w:szCs w:val="22"/>
        </w:rPr>
      </w:pPr>
      <w:r w:rsidRPr="00E67C6E">
        <w:rPr>
          <w:sz w:val="22"/>
          <w:szCs w:val="22"/>
        </w:rPr>
        <w:t>Board of Supervisors</w:t>
      </w:r>
    </w:p>
    <w:p w14:paraId="2B4A9359" w14:textId="77777777" w:rsidR="005800C8" w:rsidRPr="00FA3096" w:rsidRDefault="005800C8" w:rsidP="005800C8">
      <w:pPr>
        <w:rPr>
          <w:spacing w:val="-2"/>
          <w:sz w:val="18"/>
          <w:szCs w:val="18"/>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3429"/>
        <w:gridCol w:w="3373"/>
      </w:tblGrid>
      <w:tr w:rsidR="005800C8" w:rsidRPr="00FA3096" w14:paraId="4222FFB2" w14:textId="77777777" w:rsidTr="005E7D61">
        <w:tc>
          <w:tcPr>
            <w:tcW w:w="1556" w:type="pct"/>
            <w:tcBorders>
              <w:top w:val="single" w:sz="4" w:space="0" w:color="auto"/>
              <w:left w:val="single" w:sz="4" w:space="0" w:color="auto"/>
              <w:bottom w:val="single" w:sz="4" w:space="0" w:color="auto"/>
              <w:right w:val="single" w:sz="4" w:space="0" w:color="auto"/>
            </w:tcBorders>
          </w:tcPr>
          <w:p w14:paraId="67037946" w14:textId="77777777" w:rsidR="005800C8" w:rsidRPr="00FA3096" w:rsidRDefault="005800C8" w:rsidP="005800C8">
            <w:pPr>
              <w:jc w:val="center"/>
              <w:rPr>
                <w:rFonts w:eastAsia="Calibri"/>
                <w:sz w:val="18"/>
                <w:szCs w:val="18"/>
              </w:rPr>
            </w:pPr>
            <w:r w:rsidRPr="00FA3096">
              <w:rPr>
                <w:rFonts w:eastAsia="Calibri"/>
                <w:sz w:val="18"/>
                <w:szCs w:val="18"/>
              </w:rPr>
              <w:t>APPROVED AS TO FORM</w:t>
            </w:r>
          </w:p>
          <w:p w14:paraId="0B505843" w14:textId="77777777" w:rsidR="005800C8" w:rsidRPr="00FA3096" w:rsidRDefault="005800C8" w:rsidP="005800C8">
            <w:pPr>
              <w:jc w:val="center"/>
              <w:rPr>
                <w:rFonts w:eastAsia="Calibri"/>
                <w:sz w:val="18"/>
                <w:szCs w:val="18"/>
              </w:rPr>
            </w:pPr>
            <w:r w:rsidRPr="00FA3096">
              <w:rPr>
                <w:rFonts w:eastAsia="Calibri"/>
                <w:sz w:val="18"/>
                <w:szCs w:val="18"/>
              </w:rPr>
              <w:t>Office of County Counsel</w:t>
            </w:r>
          </w:p>
          <w:p w14:paraId="2456B00C" w14:textId="77777777" w:rsidR="005800C8" w:rsidRPr="00FA3096" w:rsidRDefault="005800C8" w:rsidP="005800C8">
            <w:pPr>
              <w:rPr>
                <w:rFonts w:eastAsia="Calibri"/>
                <w:sz w:val="18"/>
                <w:szCs w:val="18"/>
              </w:rPr>
            </w:pPr>
          </w:p>
          <w:p w14:paraId="2CAC8E8F" w14:textId="77777777" w:rsidR="005800C8" w:rsidRPr="00FA3096" w:rsidRDefault="005800C8" w:rsidP="005800C8">
            <w:pPr>
              <w:tabs>
                <w:tab w:val="left" w:pos="630"/>
                <w:tab w:val="left" w:pos="2772"/>
              </w:tabs>
              <w:rPr>
                <w:rFonts w:eastAsia="Calibri"/>
                <w:i/>
                <w:sz w:val="18"/>
                <w:szCs w:val="18"/>
                <w:u w:val="single"/>
              </w:rPr>
            </w:pPr>
            <w:r w:rsidRPr="00FA3096">
              <w:rPr>
                <w:rFonts w:eastAsia="Calibri"/>
                <w:sz w:val="18"/>
                <w:szCs w:val="18"/>
              </w:rPr>
              <w:t>By:</w:t>
            </w:r>
            <w:r w:rsidR="00FB23FE" w:rsidRPr="00FA3096">
              <w:rPr>
                <w:rFonts w:eastAsia="Calibri"/>
                <w:sz w:val="18"/>
                <w:szCs w:val="18"/>
              </w:rPr>
              <w:t xml:space="preserve"> </w:t>
            </w:r>
            <w:r w:rsidR="00FB23FE" w:rsidRPr="00FA3096">
              <w:rPr>
                <w:rFonts w:eastAsia="Calibri"/>
                <w:i/>
                <w:sz w:val="18"/>
                <w:szCs w:val="18"/>
                <w:u w:val="single"/>
              </w:rPr>
              <w:t>Laura J. Anderson (e-sign)</w:t>
            </w:r>
          </w:p>
          <w:p w14:paraId="72E5C163" w14:textId="77777777" w:rsidR="005800C8" w:rsidRPr="00FA3096" w:rsidRDefault="005800C8" w:rsidP="005800C8">
            <w:pPr>
              <w:tabs>
                <w:tab w:val="left" w:pos="630"/>
                <w:tab w:val="left" w:pos="2766"/>
              </w:tabs>
              <w:rPr>
                <w:rFonts w:eastAsia="Calibri"/>
                <w:i/>
                <w:sz w:val="18"/>
                <w:szCs w:val="18"/>
              </w:rPr>
            </w:pPr>
            <w:r w:rsidRPr="00FA3096">
              <w:rPr>
                <w:rFonts w:eastAsia="Calibri"/>
                <w:i/>
                <w:sz w:val="18"/>
                <w:szCs w:val="18"/>
              </w:rPr>
              <w:tab/>
            </w:r>
            <w:r w:rsidR="003F3E50" w:rsidRPr="00FA3096">
              <w:rPr>
                <w:rFonts w:eastAsia="Calibri"/>
                <w:sz w:val="18"/>
                <w:szCs w:val="18"/>
              </w:rPr>
              <w:t xml:space="preserve">Deputy </w:t>
            </w:r>
            <w:r w:rsidRPr="00FA3096">
              <w:rPr>
                <w:rFonts w:eastAsia="Calibri"/>
                <w:sz w:val="18"/>
                <w:szCs w:val="18"/>
              </w:rPr>
              <w:t>County Counsel</w:t>
            </w:r>
          </w:p>
          <w:p w14:paraId="7338F111" w14:textId="77777777" w:rsidR="005800C8" w:rsidRPr="00FA3096" w:rsidRDefault="005800C8" w:rsidP="005800C8">
            <w:pPr>
              <w:autoSpaceDE w:val="0"/>
              <w:autoSpaceDN w:val="0"/>
              <w:adjustRightInd w:val="0"/>
              <w:rPr>
                <w:rFonts w:eastAsia="Calibri"/>
                <w:sz w:val="18"/>
                <w:szCs w:val="18"/>
              </w:rPr>
            </w:pPr>
          </w:p>
          <w:p w14:paraId="6A850DFD" w14:textId="6BE92410" w:rsidR="005800C8" w:rsidRPr="00FA3096" w:rsidRDefault="005800C8" w:rsidP="005800C8">
            <w:pPr>
              <w:tabs>
                <w:tab w:val="left" w:pos="616"/>
                <w:tab w:val="left" w:pos="2772"/>
              </w:tabs>
              <w:autoSpaceDE w:val="0"/>
              <w:autoSpaceDN w:val="0"/>
              <w:adjustRightInd w:val="0"/>
              <w:rPr>
                <w:rFonts w:eastAsia="Calibri"/>
                <w:sz w:val="18"/>
                <w:szCs w:val="18"/>
              </w:rPr>
            </w:pPr>
            <w:r w:rsidRPr="00FA3096">
              <w:rPr>
                <w:rFonts w:eastAsia="Calibri"/>
                <w:sz w:val="18"/>
                <w:szCs w:val="18"/>
              </w:rPr>
              <w:t xml:space="preserve">Date: </w:t>
            </w:r>
            <w:r w:rsidR="001E454A" w:rsidRPr="00FA3096">
              <w:rPr>
                <w:rFonts w:eastAsia="Calibri"/>
                <w:sz w:val="18"/>
                <w:szCs w:val="18"/>
                <w:u w:val="single"/>
              </w:rPr>
              <w:t>January 20</w:t>
            </w:r>
            <w:r w:rsidR="00FB23FE" w:rsidRPr="00FA3096">
              <w:rPr>
                <w:rFonts w:eastAsia="Calibri"/>
                <w:sz w:val="18"/>
                <w:szCs w:val="18"/>
                <w:u w:val="single"/>
              </w:rPr>
              <w:t>, 202</w:t>
            </w:r>
            <w:r w:rsidR="00C50A2F" w:rsidRPr="00FA3096">
              <w:rPr>
                <w:rFonts w:eastAsia="Calibri"/>
                <w:sz w:val="18"/>
                <w:szCs w:val="18"/>
                <w:u w:val="single"/>
              </w:rPr>
              <w:t>1</w:t>
            </w:r>
          </w:p>
        </w:tc>
        <w:tc>
          <w:tcPr>
            <w:tcW w:w="1736" w:type="pct"/>
            <w:tcBorders>
              <w:top w:val="single" w:sz="4" w:space="0" w:color="auto"/>
              <w:left w:val="single" w:sz="4" w:space="0" w:color="auto"/>
              <w:bottom w:val="single" w:sz="4" w:space="0" w:color="auto"/>
              <w:right w:val="single" w:sz="4" w:space="0" w:color="auto"/>
            </w:tcBorders>
          </w:tcPr>
          <w:p w14:paraId="0D7683A5" w14:textId="77777777" w:rsidR="005800C8" w:rsidRPr="00FA3096" w:rsidRDefault="005800C8" w:rsidP="005800C8">
            <w:pPr>
              <w:suppressAutoHyphens/>
              <w:jc w:val="center"/>
              <w:outlineLvl w:val="0"/>
              <w:rPr>
                <w:rFonts w:eastAsia="Calibri"/>
                <w:spacing w:val="-3"/>
                <w:sz w:val="18"/>
                <w:szCs w:val="18"/>
              </w:rPr>
            </w:pPr>
            <w:r w:rsidRPr="00FA3096">
              <w:rPr>
                <w:rFonts w:eastAsia="Calibri"/>
                <w:spacing w:val="-3"/>
                <w:sz w:val="18"/>
                <w:szCs w:val="18"/>
              </w:rPr>
              <w:t>APPROVED BY THE NAPA COUNTY</w:t>
            </w:r>
          </w:p>
          <w:p w14:paraId="16A51787" w14:textId="77777777" w:rsidR="005800C8" w:rsidRPr="00FA3096" w:rsidRDefault="005800C8" w:rsidP="005800C8">
            <w:pPr>
              <w:suppressAutoHyphens/>
              <w:jc w:val="center"/>
              <w:outlineLvl w:val="0"/>
              <w:rPr>
                <w:rFonts w:eastAsia="Calibri"/>
                <w:spacing w:val="-3"/>
                <w:sz w:val="18"/>
                <w:szCs w:val="18"/>
              </w:rPr>
            </w:pPr>
            <w:r w:rsidRPr="00FA3096">
              <w:rPr>
                <w:rFonts w:eastAsia="Calibri"/>
                <w:spacing w:val="-3"/>
                <w:sz w:val="18"/>
                <w:szCs w:val="18"/>
              </w:rPr>
              <w:t>BOARD OF SUPERVISORS</w:t>
            </w:r>
          </w:p>
          <w:p w14:paraId="56844D90" w14:textId="77777777" w:rsidR="005800C8" w:rsidRPr="00FA3096" w:rsidRDefault="005800C8" w:rsidP="005800C8">
            <w:pPr>
              <w:suppressAutoHyphens/>
              <w:outlineLvl w:val="0"/>
              <w:rPr>
                <w:rFonts w:eastAsia="Calibri"/>
                <w:spacing w:val="-3"/>
                <w:sz w:val="18"/>
                <w:szCs w:val="18"/>
              </w:rPr>
            </w:pPr>
          </w:p>
          <w:p w14:paraId="2CA07E02" w14:textId="303B87A7" w:rsidR="005800C8" w:rsidRPr="00FA3096" w:rsidRDefault="005800C8" w:rsidP="005800C8">
            <w:pPr>
              <w:tabs>
                <w:tab w:val="left" w:pos="522"/>
                <w:tab w:val="left" w:pos="3042"/>
                <w:tab w:val="left" w:pos="3402"/>
              </w:tabs>
              <w:suppressAutoHyphens/>
              <w:outlineLvl w:val="0"/>
              <w:rPr>
                <w:rFonts w:eastAsia="Calibri"/>
                <w:spacing w:val="-3"/>
                <w:sz w:val="18"/>
                <w:szCs w:val="18"/>
              </w:rPr>
            </w:pPr>
            <w:r w:rsidRPr="00FA3096">
              <w:rPr>
                <w:rFonts w:eastAsia="Calibri"/>
                <w:spacing w:val="-3"/>
                <w:sz w:val="18"/>
                <w:szCs w:val="18"/>
              </w:rPr>
              <w:t>Date:</w:t>
            </w:r>
            <w:r w:rsidR="00A71A68">
              <w:rPr>
                <w:rFonts w:eastAsia="Calibri"/>
                <w:spacing w:val="-3"/>
                <w:sz w:val="18"/>
                <w:szCs w:val="18"/>
              </w:rPr>
              <w:t xml:space="preserve"> January 26, 2021</w:t>
            </w:r>
          </w:p>
          <w:p w14:paraId="240ECD66" w14:textId="77777777" w:rsidR="005800C8" w:rsidRPr="00FA3096" w:rsidRDefault="005800C8" w:rsidP="005800C8">
            <w:pPr>
              <w:suppressAutoHyphens/>
              <w:outlineLvl w:val="0"/>
              <w:rPr>
                <w:rFonts w:eastAsia="Calibri"/>
                <w:spacing w:val="-3"/>
                <w:sz w:val="18"/>
                <w:szCs w:val="18"/>
              </w:rPr>
            </w:pPr>
            <w:r w:rsidRPr="00FA3096">
              <w:rPr>
                <w:rFonts w:eastAsia="Calibri"/>
                <w:spacing w:val="-3"/>
                <w:sz w:val="18"/>
                <w:szCs w:val="18"/>
              </w:rPr>
              <w:t xml:space="preserve">Processed By: </w:t>
            </w:r>
          </w:p>
          <w:p w14:paraId="66EA7E25" w14:textId="77777777" w:rsidR="005800C8" w:rsidRPr="00FA3096" w:rsidRDefault="005800C8" w:rsidP="005800C8">
            <w:pPr>
              <w:tabs>
                <w:tab w:val="left" w:pos="2719"/>
              </w:tabs>
              <w:suppressAutoHyphens/>
              <w:outlineLvl w:val="0"/>
              <w:rPr>
                <w:rFonts w:eastAsia="Calibri"/>
                <w:spacing w:val="-3"/>
                <w:sz w:val="18"/>
                <w:szCs w:val="18"/>
              </w:rPr>
            </w:pPr>
          </w:p>
          <w:p w14:paraId="4CF64535" w14:textId="77777777" w:rsidR="005800C8" w:rsidRPr="00FA3096" w:rsidRDefault="005800C8" w:rsidP="005800C8">
            <w:pPr>
              <w:tabs>
                <w:tab w:val="left" w:pos="3037"/>
                <w:tab w:val="left" w:pos="3585"/>
              </w:tabs>
              <w:suppressAutoHyphens/>
              <w:ind w:right="-109"/>
              <w:outlineLvl w:val="0"/>
              <w:rPr>
                <w:rFonts w:eastAsia="Calibri"/>
                <w:i/>
                <w:spacing w:val="-3"/>
                <w:sz w:val="18"/>
                <w:szCs w:val="18"/>
                <w:u w:val="single"/>
              </w:rPr>
            </w:pPr>
            <w:r w:rsidRPr="00FA3096">
              <w:rPr>
                <w:rFonts w:eastAsia="Calibri"/>
                <w:sz w:val="18"/>
                <w:szCs w:val="18"/>
                <w:u w:val="single"/>
              </w:rPr>
              <w:tab/>
            </w:r>
          </w:p>
          <w:p w14:paraId="1EC9CE15" w14:textId="77777777" w:rsidR="005800C8" w:rsidRPr="00FA3096" w:rsidRDefault="005800C8" w:rsidP="005800C8">
            <w:pPr>
              <w:tabs>
                <w:tab w:val="left" w:pos="528"/>
                <w:tab w:val="left" w:pos="2754"/>
              </w:tabs>
              <w:autoSpaceDE w:val="0"/>
              <w:autoSpaceDN w:val="0"/>
              <w:adjustRightInd w:val="0"/>
              <w:rPr>
                <w:rFonts w:eastAsia="Calibri"/>
                <w:sz w:val="18"/>
                <w:szCs w:val="18"/>
              </w:rPr>
            </w:pPr>
            <w:r w:rsidRPr="00FA3096">
              <w:rPr>
                <w:rFonts w:eastAsia="Calibri"/>
                <w:spacing w:val="-3"/>
                <w:sz w:val="18"/>
                <w:szCs w:val="18"/>
              </w:rPr>
              <w:t>Deputy Clerk of the Board</w:t>
            </w:r>
          </w:p>
          <w:p w14:paraId="3EF3CE93" w14:textId="77777777" w:rsidR="005800C8" w:rsidRPr="00FA3096" w:rsidRDefault="005800C8" w:rsidP="005800C8">
            <w:pPr>
              <w:autoSpaceDE w:val="0"/>
              <w:autoSpaceDN w:val="0"/>
              <w:adjustRightInd w:val="0"/>
              <w:rPr>
                <w:rFonts w:eastAsia="Calibri"/>
                <w:sz w:val="18"/>
                <w:szCs w:val="18"/>
              </w:rPr>
            </w:pPr>
          </w:p>
        </w:tc>
        <w:tc>
          <w:tcPr>
            <w:tcW w:w="1708" w:type="pct"/>
            <w:tcBorders>
              <w:top w:val="single" w:sz="4" w:space="0" w:color="auto"/>
              <w:left w:val="single" w:sz="4" w:space="0" w:color="auto"/>
              <w:bottom w:val="single" w:sz="4" w:space="0" w:color="auto"/>
              <w:right w:val="single" w:sz="4" w:space="0" w:color="auto"/>
            </w:tcBorders>
          </w:tcPr>
          <w:p w14:paraId="2A48BA2A" w14:textId="77777777" w:rsidR="005800C8" w:rsidRPr="00FA3096" w:rsidRDefault="005800C8" w:rsidP="005800C8">
            <w:pPr>
              <w:autoSpaceDE w:val="0"/>
              <w:autoSpaceDN w:val="0"/>
              <w:adjustRightInd w:val="0"/>
              <w:jc w:val="center"/>
              <w:rPr>
                <w:rFonts w:eastAsia="Calibri"/>
                <w:sz w:val="18"/>
                <w:szCs w:val="18"/>
              </w:rPr>
            </w:pPr>
            <w:r w:rsidRPr="00FA3096">
              <w:rPr>
                <w:rFonts w:eastAsia="Calibri"/>
                <w:sz w:val="18"/>
                <w:szCs w:val="18"/>
              </w:rPr>
              <w:t xml:space="preserve">ATTEST: </w:t>
            </w:r>
            <w:r w:rsidR="00B00AB1" w:rsidRPr="00FA3096">
              <w:rPr>
                <w:rFonts w:eastAsia="Calibri"/>
                <w:sz w:val="18"/>
                <w:szCs w:val="18"/>
              </w:rPr>
              <w:t>JOSE LUIS VALDEZ</w:t>
            </w:r>
          </w:p>
          <w:p w14:paraId="431AB227" w14:textId="77777777" w:rsidR="005800C8" w:rsidRPr="00FA3096" w:rsidRDefault="005800C8" w:rsidP="005800C8">
            <w:pPr>
              <w:autoSpaceDE w:val="0"/>
              <w:autoSpaceDN w:val="0"/>
              <w:adjustRightInd w:val="0"/>
              <w:jc w:val="center"/>
              <w:rPr>
                <w:rFonts w:eastAsia="Calibri"/>
                <w:sz w:val="18"/>
                <w:szCs w:val="18"/>
              </w:rPr>
            </w:pPr>
            <w:r w:rsidRPr="00FA3096">
              <w:rPr>
                <w:rFonts w:eastAsia="Calibri"/>
                <w:sz w:val="18"/>
                <w:szCs w:val="18"/>
              </w:rPr>
              <w:t>Clerk of the Board of Supervisors</w:t>
            </w:r>
          </w:p>
          <w:p w14:paraId="72315449" w14:textId="77777777" w:rsidR="005800C8" w:rsidRPr="00FA3096" w:rsidRDefault="005800C8" w:rsidP="005800C8">
            <w:pPr>
              <w:autoSpaceDE w:val="0"/>
              <w:autoSpaceDN w:val="0"/>
              <w:adjustRightInd w:val="0"/>
              <w:rPr>
                <w:rFonts w:eastAsia="Calibri"/>
                <w:sz w:val="18"/>
                <w:szCs w:val="18"/>
              </w:rPr>
            </w:pPr>
          </w:p>
          <w:p w14:paraId="697B77B7" w14:textId="77777777" w:rsidR="005800C8" w:rsidRPr="00FA3096" w:rsidRDefault="005800C8" w:rsidP="005800C8">
            <w:pPr>
              <w:autoSpaceDE w:val="0"/>
              <w:autoSpaceDN w:val="0"/>
              <w:adjustRightInd w:val="0"/>
              <w:rPr>
                <w:rFonts w:eastAsia="Calibri"/>
                <w:sz w:val="18"/>
                <w:szCs w:val="18"/>
              </w:rPr>
            </w:pPr>
          </w:p>
          <w:p w14:paraId="7BE93149" w14:textId="77777777" w:rsidR="00031982" w:rsidRDefault="00031982" w:rsidP="004D43A2">
            <w:pPr>
              <w:tabs>
                <w:tab w:val="left" w:pos="528"/>
                <w:tab w:val="left" w:pos="3167"/>
              </w:tabs>
              <w:autoSpaceDE w:val="0"/>
              <w:autoSpaceDN w:val="0"/>
              <w:adjustRightInd w:val="0"/>
              <w:rPr>
                <w:rFonts w:eastAsia="Calibri"/>
                <w:sz w:val="18"/>
                <w:szCs w:val="18"/>
              </w:rPr>
            </w:pPr>
          </w:p>
          <w:p w14:paraId="41C237D5" w14:textId="77777777" w:rsidR="00031982" w:rsidRDefault="00031982" w:rsidP="004D43A2">
            <w:pPr>
              <w:tabs>
                <w:tab w:val="left" w:pos="528"/>
                <w:tab w:val="left" w:pos="3167"/>
              </w:tabs>
              <w:autoSpaceDE w:val="0"/>
              <w:autoSpaceDN w:val="0"/>
              <w:adjustRightInd w:val="0"/>
              <w:rPr>
                <w:rFonts w:eastAsia="Calibri"/>
                <w:sz w:val="18"/>
                <w:szCs w:val="18"/>
              </w:rPr>
            </w:pPr>
          </w:p>
          <w:p w14:paraId="40ACA9C8" w14:textId="22DFBEBE" w:rsidR="005800C8" w:rsidRPr="00FA3096" w:rsidRDefault="005800C8" w:rsidP="004D43A2">
            <w:pPr>
              <w:tabs>
                <w:tab w:val="left" w:pos="528"/>
                <w:tab w:val="left" w:pos="3167"/>
              </w:tabs>
              <w:autoSpaceDE w:val="0"/>
              <w:autoSpaceDN w:val="0"/>
              <w:adjustRightInd w:val="0"/>
              <w:rPr>
                <w:rFonts w:eastAsia="Calibri"/>
                <w:sz w:val="18"/>
                <w:szCs w:val="18"/>
              </w:rPr>
            </w:pPr>
            <w:r w:rsidRPr="00FA3096">
              <w:rPr>
                <w:rFonts w:eastAsia="Calibri"/>
                <w:sz w:val="18"/>
                <w:szCs w:val="18"/>
              </w:rPr>
              <w:t>By</w:t>
            </w:r>
            <w:r w:rsidR="004D43A2" w:rsidRPr="00FA3096">
              <w:rPr>
                <w:rFonts w:eastAsia="Calibri"/>
                <w:sz w:val="18"/>
                <w:szCs w:val="18"/>
              </w:rPr>
              <w:t>: _____________________</w:t>
            </w:r>
            <w:r w:rsidR="00031982">
              <w:rPr>
                <w:rFonts w:eastAsia="Calibri"/>
                <w:sz w:val="18"/>
                <w:szCs w:val="18"/>
              </w:rPr>
              <w:t>_______</w:t>
            </w:r>
          </w:p>
          <w:p w14:paraId="3AFA32A0" w14:textId="77777777" w:rsidR="004D43A2" w:rsidRPr="00FA3096" w:rsidRDefault="004D43A2" w:rsidP="004D43A2">
            <w:pPr>
              <w:tabs>
                <w:tab w:val="left" w:pos="528"/>
                <w:tab w:val="left" w:pos="3167"/>
              </w:tabs>
              <w:autoSpaceDE w:val="0"/>
              <w:autoSpaceDN w:val="0"/>
              <w:adjustRightInd w:val="0"/>
              <w:rPr>
                <w:rFonts w:eastAsia="Calibri"/>
                <w:sz w:val="18"/>
                <w:szCs w:val="18"/>
              </w:rPr>
            </w:pPr>
          </w:p>
          <w:p w14:paraId="2B74FD37" w14:textId="5A4CA69B" w:rsidR="004D43A2" w:rsidRPr="00FA3096" w:rsidRDefault="004D43A2" w:rsidP="004D43A2">
            <w:pPr>
              <w:tabs>
                <w:tab w:val="left" w:pos="528"/>
                <w:tab w:val="left" w:pos="3167"/>
              </w:tabs>
              <w:autoSpaceDE w:val="0"/>
              <w:autoSpaceDN w:val="0"/>
              <w:adjustRightInd w:val="0"/>
              <w:rPr>
                <w:rFonts w:eastAsia="Calibri"/>
                <w:sz w:val="18"/>
                <w:szCs w:val="18"/>
              </w:rPr>
            </w:pPr>
          </w:p>
        </w:tc>
      </w:tr>
    </w:tbl>
    <w:p w14:paraId="398A86CB" w14:textId="77777777" w:rsidR="007B68F8" w:rsidRDefault="007B68F8">
      <w:pPr>
        <w:rPr>
          <w:sz w:val="20"/>
          <w:szCs w:val="20"/>
        </w:rPr>
      </w:pPr>
      <w:r>
        <w:rPr>
          <w:sz w:val="20"/>
          <w:szCs w:val="20"/>
        </w:rPr>
        <w:br w:type="page"/>
      </w:r>
    </w:p>
    <w:p w14:paraId="650C12C4" w14:textId="754029A5" w:rsidR="00E67C6E" w:rsidRPr="00FA3096" w:rsidRDefault="008D22FF" w:rsidP="005800C8">
      <w:pPr>
        <w:rPr>
          <w:sz w:val="20"/>
          <w:szCs w:val="20"/>
        </w:rPr>
      </w:pPr>
      <w:r w:rsidRPr="00FA3096">
        <w:rPr>
          <w:sz w:val="20"/>
          <w:szCs w:val="20"/>
        </w:rPr>
        <w:t>Attachment:</w:t>
      </w:r>
    </w:p>
    <w:p w14:paraId="002CD07E" w14:textId="77777777" w:rsidR="00FA3096" w:rsidRDefault="008D22FF" w:rsidP="00FA3096">
      <w:pPr>
        <w:pStyle w:val="ListParagraph"/>
        <w:numPr>
          <w:ilvl w:val="0"/>
          <w:numId w:val="4"/>
        </w:numPr>
        <w:rPr>
          <w:sz w:val="22"/>
          <w:szCs w:val="22"/>
        </w:rPr>
      </w:pPr>
      <w:r w:rsidRPr="00E67C6E">
        <w:rPr>
          <w:sz w:val="22"/>
          <w:szCs w:val="22"/>
        </w:rPr>
        <w:t xml:space="preserve">Exhibit </w:t>
      </w:r>
      <w:r w:rsidR="00E46D53" w:rsidRPr="00E67C6E">
        <w:rPr>
          <w:sz w:val="22"/>
          <w:szCs w:val="22"/>
        </w:rPr>
        <w:t>“</w:t>
      </w:r>
      <w:r w:rsidR="00CD1B37" w:rsidRPr="00E67C6E">
        <w:rPr>
          <w:sz w:val="22"/>
          <w:szCs w:val="22"/>
        </w:rPr>
        <w:t>A</w:t>
      </w:r>
      <w:r w:rsidR="00E46D53" w:rsidRPr="00E67C6E">
        <w:rPr>
          <w:sz w:val="22"/>
          <w:szCs w:val="22"/>
        </w:rPr>
        <w:t>”</w:t>
      </w:r>
      <w:r w:rsidRPr="00E67C6E">
        <w:rPr>
          <w:sz w:val="22"/>
          <w:szCs w:val="22"/>
        </w:rPr>
        <w:t xml:space="preserve"> </w:t>
      </w:r>
      <w:r w:rsidR="00CD1B37" w:rsidRPr="00E67C6E">
        <w:rPr>
          <w:sz w:val="22"/>
          <w:szCs w:val="22"/>
        </w:rPr>
        <w:t>– Revised COA</w:t>
      </w:r>
      <w:r w:rsidR="00200F5D" w:rsidRPr="00E67C6E">
        <w:rPr>
          <w:sz w:val="22"/>
          <w:szCs w:val="22"/>
        </w:rPr>
        <w:t xml:space="preserve"> (clean and redlined)</w:t>
      </w:r>
    </w:p>
    <w:p w14:paraId="040FD99D" w14:textId="06121E9B" w:rsidR="00D4122E" w:rsidRPr="00FA3096" w:rsidRDefault="001B083A" w:rsidP="00FA3096">
      <w:pPr>
        <w:rPr>
          <w:sz w:val="22"/>
          <w:szCs w:val="22"/>
        </w:rPr>
      </w:pPr>
      <w:r w:rsidRPr="00FA3096">
        <w:rPr>
          <w:sz w:val="16"/>
          <w:szCs w:val="16"/>
        </w:rPr>
        <w:t>BOS</w:t>
      </w:r>
      <w:r w:rsidR="001E454A" w:rsidRPr="00FA3096">
        <w:rPr>
          <w:sz w:val="16"/>
          <w:szCs w:val="16"/>
        </w:rPr>
        <w:t>/APPEALS-PC/BATV/BATV FF Final Revised.doc</w:t>
      </w:r>
    </w:p>
    <w:sectPr w:rsidR="00D4122E" w:rsidRPr="00FA3096" w:rsidSect="007B68F8">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443DD" w14:textId="77777777" w:rsidR="0092221D" w:rsidRDefault="0092221D">
      <w:r>
        <w:separator/>
      </w:r>
    </w:p>
  </w:endnote>
  <w:endnote w:type="continuationSeparator" w:id="0">
    <w:p w14:paraId="51D692AE" w14:textId="77777777" w:rsidR="0092221D" w:rsidRDefault="0092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08998"/>
      <w:docPartObj>
        <w:docPartGallery w:val="Page Numbers (Bottom of Page)"/>
        <w:docPartUnique/>
      </w:docPartObj>
    </w:sdtPr>
    <w:sdtEndPr>
      <w:rPr>
        <w:noProof/>
      </w:rPr>
    </w:sdtEndPr>
    <w:sdtContent>
      <w:p w14:paraId="5ADF85A8" w14:textId="06BE906E" w:rsidR="00A758F7" w:rsidRDefault="00A758F7">
        <w:pPr>
          <w:pStyle w:val="Footer"/>
          <w:jc w:val="center"/>
        </w:pPr>
        <w:r>
          <w:fldChar w:fldCharType="begin"/>
        </w:r>
        <w:r>
          <w:instrText xml:space="preserve"> PAGE   \* MERGEFORMAT </w:instrText>
        </w:r>
        <w:r>
          <w:fldChar w:fldCharType="separate"/>
        </w:r>
        <w:r w:rsidR="007B68F8">
          <w:rPr>
            <w:noProof/>
          </w:rPr>
          <w:t>11</w:t>
        </w:r>
        <w:r>
          <w:rPr>
            <w:noProof/>
          </w:rPr>
          <w:fldChar w:fldCharType="end"/>
        </w:r>
      </w:p>
    </w:sdtContent>
  </w:sdt>
  <w:p w14:paraId="4C176F53" w14:textId="77777777" w:rsidR="00A758F7" w:rsidRDefault="00A7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C03D2" w14:textId="77777777" w:rsidR="0092221D" w:rsidRDefault="0092221D">
      <w:r>
        <w:separator/>
      </w:r>
    </w:p>
  </w:footnote>
  <w:footnote w:type="continuationSeparator" w:id="0">
    <w:p w14:paraId="3924EAF0" w14:textId="77777777" w:rsidR="0092221D" w:rsidRDefault="0092221D">
      <w:r>
        <w:continuationSeparator/>
      </w:r>
    </w:p>
  </w:footnote>
  <w:footnote w:id="1">
    <w:p w14:paraId="78633A6B" w14:textId="77777777" w:rsidR="00A758F7" w:rsidRPr="002D7021" w:rsidRDefault="00A758F7" w:rsidP="00FA7B71">
      <w:pPr>
        <w:pStyle w:val="FootnoteText"/>
      </w:pPr>
      <w:r w:rsidRPr="002D7021">
        <w:rPr>
          <w:rStyle w:val="FootnoteReference"/>
        </w:rPr>
        <w:footnoteRef/>
      </w:r>
      <w:r w:rsidRPr="002D7021">
        <w:t xml:space="preserve">  The complete Appeal Packet is on file with the Clerk of the Board of Supervisors.</w:t>
      </w:r>
    </w:p>
  </w:footnote>
  <w:footnote w:id="2">
    <w:p w14:paraId="11C51741" w14:textId="77777777" w:rsidR="00A758F7" w:rsidRPr="002D7021" w:rsidRDefault="00A758F7" w:rsidP="007C5101">
      <w:pPr>
        <w:pStyle w:val="FootnoteText"/>
        <w:rPr>
          <w:sz w:val="22"/>
          <w:szCs w:val="22"/>
        </w:rPr>
      </w:pPr>
      <w:r w:rsidRPr="002D7021">
        <w:rPr>
          <w:rStyle w:val="FootnoteReference"/>
        </w:rPr>
        <w:footnoteRef/>
      </w:r>
      <w:r w:rsidRPr="002D7021">
        <w:t xml:space="preserve"> </w:t>
      </w:r>
      <w:r>
        <w:t xml:space="preserve"> </w:t>
      </w:r>
      <w:r w:rsidRPr="002D7021">
        <w:t>This Resolution summarizes the grounds of appeal.  For the complete text of the Appeal, please see the ac</w:t>
      </w:r>
      <w:r>
        <w:t xml:space="preserve">tual Appeal dated </w:t>
      </w:r>
      <w:r w:rsidR="006F41AB" w:rsidRPr="006F41AB">
        <w:t>November 6</w:t>
      </w:r>
      <w:r w:rsidRPr="006F41AB">
        <w:t>, 2020</w:t>
      </w:r>
      <w:r w:rsidR="006F41AB">
        <w:t>.</w:t>
      </w:r>
    </w:p>
  </w:footnote>
  <w:footnote w:id="3">
    <w:p w14:paraId="68B9BD5E" w14:textId="581168A8" w:rsidR="006F41AB" w:rsidRPr="000F63DB" w:rsidRDefault="000F63DB" w:rsidP="006F41AB">
      <w:pPr>
        <w:rPr>
          <w:sz w:val="20"/>
          <w:szCs w:val="20"/>
        </w:rPr>
      </w:pPr>
      <w:r>
        <w:rPr>
          <w:rStyle w:val="FootnoteReference"/>
        </w:rPr>
        <w:footnoteRef/>
      </w:r>
      <w:r>
        <w:t xml:space="preserve"> </w:t>
      </w:r>
      <w:r w:rsidRPr="000F63DB">
        <w:rPr>
          <w:sz w:val="20"/>
          <w:szCs w:val="20"/>
          <w:u w:val="single"/>
        </w:rPr>
        <w:t>Agricultural Preservation and Land Use Element Goal AG/LU-1.</w:t>
      </w:r>
      <w:r w:rsidRPr="000F63DB">
        <w:rPr>
          <w:sz w:val="20"/>
          <w:szCs w:val="20"/>
        </w:rPr>
        <w:t xml:space="preserve">  Preserve existing agricultural land uses and plan for agriculture and related activities as the primary land uses in Napa County.</w:t>
      </w:r>
    </w:p>
  </w:footnote>
  <w:footnote w:id="4">
    <w:p w14:paraId="51F92664" w14:textId="73E18D69" w:rsidR="006F41AB" w:rsidRPr="000F63DB" w:rsidRDefault="000F63DB" w:rsidP="006F41AB">
      <w:pPr>
        <w:rPr>
          <w:sz w:val="20"/>
          <w:szCs w:val="20"/>
        </w:rPr>
      </w:pPr>
      <w:r>
        <w:rPr>
          <w:rStyle w:val="FootnoteReference"/>
        </w:rPr>
        <w:footnoteRef/>
      </w:r>
      <w:r>
        <w:t xml:space="preserve"> </w:t>
      </w:r>
      <w:r w:rsidRPr="000F63DB">
        <w:rPr>
          <w:sz w:val="20"/>
          <w:szCs w:val="20"/>
          <w:u w:val="single"/>
        </w:rPr>
        <w:t>Agricultural Preservation and Land Use Element Policy AG/LU-4.</w:t>
      </w:r>
      <w:r w:rsidRPr="000F63DB">
        <w:rPr>
          <w:sz w:val="20"/>
          <w:szCs w:val="20"/>
        </w:rPr>
        <w:t xml:space="preserve">  The County will reserve agricultural lands for agricultural use including lands used for grazing and watershed/open space, except for those lands shown on the Land Use Map as planned for urban development.</w:t>
      </w:r>
    </w:p>
  </w:footnote>
  <w:footnote w:id="5">
    <w:p w14:paraId="3DCED539" w14:textId="4EC974E2" w:rsidR="000F63DB" w:rsidRPr="00984213" w:rsidRDefault="000F63DB" w:rsidP="00984213">
      <w:pPr>
        <w:rPr>
          <w:sz w:val="20"/>
          <w:szCs w:val="20"/>
        </w:rPr>
      </w:pPr>
      <w:r>
        <w:rPr>
          <w:rStyle w:val="FootnoteReference"/>
        </w:rPr>
        <w:footnoteRef/>
      </w:r>
      <w:r>
        <w:t xml:space="preserve"> </w:t>
      </w:r>
      <w:r w:rsidRPr="000F63DB">
        <w:rPr>
          <w:sz w:val="20"/>
          <w:szCs w:val="20"/>
          <w:u w:val="single"/>
        </w:rPr>
        <w:t>Agricultural Preservation and Land Use Element Policy AG/LU-12.</w:t>
      </w:r>
      <w:r w:rsidRPr="000F63DB">
        <w:rPr>
          <w:sz w:val="20"/>
          <w:szCs w:val="20"/>
        </w:rPr>
        <w:t xml:space="preserve">  No new non-agricultural use or development of a parcel located in an agricultural area shall be permitted unless it is needed for the agricultural use of the parcel, except as provided in AG/LU-2, AG/LU-5, AG/LU-26, AG/LU-44, AG/LU-45 and ROS-1.</w:t>
      </w:r>
    </w:p>
  </w:footnote>
  <w:footnote w:id="6">
    <w:p w14:paraId="42D6CFE3" w14:textId="18134B3D" w:rsidR="00AE3EEB" w:rsidRPr="002D7021" w:rsidRDefault="00AE3EEB" w:rsidP="00AE3EEB">
      <w:pPr>
        <w:pStyle w:val="FootnoteText"/>
      </w:pPr>
      <w:r w:rsidRPr="002D7021">
        <w:rPr>
          <w:rStyle w:val="FootnoteReference"/>
        </w:rPr>
        <w:footnoteRef/>
      </w:r>
      <w:r w:rsidRPr="002D7021">
        <w:t xml:space="preserve">  </w:t>
      </w:r>
      <w:r w:rsidRPr="002D7021">
        <w:rPr>
          <w:i/>
        </w:rPr>
        <w:t>San Franciscans Upholding the Downtown Plan v. City &amp; County of San Francisco</w:t>
      </w:r>
      <w:r w:rsidRPr="002D7021">
        <w:t xml:space="preserve"> (2002) 102 Cal.App.4th 656, 668</w:t>
      </w:r>
      <w:r w:rsidR="00B77CFD">
        <w:t xml:space="preserve"> </w:t>
      </w:r>
      <w:r w:rsidR="00B77CFD" w:rsidRPr="002D7021">
        <w:t>(</w:t>
      </w:r>
      <w:r w:rsidR="00B77CFD" w:rsidRPr="002D7021">
        <w:rPr>
          <w:i/>
        </w:rPr>
        <w:t>San Franciscans</w:t>
      </w:r>
      <w:r w:rsidR="00B77CFD" w:rsidRPr="002D7021">
        <w:t>)</w:t>
      </w:r>
      <w:r w:rsidRPr="002D7021">
        <w:t>.</w:t>
      </w:r>
    </w:p>
  </w:footnote>
  <w:footnote w:id="7">
    <w:p w14:paraId="45F20BAF" w14:textId="71AE8F75" w:rsidR="00AE3EEB" w:rsidRPr="002D7021" w:rsidRDefault="00AE3EEB" w:rsidP="00AE3EEB">
      <w:pPr>
        <w:pStyle w:val="FootnoteText"/>
      </w:pPr>
      <w:r w:rsidRPr="002D7021">
        <w:rPr>
          <w:rStyle w:val="FootnoteReference"/>
        </w:rPr>
        <w:footnoteRef/>
      </w:r>
      <w:r w:rsidRPr="002D7021">
        <w:t xml:space="preserve">  </w:t>
      </w:r>
      <w:r w:rsidRPr="002D7021">
        <w:rPr>
          <w:i/>
        </w:rPr>
        <w:t>Friends of Lagoon Valley v. City of Vacaville</w:t>
      </w:r>
      <w:r w:rsidRPr="002D7021">
        <w:t xml:space="preserve"> (2007) 154 Cal.App.4th 807, 816. </w:t>
      </w:r>
    </w:p>
  </w:footnote>
  <w:footnote w:id="8">
    <w:p w14:paraId="71B718B4" w14:textId="50C279C2" w:rsidR="00AE3EEB" w:rsidRPr="002D7021" w:rsidRDefault="00AE3EEB" w:rsidP="00AE3EEB">
      <w:pPr>
        <w:pStyle w:val="FootnoteText"/>
      </w:pPr>
      <w:r w:rsidRPr="002D7021">
        <w:rPr>
          <w:rStyle w:val="FootnoteReference"/>
        </w:rPr>
        <w:footnoteRef/>
      </w:r>
      <w:r w:rsidRPr="002D7021">
        <w:t xml:space="preserve">  </w:t>
      </w:r>
      <w:r w:rsidRPr="002D7021">
        <w:rPr>
          <w:i/>
        </w:rPr>
        <w:t>Sequoyah Hills Homeowners Assn. v. City of Oakland</w:t>
      </w:r>
      <w:r w:rsidRPr="002D7021">
        <w:t xml:space="preserve"> (1993) 23 Cal.App.4th 704, 717</w:t>
      </w:r>
      <w:r w:rsidR="00B77CFD">
        <w:t>-</w:t>
      </w:r>
      <w:r w:rsidRPr="002D7021">
        <w:t>718 (</w:t>
      </w:r>
      <w:r w:rsidRPr="002D7021">
        <w:rPr>
          <w:i/>
        </w:rPr>
        <w:t>Sequoyah Hills</w:t>
      </w:r>
      <w:r w:rsidRPr="002D7021">
        <w:t xml:space="preserve">); </w:t>
      </w:r>
      <w:r w:rsidRPr="002D7021">
        <w:rPr>
          <w:i/>
        </w:rPr>
        <w:t>Friends of Lagoon Valley, supra</w:t>
      </w:r>
      <w:r w:rsidRPr="002D7021">
        <w:t>, 154 Cal.App.4th at p. 817.</w:t>
      </w:r>
    </w:p>
  </w:footnote>
  <w:footnote w:id="9">
    <w:p w14:paraId="183BB352" w14:textId="34606E5A" w:rsidR="00AE3EEB" w:rsidRPr="002D7021" w:rsidRDefault="00AE3EEB" w:rsidP="00AE3EEB">
      <w:pPr>
        <w:pStyle w:val="FootnoteText"/>
      </w:pPr>
      <w:r w:rsidRPr="002D7021">
        <w:rPr>
          <w:rStyle w:val="FootnoteReference"/>
        </w:rPr>
        <w:footnoteRef/>
      </w:r>
      <w:r w:rsidRPr="002D7021">
        <w:t xml:space="preserve">  </w:t>
      </w:r>
      <w:r w:rsidRPr="002D7021">
        <w:rPr>
          <w:i/>
        </w:rPr>
        <w:t>San Franciscans</w:t>
      </w:r>
      <w:r w:rsidR="00B77CFD">
        <w:rPr>
          <w:iCs/>
        </w:rPr>
        <w:t xml:space="preserve">, </w:t>
      </w:r>
      <w:r w:rsidR="00B77CFD">
        <w:rPr>
          <w:i/>
        </w:rPr>
        <w:t>supra</w:t>
      </w:r>
      <w:r w:rsidR="00B77CFD">
        <w:rPr>
          <w:iCs/>
        </w:rPr>
        <w:t>,</w:t>
      </w:r>
      <w:r w:rsidRPr="002D7021">
        <w:rPr>
          <w:i/>
        </w:rPr>
        <w:t xml:space="preserve"> </w:t>
      </w:r>
      <w:r w:rsidRPr="002D7021">
        <w:t xml:space="preserve">102 Cal.App.4th </w:t>
      </w:r>
      <w:r w:rsidR="00B77CFD">
        <w:t>at p.</w:t>
      </w:r>
      <w:r w:rsidRPr="002D7021">
        <w:t xml:space="preserve"> 678.</w:t>
      </w:r>
    </w:p>
  </w:footnote>
  <w:footnote w:id="10">
    <w:p w14:paraId="455B0311" w14:textId="77777777" w:rsidR="00AE3EEB" w:rsidRPr="002D7021" w:rsidRDefault="00AE3EEB" w:rsidP="00AE3EEB">
      <w:pPr>
        <w:pStyle w:val="FootnoteText"/>
      </w:pPr>
      <w:r w:rsidRPr="002D7021">
        <w:rPr>
          <w:rStyle w:val="FootnoteReference"/>
        </w:rPr>
        <w:footnoteRef/>
      </w:r>
      <w:r w:rsidRPr="002D7021">
        <w:t xml:space="preserve">  </w:t>
      </w:r>
      <w:r w:rsidRPr="002D7021">
        <w:rPr>
          <w:i/>
          <w:iCs/>
        </w:rPr>
        <w:t>Napa Citizens for Honest Government v. Napa County Bd. of Supervisors</w:t>
      </w:r>
      <w:r w:rsidRPr="002D7021">
        <w:rPr>
          <w:iCs/>
        </w:rPr>
        <w:t xml:space="preserve"> (2001)</w:t>
      </w:r>
      <w:r w:rsidRPr="002D7021">
        <w:t xml:space="preserve"> 91 Cal.App.4th 342, 378.</w:t>
      </w:r>
    </w:p>
  </w:footnote>
  <w:footnote w:id="11">
    <w:p w14:paraId="4F917872" w14:textId="77777777" w:rsidR="00AE3EEB" w:rsidRPr="002D7021" w:rsidRDefault="00AE3EEB" w:rsidP="00AE3EEB">
      <w:pPr>
        <w:pStyle w:val="FootnoteText"/>
      </w:pPr>
      <w:r w:rsidRPr="002D7021">
        <w:rPr>
          <w:rStyle w:val="FootnoteReference"/>
        </w:rPr>
        <w:footnoteRef/>
      </w:r>
      <w:r w:rsidRPr="002D7021">
        <w:t xml:space="preserve">  </w:t>
      </w:r>
      <w:r w:rsidRPr="002D7021">
        <w:rPr>
          <w:i/>
          <w:iCs/>
        </w:rPr>
        <w:t>Friends of Lagoon Valley</w:t>
      </w:r>
      <w:r w:rsidRPr="00B77CFD">
        <w:t>,</w:t>
      </w:r>
      <w:r w:rsidRPr="002D7021">
        <w:rPr>
          <w:i/>
          <w:iCs/>
        </w:rPr>
        <w:t xml:space="preserve"> supra</w:t>
      </w:r>
      <w:r w:rsidRPr="002D7021">
        <w:t>, 154 Cal.App.4th at p. 816.</w:t>
      </w:r>
    </w:p>
  </w:footnote>
  <w:footnote w:id="12">
    <w:p w14:paraId="1AC67C04" w14:textId="7B2F87A6" w:rsidR="00AE3EEB" w:rsidRPr="002D7021" w:rsidRDefault="00AE3EEB" w:rsidP="00AE3EEB">
      <w:pPr>
        <w:pStyle w:val="FootnoteText"/>
      </w:pPr>
      <w:r w:rsidRPr="002D7021">
        <w:rPr>
          <w:rStyle w:val="FootnoteReference"/>
        </w:rPr>
        <w:footnoteRef/>
      </w:r>
      <w:r w:rsidRPr="002D7021">
        <w:t xml:space="preserve">  </w:t>
      </w:r>
      <w:r w:rsidRPr="002D7021">
        <w:rPr>
          <w:i/>
        </w:rPr>
        <w:t>San Franciscans, supra</w:t>
      </w:r>
      <w:r w:rsidRPr="002D7021">
        <w:t>, 102 Cal.App.4th at pp. 677</w:t>
      </w:r>
      <w:r w:rsidR="00B77CFD">
        <w:t>-</w:t>
      </w:r>
      <w:r w:rsidRPr="002D7021">
        <w:t xml:space="preserve">678, quoting </w:t>
      </w:r>
      <w:r w:rsidRPr="002D7021">
        <w:rPr>
          <w:i/>
        </w:rPr>
        <w:t>Save Our Peninsula</w:t>
      </w:r>
      <w:r w:rsidR="00B77CFD" w:rsidRPr="00B77CFD">
        <w:t xml:space="preserve"> </w:t>
      </w:r>
      <w:r w:rsidR="00B77CFD" w:rsidRPr="00B77CFD">
        <w:rPr>
          <w:i/>
        </w:rPr>
        <w:t>v. Monterey County Bd. of Supervisors</w:t>
      </w:r>
      <w:r w:rsidR="00B77CFD" w:rsidRPr="00B77CFD">
        <w:rPr>
          <w:iCs/>
        </w:rPr>
        <w:t xml:space="preserve"> (2001)</w:t>
      </w:r>
      <w:r w:rsidRPr="002D7021">
        <w:rPr>
          <w:i/>
        </w:rPr>
        <w:t xml:space="preserve"> </w:t>
      </w:r>
      <w:r w:rsidRPr="002D7021">
        <w:t xml:space="preserve">87 Cal.App.4th </w:t>
      </w:r>
      <w:r w:rsidR="00B77CFD">
        <w:t xml:space="preserve">99, </w:t>
      </w:r>
      <w:r w:rsidRPr="002D7021">
        <w:t xml:space="preserve">142; </w:t>
      </w:r>
      <w:proofErr w:type="spellStart"/>
      <w:r w:rsidRPr="002D7021">
        <w:rPr>
          <w:i/>
        </w:rPr>
        <w:t>Naraghi</w:t>
      </w:r>
      <w:proofErr w:type="spellEnd"/>
      <w:r w:rsidRPr="002D7021">
        <w:rPr>
          <w:i/>
        </w:rPr>
        <w:t xml:space="preserve"> Lakes Neighborhood Preservation Assn. v. City of Modesto</w:t>
      </w:r>
      <w:r w:rsidRPr="002D7021">
        <w:t xml:space="preserve"> </w:t>
      </w:r>
      <w:r w:rsidR="00B77CFD">
        <w:t xml:space="preserve">(2016) </w:t>
      </w:r>
      <w:r w:rsidRPr="002D7021">
        <w:t>1 Cal.App.5th 9, 17-19.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D3A"/>
    <w:multiLevelType w:val="hybridMultilevel"/>
    <w:tmpl w:val="E7F2EADA"/>
    <w:lvl w:ilvl="0" w:tplc="04090001">
      <w:start w:val="1"/>
      <w:numFmt w:val="bullet"/>
      <w:lvlText w:val=""/>
      <w:lvlJc w:val="left"/>
      <w:pPr>
        <w:tabs>
          <w:tab w:val="num" w:pos="729"/>
        </w:tabs>
        <w:ind w:left="729" w:hanging="360"/>
      </w:pPr>
      <w:rPr>
        <w:rFonts w:ascii="Symbol" w:hAnsi="Symbol" w:hint="default"/>
      </w:rPr>
    </w:lvl>
    <w:lvl w:ilvl="1" w:tplc="04090003" w:tentative="1">
      <w:start w:val="1"/>
      <w:numFmt w:val="bullet"/>
      <w:lvlText w:val="o"/>
      <w:lvlJc w:val="left"/>
      <w:pPr>
        <w:tabs>
          <w:tab w:val="num" w:pos="1449"/>
        </w:tabs>
        <w:ind w:left="1449" w:hanging="360"/>
      </w:pPr>
      <w:rPr>
        <w:rFonts w:ascii="Courier New" w:hAnsi="Courier New" w:cs="Courier New" w:hint="default"/>
      </w:rPr>
    </w:lvl>
    <w:lvl w:ilvl="2" w:tplc="04090005" w:tentative="1">
      <w:start w:val="1"/>
      <w:numFmt w:val="bullet"/>
      <w:lvlText w:val=""/>
      <w:lvlJc w:val="left"/>
      <w:pPr>
        <w:tabs>
          <w:tab w:val="num" w:pos="2169"/>
        </w:tabs>
        <w:ind w:left="2169" w:hanging="360"/>
      </w:pPr>
      <w:rPr>
        <w:rFonts w:ascii="Wingdings" w:hAnsi="Wingdings" w:hint="default"/>
      </w:rPr>
    </w:lvl>
    <w:lvl w:ilvl="3" w:tplc="04090001" w:tentative="1">
      <w:start w:val="1"/>
      <w:numFmt w:val="bullet"/>
      <w:lvlText w:val=""/>
      <w:lvlJc w:val="left"/>
      <w:pPr>
        <w:tabs>
          <w:tab w:val="num" w:pos="2889"/>
        </w:tabs>
        <w:ind w:left="2889" w:hanging="360"/>
      </w:pPr>
      <w:rPr>
        <w:rFonts w:ascii="Symbol" w:hAnsi="Symbol" w:hint="default"/>
      </w:rPr>
    </w:lvl>
    <w:lvl w:ilvl="4" w:tplc="04090003" w:tentative="1">
      <w:start w:val="1"/>
      <w:numFmt w:val="bullet"/>
      <w:lvlText w:val="o"/>
      <w:lvlJc w:val="left"/>
      <w:pPr>
        <w:tabs>
          <w:tab w:val="num" w:pos="3609"/>
        </w:tabs>
        <w:ind w:left="3609" w:hanging="360"/>
      </w:pPr>
      <w:rPr>
        <w:rFonts w:ascii="Courier New" w:hAnsi="Courier New" w:cs="Courier New" w:hint="default"/>
      </w:rPr>
    </w:lvl>
    <w:lvl w:ilvl="5" w:tplc="04090005" w:tentative="1">
      <w:start w:val="1"/>
      <w:numFmt w:val="bullet"/>
      <w:lvlText w:val=""/>
      <w:lvlJc w:val="left"/>
      <w:pPr>
        <w:tabs>
          <w:tab w:val="num" w:pos="4329"/>
        </w:tabs>
        <w:ind w:left="4329" w:hanging="360"/>
      </w:pPr>
      <w:rPr>
        <w:rFonts w:ascii="Wingdings" w:hAnsi="Wingdings" w:hint="default"/>
      </w:rPr>
    </w:lvl>
    <w:lvl w:ilvl="6" w:tplc="04090001" w:tentative="1">
      <w:start w:val="1"/>
      <w:numFmt w:val="bullet"/>
      <w:lvlText w:val=""/>
      <w:lvlJc w:val="left"/>
      <w:pPr>
        <w:tabs>
          <w:tab w:val="num" w:pos="5049"/>
        </w:tabs>
        <w:ind w:left="5049" w:hanging="360"/>
      </w:pPr>
      <w:rPr>
        <w:rFonts w:ascii="Symbol" w:hAnsi="Symbol" w:hint="default"/>
      </w:rPr>
    </w:lvl>
    <w:lvl w:ilvl="7" w:tplc="04090003" w:tentative="1">
      <w:start w:val="1"/>
      <w:numFmt w:val="bullet"/>
      <w:lvlText w:val="o"/>
      <w:lvlJc w:val="left"/>
      <w:pPr>
        <w:tabs>
          <w:tab w:val="num" w:pos="5769"/>
        </w:tabs>
        <w:ind w:left="5769" w:hanging="360"/>
      </w:pPr>
      <w:rPr>
        <w:rFonts w:ascii="Courier New" w:hAnsi="Courier New" w:cs="Courier New" w:hint="default"/>
      </w:rPr>
    </w:lvl>
    <w:lvl w:ilvl="8" w:tplc="04090005" w:tentative="1">
      <w:start w:val="1"/>
      <w:numFmt w:val="bullet"/>
      <w:lvlText w:val=""/>
      <w:lvlJc w:val="left"/>
      <w:pPr>
        <w:tabs>
          <w:tab w:val="num" w:pos="6489"/>
        </w:tabs>
        <w:ind w:left="6489" w:hanging="360"/>
      </w:pPr>
      <w:rPr>
        <w:rFonts w:ascii="Wingdings" w:hAnsi="Wingdings" w:hint="default"/>
      </w:rPr>
    </w:lvl>
  </w:abstractNum>
  <w:abstractNum w:abstractNumId="1" w15:restartNumberingAfterBreak="0">
    <w:nsid w:val="08514E36"/>
    <w:multiLevelType w:val="hybridMultilevel"/>
    <w:tmpl w:val="0B2AC9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FC82A45"/>
    <w:multiLevelType w:val="hybridMultilevel"/>
    <w:tmpl w:val="B2FE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011D9"/>
    <w:multiLevelType w:val="hybridMultilevel"/>
    <w:tmpl w:val="08B2F2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A65DA"/>
    <w:multiLevelType w:val="hybridMultilevel"/>
    <w:tmpl w:val="A796D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E11B4"/>
    <w:multiLevelType w:val="hybridMultilevel"/>
    <w:tmpl w:val="D370F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E833B6"/>
    <w:multiLevelType w:val="multilevel"/>
    <w:tmpl w:val="21005E9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EF3ECF"/>
    <w:multiLevelType w:val="hybridMultilevel"/>
    <w:tmpl w:val="E7762C4C"/>
    <w:lvl w:ilvl="0" w:tplc="E95894AE">
      <w:start w:val="1"/>
      <w:numFmt w:val="lowerRoman"/>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84C90"/>
    <w:multiLevelType w:val="hybridMultilevel"/>
    <w:tmpl w:val="0E52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520F5"/>
    <w:multiLevelType w:val="hybridMultilevel"/>
    <w:tmpl w:val="8F02DF7A"/>
    <w:lvl w:ilvl="0" w:tplc="04090011">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D070E"/>
    <w:multiLevelType w:val="hybridMultilevel"/>
    <w:tmpl w:val="FCAAD324"/>
    <w:lvl w:ilvl="0" w:tplc="B202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976F87"/>
    <w:multiLevelType w:val="hybridMultilevel"/>
    <w:tmpl w:val="B17A1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B5F98"/>
    <w:multiLevelType w:val="multilevel"/>
    <w:tmpl w:val="124E8966"/>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FB57C6F"/>
    <w:multiLevelType w:val="hybridMultilevel"/>
    <w:tmpl w:val="0B2AC9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2FF176D8"/>
    <w:multiLevelType w:val="hybridMultilevel"/>
    <w:tmpl w:val="AB8485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73F0B"/>
    <w:multiLevelType w:val="multilevel"/>
    <w:tmpl w:val="AFEC66AC"/>
    <w:lvl w:ilvl="0">
      <w:start w:val="4"/>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584D9C"/>
    <w:multiLevelType w:val="hybridMultilevel"/>
    <w:tmpl w:val="4186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E69E8"/>
    <w:multiLevelType w:val="hybridMultilevel"/>
    <w:tmpl w:val="8340907C"/>
    <w:lvl w:ilvl="0" w:tplc="FF842D88">
      <w:start w:val="9"/>
      <w:numFmt w:val="decimal"/>
      <w:lvlText w:val="%1)"/>
      <w:lvlJc w:val="left"/>
      <w:pPr>
        <w:ind w:left="102" w:hanging="239"/>
      </w:pPr>
      <w:rPr>
        <w:rFonts w:ascii="Arial" w:eastAsia="Arial" w:hAnsi="Arial" w:cs="Arial" w:hint="default"/>
        <w:spacing w:val="0"/>
        <w:w w:val="102"/>
        <w:sz w:val="20"/>
        <w:szCs w:val="20"/>
      </w:rPr>
    </w:lvl>
    <w:lvl w:ilvl="1" w:tplc="7EB219FE">
      <w:start w:val="1"/>
      <w:numFmt w:val="decimal"/>
      <w:lvlText w:val="%2."/>
      <w:lvlJc w:val="left"/>
      <w:pPr>
        <w:ind w:left="782" w:hanging="391"/>
      </w:pPr>
      <w:rPr>
        <w:rFonts w:ascii="Times New Roman" w:eastAsia="Arial" w:hAnsi="Times New Roman" w:cs="Arial" w:hint="default"/>
        <w:spacing w:val="-1"/>
        <w:w w:val="101"/>
        <w:sz w:val="24"/>
        <w:szCs w:val="20"/>
      </w:rPr>
    </w:lvl>
    <w:lvl w:ilvl="2" w:tplc="49DA860E">
      <w:numFmt w:val="bullet"/>
      <w:lvlText w:val="•"/>
      <w:lvlJc w:val="left"/>
      <w:pPr>
        <w:ind w:left="1895" w:hanging="391"/>
      </w:pPr>
      <w:rPr>
        <w:rFonts w:hint="default"/>
      </w:rPr>
    </w:lvl>
    <w:lvl w:ilvl="3" w:tplc="27E0475E">
      <w:numFmt w:val="bullet"/>
      <w:lvlText w:val="•"/>
      <w:lvlJc w:val="left"/>
      <w:pPr>
        <w:ind w:left="3011" w:hanging="391"/>
      </w:pPr>
      <w:rPr>
        <w:rFonts w:hint="default"/>
      </w:rPr>
    </w:lvl>
    <w:lvl w:ilvl="4" w:tplc="46689AB0">
      <w:numFmt w:val="bullet"/>
      <w:lvlText w:val="•"/>
      <w:lvlJc w:val="left"/>
      <w:pPr>
        <w:ind w:left="4126" w:hanging="391"/>
      </w:pPr>
      <w:rPr>
        <w:rFonts w:hint="default"/>
      </w:rPr>
    </w:lvl>
    <w:lvl w:ilvl="5" w:tplc="C7826F8E">
      <w:numFmt w:val="bullet"/>
      <w:lvlText w:val="•"/>
      <w:lvlJc w:val="left"/>
      <w:pPr>
        <w:ind w:left="5242" w:hanging="391"/>
      </w:pPr>
      <w:rPr>
        <w:rFonts w:hint="default"/>
      </w:rPr>
    </w:lvl>
    <w:lvl w:ilvl="6" w:tplc="33407FBE">
      <w:numFmt w:val="bullet"/>
      <w:lvlText w:val="•"/>
      <w:lvlJc w:val="left"/>
      <w:pPr>
        <w:ind w:left="6357" w:hanging="391"/>
      </w:pPr>
      <w:rPr>
        <w:rFonts w:hint="default"/>
      </w:rPr>
    </w:lvl>
    <w:lvl w:ilvl="7" w:tplc="43A6943A">
      <w:numFmt w:val="bullet"/>
      <w:lvlText w:val="•"/>
      <w:lvlJc w:val="left"/>
      <w:pPr>
        <w:ind w:left="7473" w:hanging="391"/>
      </w:pPr>
      <w:rPr>
        <w:rFonts w:hint="default"/>
      </w:rPr>
    </w:lvl>
    <w:lvl w:ilvl="8" w:tplc="FBD6F972">
      <w:numFmt w:val="bullet"/>
      <w:lvlText w:val="•"/>
      <w:lvlJc w:val="left"/>
      <w:pPr>
        <w:ind w:left="8588" w:hanging="391"/>
      </w:pPr>
      <w:rPr>
        <w:rFonts w:hint="default"/>
      </w:rPr>
    </w:lvl>
  </w:abstractNum>
  <w:abstractNum w:abstractNumId="18" w15:restartNumberingAfterBreak="0">
    <w:nsid w:val="3D913732"/>
    <w:multiLevelType w:val="multilevel"/>
    <w:tmpl w:val="6224616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EE63382"/>
    <w:multiLevelType w:val="hybridMultilevel"/>
    <w:tmpl w:val="3F76150E"/>
    <w:lvl w:ilvl="0" w:tplc="7E2CBA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354C5F"/>
    <w:multiLevelType w:val="hybridMultilevel"/>
    <w:tmpl w:val="A9826504"/>
    <w:lvl w:ilvl="0" w:tplc="70AC1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6F0000"/>
    <w:multiLevelType w:val="hybridMultilevel"/>
    <w:tmpl w:val="99DAC9BE"/>
    <w:lvl w:ilvl="0" w:tplc="5BB254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BC3339"/>
    <w:multiLevelType w:val="multilevel"/>
    <w:tmpl w:val="6E6CBA68"/>
    <w:lvl w:ilvl="0">
      <w:start w:val="9"/>
      <w:numFmt w:val="decimal"/>
      <w:lvlText w:val="%1"/>
      <w:lvlJc w:val="left"/>
      <w:pPr>
        <w:ind w:left="360" w:hanging="360"/>
      </w:pPr>
      <w:rPr>
        <w:rFonts w:hint="default"/>
        <w:b/>
      </w:rPr>
    </w:lvl>
    <w:lvl w:ilvl="1">
      <w:start w:val="3"/>
      <w:numFmt w:val="decimal"/>
      <w:lvlText w:val="%1.%2"/>
      <w:lvlJc w:val="left"/>
      <w:pPr>
        <w:ind w:left="117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8425D89"/>
    <w:multiLevelType w:val="hybridMultilevel"/>
    <w:tmpl w:val="6DCA58C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261A5"/>
    <w:multiLevelType w:val="hybridMultilevel"/>
    <w:tmpl w:val="6166E5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053BEF"/>
    <w:multiLevelType w:val="hybridMultilevel"/>
    <w:tmpl w:val="6BF04AE0"/>
    <w:lvl w:ilvl="0" w:tplc="D7D8F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5D5D88"/>
    <w:multiLevelType w:val="multilevel"/>
    <w:tmpl w:val="E3281F98"/>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81F5F71"/>
    <w:multiLevelType w:val="multilevel"/>
    <w:tmpl w:val="B192C164"/>
    <w:lvl w:ilvl="0">
      <w:start w:val="4"/>
      <w:numFmt w:val="decimal"/>
      <w:lvlText w:val="%1"/>
      <w:lvlJc w:val="left"/>
      <w:pPr>
        <w:ind w:left="360" w:hanging="360"/>
      </w:pPr>
      <w:rPr>
        <w:rFonts w:hint="default"/>
        <w:b/>
      </w:rPr>
    </w:lvl>
    <w:lvl w:ilvl="1">
      <w:start w:val="8"/>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58981599"/>
    <w:multiLevelType w:val="hybridMultilevel"/>
    <w:tmpl w:val="257C8800"/>
    <w:lvl w:ilvl="0" w:tplc="AAF88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AE4F34"/>
    <w:multiLevelType w:val="hybridMultilevel"/>
    <w:tmpl w:val="8134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8211B"/>
    <w:multiLevelType w:val="hybridMultilevel"/>
    <w:tmpl w:val="053A0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D07F45"/>
    <w:multiLevelType w:val="hybridMultilevel"/>
    <w:tmpl w:val="A02EA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BB0E97"/>
    <w:multiLevelType w:val="multilevel"/>
    <w:tmpl w:val="DD6AD8D0"/>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6A1A3292"/>
    <w:multiLevelType w:val="hybridMultilevel"/>
    <w:tmpl w:val="4AF4EF3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21BC8"/>
    <w:multiLevelType w:val="multilevel"/>
    <w:tmpl w:val="D0642640"/>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lowerLetter"/>
      <w:lvlText w:val="%3."/>
      <w:lvlJc w:val="left"/>
      <w:pPr>
        <w:ind w:left="1620" w:hanging="180"/>
      </w:pPr>
      <w:rPr>
        <w:rFonts w:hint="default"/>
        <w:b w:val="0"/>
        <w:color w:val="404040" w:themeColor="text1" w:themeTint="BF"/>
        <w:sz w:val="22"/>
      </w:rPr>
    </w:lvl>
    <w:lvl w:ilvl="3">
      <w:start w:val="1"/>
      <w:numFmt w:val="lowerLetter"/>
      <w:lvlText w:val="%4."/>
      <w:lvlJc w:val="left"/>
      <w:pPr>
        <w:ind w:left="2880" w:hanging="360"/>
      </w:pPr>
      <w:rPr>
        <w:rFonts w:ascii="Arial" w:hAnsi="Arial" w:cs="Arial"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45D5E00"/>
    <w:multiLevelType w:val="multilevel"/>
    <w:tmpl w:val="62826FBE"/>
    <w:lvl w:ilvl="0">
      <w:start w:val="9"/>
      <w:numFmt w:val="decimal"/>
      <w:lvlText w:val="%1"/>
      <w:lvlJc w:val="left"/>
      <w:pPr>
        <w:ind w:left="360" w:hanging="360"/>
      </w:pPr>
      <w:rPr>
        <w:rFonts w:hint="default"/>
        <w:b/>
      </w:rPr>
    </w:lvl>
    <w:lvl w:ilvl="1">
      <w:start w:val="8"/>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7487416A"/>
    <w:multiLevelType w:val="hybridMultilevel"/>
    <w:tmpl w:val="0B2AC9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76D635EA"/>
    <w:multiLevelType w:val="hybridMultilevel"/>
    <w:tmpl w:val="FB2692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B2C1778"/>
    <w:multiLevelType w:val="multilevel"/>
    <w:tmpl w:val="2C5E9B0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7B570954"/>
    <w:multiLevelType w:val="multilevel"/>
    <w:tmpl w:val="01403C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B676246"/>
    <w:multiLevelType w:val="hybridMultilevel"/>
    <w:tmpl w:val="AFB2ED6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8"/>
  </w:num>
  <w:num w:numId="3">
    <w:abstractNumId w:val="31"/>
  </w:num>
  <w:num w:numId="4">
    <w:abstractNumId w:val="16"/>
  </w:num>
  <w:num w:numId="5">
    <w:abstractNumId w:val="34"/>
  </w:num>
  <w:num w:numId="6">
    <w:abstractNumId w:val="32"/>
  </w:num>
  <w:num w:numId="7">
    <w:abstractNumId w:val="26"/>
  </w:num>
  <w:num w:numId="8">
    <w:abstractNumId w:val="38"/>
  </w:num>
  <w:num w:numId="9">
    <w:abstractNumId w:val="27"/>
  </w:num>
  <w:num w:numId="10">
    <w:abstractNumId w:val="15"/>
  </w:num>
  <w:num w:numId="11">
    <w:abstractNumId w:val="12"/>
  </w:num>
  <w:num w:numId="12">
    <w:abstractNumId w:val="6"/>
  </w:num>
  <w:num w:numId="13">
    <w:abstractNumId w:val="22"/>
  </w:num>
  <w:num w:numId="14">
    <w:abstractNumId w:val="35"/>
  </w:num>
  <w:num w:numId="15">
    <w:abstractNumId w:val="18"/>
  </w:num>
  <w:num w:numId="16">
    <w:abstractNumId w:val="24"/>
  </w:num>
  <w:num w:numId="17">
    <w:abstractNumId w:val="29"/>
  </w:num>
  <w:num w:numId="18">
    <w:abstractNumId w:val="3"/>
  </w:num>
  <w:num w:numId="19">
    <w:abstractNumId w:val="39"/>
  </w:num>
  <w:num w:numId="20">
    <w:abstractNumId w:val="37"/>
  </w:num>
  <w:num w:numId="21">
    <w:abstractNumId w:val="40"/>
  </w:num>
  <w:num w:numId="22">
    <w:abstractNumId w:val="21"/>
  </w:num>
  <w:num w:numId="23">
    <w:abstractNumId w:val="13"/>
  </w:num>
  <w:num w:numId="24">
    <w:abstractNumId w:val="1"/>
  </w:num>
  <w:num w:numId="25">
    <w:abstractNumId w:val="36"/>
  </w:num>
  <w:num w:numId="26">
    <w:abstractNumId w:val="7"/>
  </w:num>
  <w:num w:numId="27">
    <w:abstractNumId w:val="28"/>
  </w:num>
  <w:num w:numId="28">
    <w:abstractNumId w:val="10"/>
  </w:num>
  <w:num w:numId="29">
    <w:abstractNumId w:val="4"/>
  </w:num>
  <w:num w:numId="30">
    <w:abstractNumId w:val="14"/>
  </w:num>
  <w:num w:numId="31">
    <w:abstractNumId w:val="17"/>
  </w:num>
  <w:num w:numId="32">
    <w:abstractNumId w:val="19"/>
  </w:num>
  <w:num w:numId="33">
    <w:abstractNumId w:val="20"/>
  </w:num>
  <w:num w:numId="34">
    <w:abstractNumId w:val="2"/>
  </w:num>
  <w:num w:numId="35">
    <w:abstractNumId w:val="25"/>
  </w:num>
  <w:num w:numId="36">
    <w:abstractNumId w:val="11"/>
  </w:num>
  <w:num w:numId="37">
    <w:abstractNumId w:val="30"/>
  </w:num>
  <w:num w:numId="38">
    <w:abstractNumId w:val="23"/>
  </w:num>
  <w:num w:numId="39">
    <w:abstractNumId w:val="9"/>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0"/>
    <w:rsid w:val="000057BC"/>
    <w:rsid w:val="00005839"/>
    <w:rsid w:val="00006F2F"/>
    <w:rsid w:val="0000777D"/>
    <w:rsid w:val="00010C0E"/>
    <w:rsid w:val="000123E7"/>
    <w:rsid w:val="00012485"/>
    <w:rsid w:val="00012689"/>
    <w:rsid w:val="000129EE"/>
    <w:rsid w:val="000133EB"/>
    <w:rsid w:val="00014B10"/>
    <w:rsid w:val="00015DFC"/>
    <w:rsid w:val="000165D7"/>
    <w:rsid w:val="00016D4D"/>
    <w:rsid w:val="0001739B"/>
    <w:rsid w:val="000203AA"/>
    <w:rsid w:val="00021B05"/>
    <w:rsid w:val="0002281D"/>
    <w:rsid w:val="0002441B"/>
    <w:rsid w:val="00024E46"/>
    <w:rsid w:val="00026D7D"/>
    <w:rsid w:val="0003005F"/>
    <w:rsid w:val="000311C9"/>
    <w:rsid w:val="00031982"/>
    <w:rsid w:val="00033F1F"/>
    <w:rsid w:val="00035E56"/>
    <w:rsid w:val="00040E84"/>
    <w:rsid w:val="0004485E"/>
    <w:rsid w:val="00045CDD"/>
    <w:rsid w:val="00050397"/>
    <w:rsid w:val="00052CCF"/>
    <w:rsid w:val="0005451F"/>
    <w:rsid w:val="00055C9C"/>
    <w:rsid w:val="00056087"/>
    <w:rsid w:val="00056139"/>
    <w:rsid w:val="00057223"/>
    <w:rsid w:val="000648FB"/>
    <w:rsid w:val="00066BF6"/>
    <w:rsid w:val="00066E5F"/>
    <w:rsid w:val="00070D1B"/>
    <w:rsid w:val="00070E80"/>
    <w:rsid w:val="00071D82"/>
    <w:rsid w:val="00074839"/>
    <w:rsid w:val="000768B8"/>
    <w:rsid w:val="00076915"/>
    <w:rsid w:val="00081BEC"/>
    <w:rsid w:val="00083EE4"/>
    <w:rsid w:val="00084977"/>
    <w:rsid w:val="000855CF"/>
    <w:rsid w:val="00085818"/>
    <w:rsid w:val="000930E9"/>
    <w:rsid w:val="00094F50"/>
    <w:rsid w:val="000965DB"/>
    <w:rsid w:val="00097502"/>
    <w:rsid w:val="00097FA7"/>
    <w:rsid w:val="000A096E"/>
    <w:rsid w:val="000A3469"/>
    <w:rsid w:val="000B093C"/>
    <w:rsid w:val="000B17D4"/>
    <w:rsid w:val="000B1C75"/>
    <w:rsid w:val="000B49CC"/>
    <w:rsid w:val="000B58F4"/>
    <w:rsid w:val="000B5BDC"/>
    <w:rsid w:val="000B7191"/>
    <w:rsid w:val="000C094F"/>
    <w:rsid w:val="000C0B93"/>
    <w:rsid w:val="000C1376"/>
    <w:rsid w:val="000C3AF8"/>
    <w:rsid w:val="000C4805"/>
    <w:rsid w:val="000C5B75"/>
    <w:rsid w:val="000C702A"/>
    <w:rsid w:val="000D383F"/>
    <w:rsid w:val="000D3A10"/>
    <w:rsid w:val="000D6580"/>
    <w:rsid w:val="000D6FC6"/>
    <w:rsid w:val="000D7233"/>
    <w:rsid w:val="000D7786"/>
    <w:rsid w:val="000E0048"/>
    <w:rsid w:val="000E05F5"/>
    <w:rsid w:val="000E23D9"/>
    <w:rsid w:val="000E4371"/>
    <w:rsid w:val="000E62BF"/>
    <w:rsid w:val="000E642A"/>
    <w:rsid w:val="000E6A3A"/>
    <w:rsid w:val="000E6A75"/>
    <w:rsid w:val="000F2A11"/>
    <w:rsid w:val="000F379D"/>
    <w:rsid w:val="000F63DB"/>
    <w:rsid w:val="00102661"/>
    <w:rsid w:val="0010581B"/>
    <w:rsid w:val="001062E6"/>
    <w:rsid w:val="00106366"/>
    <w:rsid w:val="001071A6"/>
    <w:rsid w:val="00111886"/>
    <w:rsid w:val="00111AB1"/>
    <w:rsid w:val="001129E8"/>
    <w:rsid w:val="00112F43"/>
    <w:rsid w:val="00114232"/>
    <w:rsid w:val="00115B8F"/>
    <w:rsid w:val="00117DCC"/>
    <w:rsid w:val="00120188"/>
    <w:rsid w:val="00121C5C"/>
    <w:rsid w:val="00122441"/>
    <w:rsid w:val="00122716"/>
    <w:rsid w:val="001233EE"/>
    <w:rsid w:val="00123AC5"/>
    <w:rsid w:val="00125096"/>
    <w:rsid w:val="00125B07"/>
    <w:rsid w:val="00126645"/>
    <w:rsid w:val="00130070"/>
    <w:rsid w:val="0013025A"/>
    <w:rsid w:val="001327A0"/>
    <w:rsid w:val="001405DF"/>
    <w:rsid w:val="001443BC"/>
    <w:rsid w:val="00147771"/>
    <w:rsid w:val="00147A1E"/>
    <w:rsid w:val="00150301"/>
    <w:rsid w:val="001515CD"/>
    <w:rsid w:val="001516A0"/>
    <w:rsid w:val="00153DDD"/>
    <w:rsid w:val="00153FBD"/>
    <w:rsid w:val="00154483"/>
    <w:rsid w:val="001611BA"/>
    <w:rsid w:val="001712C4"/>
    <w:rsid w:val="00172D06"/>
    <w:rsid w:val="00172EB4"/>
    <w:rsid w:val="00173923"/>
    <w:rsid w:val="00173A1E"/>
    <w:rsid w:val="00176729"/>
    <w:rsid w:val="0017717B"/>
    <w:rsid w:val="00177724"/>
    <w:rsid w:val="001812B4"/>
    <w:rsid w:val="00182E6D"/>
    <w:rsid w:val="001842EA"/>
    <w:rsid w:val="00185BBB"/>
    <w:rsid w:val="00186EBC"/>
    <w:rsid w:val="00187200"/>
    <w:rsid w:val="001877D9"/>
    <w:rsid w:val="00191CB3"/>
    <w:rsid w:val="00194553"/>
    <w:rsid w:val="00197ADD"/>
    <w:rsid w:val="001A070E"/>
    <w:rsid w:val="001A3153"/>
    <w:rsid w:val="001A4EC5"/>
    <w:rsid w:val="001A5CA6"/>
    <w:rsid w:val="001A693E"/>
    <w:rsid w:val="001A7230"/>
    <w:rsid w:val="001B046C"/>
    <w:rsid w:val="001B05B4"/>
    <w:rsid w:val="001B083A"/>
    <w:rsid w:val="001B0850"/>
    <w:rsid w:val="001B0A61"/>
    <w:rsid w:val="001B0C2A"/>
    <w:rsid w:val="001B0DFF"/>
    <w:rsid w:val="001B0F48"/>
    <w:rsid w:val="001B31F3"/>
    <w:rsid w:val="001B4178"/>
    <w:rsid w:val="001B5749"/>
    <w:rsid w:val="001B604E"/>
    <w:rsid w:val="001B62DF"/>
    <w:rsid w:val="001C0B50"/>
    <w:rsid w:val="001C2D0F"/>
    <w:rsid w:val="001C2F9F"/>
    <w:rsid w:val="001C54DE"/>
    <w:rsid w:val="001C7079"/>
    <w:rsid w:val="001C761B"/>
    <w:rsid w:val="001D0BA3"/>
    <w:rsid w:val="001D1E0E"/>
    <w:rsid w:val="001D217D"/>
    <w:rsid w:val="001D4453"/>
    <w:rsid w:val="001D5353"/>
    <w:rsid w:val="001D6C54"/>
    <w:rsid w:val="001D7119"/>
    <w:rsid w:val="001D7B09"/>
    <w:rsid w:val="001E018B"/>
    <w:rsid w:val="001E2035"/>
    <w:rsid w:val="001E3D60"/>
    <w:rsid w:val="001E454A"/>
    <w:rsid w:val="001E550F"/>
    <w:rsid w:val="001E689D"/>
    <w:rsid w:val="001E6E52"/>
    <w:rsid w:val="001E7090"/>
    <w:rsid w:val="001F1B2F"/>
    <w:rsid w:val="001F1E38"/>
    <w:rsid w:val="001F2B23"/>
    <w:rsid w:val="001F4344"/>
    <w:rsid w:val="001F443A"/>
    <w:rsid w:val="001F5AFA"/>
    <w:rsid w:val="001F6C1F"/>
    <w:rsid w:val="00200749"/>
    <w:rsid w:val="00200F5D"/>
    <w:rsid w:val="0020758A"/>
    <w:rsid w:val="00207BEC"/>
    <w:rsid w:val="00210A21"/>
    <w:rsid w:val="0021316B"/>
    <w:rsid w:val="00213536"/>
    <w:rsid w:val="002143B4"/>
    <w:rsid w:val="00214812"/>
    <w:rsid w:val="002168FB"/>
    <w:rsid w:val="00217021"/>
    <w:rsid w:val="002174CB"/>
    <w:rsid w:val="002177FE"/>
    <w:rsid w:val="00220275"/>
    <w:rsid w:val="00222588"/>
    <w:rsid w:val="002231D1"/>
    <w:rsid w:val="002238BA"/>
    <w:rsid w:val="00224DC9"/>
    <w:rsid w:val="00226805"/>
    <w:rsid w:val="00226F29"/>
    <w:rsid w:val="00227658"/>
    <w:rsid w:val="00227862"/>
    <w:rsid w:val="0023091C"/>
    <w:rsid w:val="002312B4"/>
    <w:rsid w:val="00232D6D"/>
    <w:rsid w:val="0023452F"/>
    <w:rsid w:val="00235C97"/>
    <w:rsid w:val="002401E9"/>
    <w:rsid w:val="00240FC0"/>
    <w:rsid w:val="002427B0"/>
    <w:rsid w:val="002447A1"/>
    <w:rsid w:val="00253AF5"/>
    <w:rsid w:val="00255C2D"/>
    <w:rsid w:val="002560D0"/>
    <w:rsid w:val="00256CB3"/>
    <w:rsid w:val="00257BF9"/>
    <w:rsid w:val="00261275"/>
    <w:rsid w:val="002628DA"/>
    <w:rsid w:val="00262E47"/>
    <w:rsid w:val="002643B6"/>
    <w:rsid w:val="00266141"/>
    <w:rsid w:val="002739AC"/>
    <w:rsid w:val="00275EC1"/>
    <w:rsid w:val="00275F88"/>
    <w:rsid w:val="00276F6D"/>
    <w:rsid w:val="00277873"/>
    <w:rsid w:val="00277C6A"/>
    <w:rsid w:val="0028105A"/>
    <w:rsid w:val="0028345A"/>
    <w:rsid w:val="002854D4"/>
    <w:rsid w:val="00286055"/>
    <w:rsid w:val="0028661C"/>
    <w:rsid w:val="002868ED"/>
    <w:rsid w:val="002912E6"/>
    <w:rsid w:val="00291305"/>
    <w:rsid w:val="00294EFE"/>
    <w:rsid w:val="00296847"/>
    <w:rsid w:val="002A04D1"/>
    <w:rsid w:val="002A21BC"/>
    <w:rsid w:val="002A4D02"/>
    <w:rsid w:val="002A5762"/>
    <w:rsid w:val="002A66F9"/>
    <w:rsid w:val="002A72C2"/>
    <w:rsid w:val="002A7787"/>
    <w:rsid w:val="002B0020"/>
    <w:rsid w:val="002B02E9"/>
    <w:rsid w:val="002B1ED8"/>
    <w:rsid w:val="002B3490"/>
    <w:rsid w:val="002B4E78"/>
    <w:rsid w:val="002B564F"/>
    <w:rsid w:val="002B6366"/>
    <w:rsid w:val="002B777A"/>
    <w:rsid w:val="002B7BEB"/>
    <w:rsid w:val="002C2D1C"/>
    <w:rsid w:val="002C42AD"/>
    <w:rsid w:val="002C4C2D"/>
    <w:rsid w:val="002C575C"/>
    <w:rsid w:val="002C5E9D"/>
    <w:rsid w:val="002D2B40"/>
    <w:rsid w:val="002D2B55"/>
    <w:rsid w:val="002D2D64"/>
    <w:rsid w:val="002D6216"/>
    <w:rsid w:val="002D7021"/>
    <w:rsid w:val="002D732C"/>
    <w:rsid w:val="002D7DA4"/>
    <w:rsid w:val="002E0C56"/>
    <w:rsid w:val="002E120C"/>
    <w:rsid w:val="002E20A6"/>
    <w:rsid w:val="002E35B5"/>
    <w:rsid w:val="002E47D3"/>
    <w:rsid w:val="002E4B4C"/>
    <w:rsid w:val="002E4B67"/>
    <w:rsid w:val="002E745D"/>
    <w:rsid w:val="002F09D6"/>
    <w:rsid w:val="002F0EC0"/>
    <w:rsid w:val="002F151A"/>
    <w:rsid w:val="002F57A7"/>
    <w:rsid w:val="002F74B7"/>
    <w:rsid w:val="003030CA"/>
    <w:rsid w:val="00303531"/>
    <w:rsid w:val="00303FEE"/>
    <w:rsid w:val="003043F3"/>
    <w:rsid w:val="00306B1B"/>
    <w:rsid w:val="00307390"/>
    <w:rsid w:val="00307565"/>
    <w:rsid w:val="0030789C"/>
    <w:rsid w:val="00307D48"/>
    <w:rsid w:val="003102AD"/>
    <w:rsid w:val="003109A2"/>
    <w:rsid w:val="003124EC"/>
    <w:rsid w:val="0031283F"/>
    <w:rsid w:val="003158D7"/>
    <w:rsid w:val="0031697E"/>
    <w:rsid w:val="00320E57"/>
    <w:rsid w:val="00321655"/>
    <w:rsid w:val="00323008"/>
    <w:rsid w:val="003321B7"/>
    <w:rsid w:val="00332E36"/>
    <w:rsid w:val="00334418"/>
    <w:rsid w:val="00334A30"/>
    <w:rsid w:val="003356D9"/>
    <w:rsid w:val="003364B1"/>
    <w:rsid w:val="003369FE"/>
    <w:rsid w:val="0033797A"/>
    <w:rsid w:val="00337E47"/>
    <w:rsid w:val="00342F9E"/>
    <w:rsid w:val="00346726"/>
    <w:rsid w:val="0035326F"/>
    <w:rsid w:val="00355709"/>
    <w:rsid w:val="0035602D"/>
    <w:rsid w:val="00356E5A"/>
    <w:rsid w:val="00357AF5"/>
    <w:rsid w:val="00357E17"/>
    <w:rsid w:val="00360234"/>
    <w:rsid w:val="00364232"/>
    <w:rsid w:val="00364D8D"/>
    <w:rsid w:val="00364E20"/>
    <w:rsid w:val="00365DBF"/>
    <w:rsid w:val="00370A4B"/>
    <w:rsid w:val="003711A6"/>
    <w:rsid w:val="00371932"/>
    <w:rsid w:val="0037245C"/>
    <w:rsid w:val="00372BE5"/>
    <w:rsid w:val="00374522"/>
    <w:rsid w:val="00374F94"/>
    <w:rsid w:val="00375EC9"/>
    <w:rsid w:val="00380430"/>
    <w:rsid w:val="00381575"/>
    <w:rsid w:val="00381D76"/>
    <w:rsid w:val="0038246C"/>
    <w:rsid w:val="003851FF"/>
    <w:rsid w:val="003856B9"/>
    <w:rsid w:val="003864B4"/>
    <w:rsid w:val="0038710E"/>
    <w:rsid w:val="003902B7"/>
    <w:rsid w:val="003908F4"/>
    <w:rsid w:val="003940A2"/>
    <w:rsid w:val="00394C1B"/>
    <w:rsid w:val="00395057"/>
    <w:rsid w:val="0039601F"/>
    <w:rsid w:val="00396CAA"/>
    <w:rsid w:val="00396D41"/>
    <w:rsid w:val="003979A4"/>
    <w:rsid w:val="003A073D"/>
    <w:rsid w:val="003A0F85"/>
    <w:rsid w:val="003A10F2"/>
    <w:rsid w:val="003A45D0"/>
    <w:rsid w:val="003A7867"/>
    <w:rsid w:val="003B244A"/>
    <w:rsid w:val="003C04BD"/>
    <w:rsid w:val="003C19BB"/>
    <w:rsid w:val="003C202D"/>
    <w:rsid w:val="003C3913"/>
    <w:rsid w:val="003C563A"/>
    <w:rsid w:val="003D72A5"/>
    <w:rsid w:val="003E101E"/>
    <w:rsid w:val="003E2ED3"/>
    <w:rsid w:val="003E37AD"/>
    <w:rsid w:val="003E4512"/>
    <w:rsid w:val="003E45FF"/>
    <w:rsid w:val="003E52C0"/>
    <w:rsid w:val="003E6F3A"/>
    <w:rsid w:val="003E6F84"/>
    <w:rsid w:val="003E736E"/>
    <w:rsid w:val="003F23C4"/>
    <w:rsid w:val="003F3A97"/>
    <w:rsid w:val="003F3E50"/>
    <w:rsid w:val="003F409B"/>
    <w:rsid w:val="003F4537"/>
    <w:rsid w:val="003F59D2"/>
    <w:rsid w:val="003F6628"/>
    <w:rsid w:val="003F6A87"/>
    <w:rsid w:val="00400033"/>
    <w:rsid w:val="004001AF"/>
    <w:rsid w:val="00404927"/>
    <w:rsid w:val="004053C4"/>
    <w:rsid w:val="004072EE"/>
    <w:rsid w:val="00407853"/>
    <w:rsid w:val="00407F2B"/>
    <w:rsid w:val="00411446"/>
    <w:rsid w:val="00412EB3"/>
    <w:rsid w:val="004143F0"/>
    <w:rsid w:val="0041458D"/>
    <w:rsid w:val="004175E5"/>
    <w:rsid w:val="00420574"/>
    <w:rsid w:val="00420B99"/>
    <w:rsid w:val="00422C8B"/>
    <w:rsid w:val="00422D52"/>
    <w:rsid w:val="004231E4"/>
    <w:rsid w:val="00423D03"/>
    <w:rsid w:val="0042458E"/>
    <w:rsid w:val="0042525E"/>
    <w:rsid w:val="00425D5F"/>
    <w:rsid w:val="0042787D"/>
    <w:rsid w:val="0043237C"/>
    <w:rsid w:val="0043475A"/>
    <w:rsid w:val="004348BC"/>
    <w:rsid w:val="0043526B"/>
    <w:rsid w:val="004361EA"/>
    <w:rsid w:val="00437258"/>
    <w:rsid w:val="00437936"/>
    <w:rsid w:val="00440800"/>
    <w:rsid w:val="004427A4"/>
    <w:rsid w:val="00443845"/>
    <w:rsid w:val="00443D2A"/>
    <w:rsid w:val="00444190"/>
    <w:rsid w:val="00445121"/>
    <w:rsid w:val="004508A6"/>
    <w:rsid w:val="00452364"/>
    <w:rsid w:val="00453144"/>
    <w:rsid w:val="00453436"/>
    <w:rsid w:val="00454619"/>
    <w:rsid w:val="00454FCD"/>
    <w:rsid w:val="004567BF"/>
    <w:rsid w:val="00456BF7"/>
    <w:rsid w:val="00460023"/>
    <w:rsid w:val="0046262B"/>
    <w:rsid w:val="004651DC"/>
    <w:rsid w:val="00465F58"/>
    <w:rsid w:val="00466EF2"/>
    <w:rsid w:val="00467B9D"/>
    <w:rsid w:val="00471999"/>
    <w:rsid w:val="00473EE3"/>
    <w:rsid w:val="004741F4"/>
    <w:rsid w:val="004808FE"/>
    <w:rsid w:val="00482722"/>
    <w:rsid w:val="00492D02"/>
    <w:rsid w:val="00495537"/>
    <w:rsid w:val="00495B78"/>
    <w:rsid w:val="004A1C8C"/>
    <w:rsid w:val="004A2038"/>
    <w:rsid w:val="004A3600"/>
    <w:rsid w:val="004A4603"/>
    <w:rsid w:val="004A4A5C"/>
    <w:rsid w:val="004B12B7"/>
    <w:rsid w:val="004B1912"/>
    <w:rsid w:val="004B46C6"/>
    <w:rsid w:val="004B4D6B"/>
    <w:rsid w:val="004B5D6D"/>
    <w:rsid w:val="004B7ED8"/>
    <w:rsid w:val="004C5E32"/>
    <w:rsid w:val="004C6F3C"/>
    <w:rsid w:val="004C7BC4"/>
    <w:rsid w:val="004D0311"/>
    <w:rsid w:val="004D35BE"/>
    <w:rsid w:val="004D37E2"/>
    <w:rsid w:val="004D43A2"/>
    <w:rsid w:val="004D7C2C"/>
    <w:rsid w:val="004D7DC3"/>
    <w:rsid w:val="004E1E95"/>
    <w:rsid w:val="004E1F9D"/>
    <w:rsid w:val="004E2986"/>
    <w:rsid w:val="004E312E"/>
    <w:rsid w:val="004E3A94"/>
    <w:rsid w:val="004E3C05"/>
    <w:rsid w:val="004E4257"/>
    <w:rsid w:val="004E440C"/>
    <w:rsid w:val="004E6515"/>
    <w:rsid w:val="004F0391"/>
    <w:rsid w:val="004F0F5C"/>
    <w:rsid w:val="004F16A6"/>
    <w:rsid w:val="004F3AF0"/>
    <w:rsid w:val="004F67EE"/>
    <w:rsid w:val="004F6D17"/>
    <w:rsid w:val="005003B2"/>
    <w:rsid w:val="00500549"/>
    <w:rsid w:val="00505F05"/>
    <w:rsid w:val="00506736"/>
    <w:rsid w:val="00506A8A"/>
    <w:rsid w:val="00512D0F"/>
    <w:rsid w:val="00513A14"/>
    <w:rsid w:val="00513CA2"/>
    <w:rsid w:val="0051405C"/>
    <w:rsid w:val="0051562F"/>
    <w:rsid w:val="0051730D"/>
    <w:rsid w:val="0052021F"/>
    <w:rsid w:val="00520DF3"/>
    <w:rsid w:val="00521373"/>
    <w:rsid w:val="005220FA"/>
    <w:rsid w:val="00522B05"/>
    <w:rsid w:val="00524916"/>
    <w:rsid w:val="00526B63"/>
    <w:rsid w:val="00526C93"/>
    <w:rsid w:val="00527EF6"/>
    <w:rsid w:val="00533A0A"/>
    <w:rsid w:val="0053427C"/>
    <w:rsid w:val="00535F2B"/>
    <w:rsid w:val="005366EF"/>
    <w:rsid w:val="005378EC"/>
    <w:rsid w:val="00540E10"/>
    <w:rsid w:val="00540EBE"/>
    <w:rsid w:val="005410A4"/>
    <w:rsid w:val="00542FA2"/>
    <w:rsid w:val="0055167C"/>
    <w:rsid w:val="00553A0F"/>
    <w:rsid w:val="0056201B"/>
    <w:rsid w:val="00563440"/>
    <w:rsid w:val="00564A70"/>
    <w:rsid w:val="00564EAF"/>
    <w:rsid w:val="00566150"/>
    <w:rsid w:val="00567706"/>
    <w:rsid w:val="00571185"/>
    <w:rsid w:val="00572E1C"/>
    <w:rsid w:val="00573557"/>
    <w:rsid w:val="005736A9"/>
    <w:rsid w:val="00576FDF"/>
    <w:rsid w:val="005800C8"/>
    <w:rsid w:val="00580D23"/>
    <w:rsid w:val="00583CE2"/>
    <w:rsid w:val="0058696D"/>
    <w:rsid w:val="00586AE8"/>
    <w:rsid w:val="00586F79"/>
    <w:rsid w:val="00587AA8"/>
    <w:rsid w:val="0059144B"/>
    <w:rsid w:val="0059278F"/>
    <w:rsid w:val="005957CB"/>
    <w:rsid w:val="00597DB3"/>
    <w:rsid w:val="00597DF2"/>
    <w:rsid w:val="005A12A0"/>
    <w:rsid w:val="005A1586"/>
    <w:rsid w:val="005A2C78"/>
    <w:rsid w:val="005A741B"/>
    <w:rsid w:val="005B0C52"/>
    <w:rsid w:val="005B0E3D"/>
    <w:rsid w:val="005B544D"/>
    <w:rsid w:val="005B5541"/>
    <w:rsid w:val="005C2273"/>
    <w:rsid w:val="005C449B"/>
    <w:rsid w:val="005C4659"/>
    <w:rsid w:val="005C5126"/>
    <w:rsid w:val="005D1A4F"/>
    <w:rsid w:val="005D29EB"/>
    <w:rsid w:val="005D5CAA"/>
    <w:rsid w:val="005E083D"/>
    <w:rsid w:val="005E1312"/>
    <w:rsid w:val="005E3E64"/>
    <w:rsid w:val="005E71FA"/>
    <w:rsid w:val="005E77F9"/>
    <w:rsid w:val="005E7D61"/>
    <w:rsid w:val="005F0987"/>
    <w:rsid w:val="005F09E0"/>
    <w:rsid w:val="005F0E01"/>
    <w:rsid w:val="005F1E8F"/>
    <w:rsid w:val="005F2DE4"/>
    <w:rsid w:val="005F350A"/>
    <w:rsid w:val="005F465F"/>
    <w:rsid w:val="005F482A"/>
    <w:rsid w:val="005F5F0F"/>
    <w:rsid w:val="00601E3B"/>
    <w:rsid w:val="00602475"/>
    <w:rsid w:val="006035F1"/>
    <w:rsid w:val="00605922"/>
    <w:rsid w:val="006059FE"/>
    <w:rsid w:val="00606F76"/>
    <w:rsid w:val="00607B06"/>
    <w:rsid w:val="00616389"/>
    <w:rsid w:val="00616C72"/>
    <w:rsid w:val="006209D1"/>
    <w:rsid w:val="00625563"/>
    <w:rsid w:val="00625C45"/>
    <w:rsid w:val="00626416"/>
    <w:rsid w:val="00626A61"/>
    <w:rsid w:val="00626C4B"/>
    <w:rsid w:val="00626FE7"/>
    <w:rsid w:val="00627819"/>
    <w:rsid w:val="0063005A"/>
    <w:rsid w:val="00631FFB"/>
    <w:rsid w:val="00632902"/>
    <w:rsid w:val="00632BC6"/>
    <w:rsid w:val="0063493D"/>
    <w:rsid w:val="006356EA"/>
    <w:rsid w:val="00637BA8"/>
    <w:rsid w:val="006411D4"/>
    <w:rsid w:val="00643245"/>
    <w:rsid w:val="00644264"/>
    <w:rsid w:val="00650858"/>
    <w:rsid w:val="006544E9"/>
    <w:rsid w:val="00654AB9"/>
    <w:rsid w:val="00656286"/>
    <w:rsid w:val="00657103"/>
    <w:rsid w:val="006607E9"/>
    <w:rsid w:val="00661157"/>
    <w:rsid w:val="00661800"/>
    <w:rsid w:val="0066238C"/>
    <w:rsid w:val="006655F7"/>
    <w:rsid w:val="006669C9"/>
    <w:rsid w:val="00670C8C"/>
    <w:rsid w:val="006714ED"/>
    <w:rsid w:val="0067217E"/>
    <w:rsid w:val="00675894"/>
    <w:rsid w:val="00675CFC"/>
    <w:rsid w:val="00683603"/>
    <w:rsid w:val="00690631"/>
    <w:rsid w:val="00691219"/>
    <w:rsid w:val="00693731"/>
    <w:rsid w:val="00693761"/>
    <w:rsid w:val="00694BD0"/>
    <w:rsid w:val="00697226"/>
    <w:rsid w:val="00697A16"/>
    <w:rsid w:val="00697BF5"/>
    <w:rsid w:val="006A0298"/>
    <w:rsid w:val="006A11F6"/>
    <w:rsid w:val="006A164A"/>
    <w:rsid w:val="006A2755"/>
    <w:rsid w:val="006A2D40"/>
    <w:rsid w:val="006A4CE8"/>
    <w:rsid w:val="006A57B1"/>
    <w:rsid w:val="006A6902"/>
    <w:rsid w:val="006A69AA"/>
    <w:rsid w:val="006B319E"/>
    <w:rsid w:val="006B5815"/>
    <w:rsid w:val="006B59BF"/>
    <w:rsid w:val="006B639A"/>
    <w:rsid w:val="006B6AA5"/>
    <w:rsid w:val="006C006A"/>
    <w:rsid w:val="006C1415"/>
    <w:rsid w:val="006C5511"/>
    <w:rsid w:val="006C79C8"/>
    <w:rsid w:val="006D2057"/>
    <w:rsid w:val="006D33BA"/>
    <w:rsid w:val="006E0713"/>
    <w:rsid w:val="006E2487"/>
    <w:rsid w:val="006E3379"/>
    <w:rsid w:val="006E3469"/>
    <w:rsid w:val="006E53D8"/>
    <w:rsid w:val="006E58E0"/>
    <w:rsid w:val="006E633C"/>
    <w:rsid w:val="006F018E"/>
    <w:rsid w:val="006F0A24"/>
    <w:rsid w:val="006F164F"/>
    <w:rsid w:val="006F38DF"/>
    <w:rsid w:val="006F41AB"/>
    <w:rsid w:val="006F4F37"/>
    <w:rsid w:val="006F6636"/>
    <w:rsid w:val="006F7F7A"/>
    <w:rsid w:val="007009B7"/>
    <w:rsid w:val="007012D6"/>
    <w:rsid w:val="00703385"/>
    <w:rsid w:val="00703900"/>
    <w:rsid w:val="00703DC7"/>
    <w:rsid w:val="00704EA0"/>
    <w:rsid w:val="00705897"/>
    <w:rsid w:val="0070591A"/>
    <w:rsid w:val="00710499"/>
    <w:rsid w:val="00710529"/>
    <w:rsid w:val="00710B3D"/>
    <w:rsid w:val="00711129"/>
    <w:rsid w:val="00711A86"/>
    <w:rsid w:val="00713889"/>
    <w:rsid w:val="00713DE8"/>
    <w:rsid w:val="00714EF7"/>
    <w:rsid w:val="00715344"/>
    <w:rsid w:val="00715D08"/>
    <w:rsid w:val="00717DE3"/>
    <w:rsid w:val="007246E0"/>
    <w:rsid w:val="00724E3F"/>
    <w:rsid w:val="00727C8E"/>
    <w:rsid w:val="007372E2"/>
    <w:rsid w:val="00740444"/>
    <w:rsid w:val="007424DB"/>
    <w:rsid w:val="00742DA6"/>
    <w:rsid w:val="00753C87"/>
    <w:rsid w:val="00760147"/>
    <w:rsid w:val="007606F9"/>
    <w:rsid w:val="007618BB"/>
    <w:rsid w:val="0076345C"/>
    <w:rsid w:val="007641A5"/>
    <w:rsid w:val="00764642"/>
    <w:rsid w:val="00765B27"/>
    <w:rsid w:val="00767B0F"/>
    <w:rsid w:val="00767F15"/>
    <w:rsid w:val="007708F9"/>
    <w:rsid w:val="00771C05"/>
    <w:rsid w:val="00773727"/>
    <w:rsid w:val="00773F86"/>
    <w:rsid w:val="0077519A"/>
    <w:rsid w:val="0077564A"/>
    <w:rsid w:val="00777488"/>
    <w:rsid w:val="00777EC9"/>
    <w:rsid w:val="00782889"/>
    <w:rsid w:val="007828AB"/>
    <w:rsid w:val="007836EE"/>
    <w:rsid w:val="00783E78"/>
    <w:rsid w:val="0078605F"/>
    <w:rsid w:val="0079063B"/>
    <w:rsid w:val="00790EEE"/>
    <w:rsid w:val="00790F17"/>
    <w:rsid w:val="0079273C"/>
    <w:rsid w:val="00793692"/>
    <w:rsid w:val="00793C95"/>
    <w:rsid w:val="0079558A"/>
    <w:rsid w:val="007A01EE"/>
    <w:rsid w:val="007A09C4"/>
    <w:rsid w:val="007A39CE"/>
    <w:rsid w:val="007A3DF2"/>
    <w:rsid w:val="007A40C5"/>
    <w:rsid w:val="007A432D"/>
    <w:rsid w:val="007A5D90"/>
    <w:rsid w:val="007A7F01"/>
    <w:rsid w:val="007B1EF1"/>
    <w:rsid w:val="007B2F75"/>
    <w:rsid w:val="007B4240"/>
    <w:rsid w:val="007B502D"/>
    <w:rsid w:val="007B5C86"/>
    <w:rsid w:val="007B68F8"/>
    <w:rsid w:val="007B74ED"/>
    <w:rsid w:val="007C234D"/>
    <w:rsid w:val="007C299F"/>
    <w:rsid w:val="007C37BA"/>
    <w:rsid w:val="007C4917"/>
    <w:rsid w:val="007C5101"/>
    <w:rsid w:val="007C6B53"/>
    <w:rsid w:val="007D4846"/>
    <w:rsid w:val="007D7AE4"/>
    <w:rsid w:val="007E0D3F"/>
    <w:rsid w:val="007E303E"/>
    <w:rsid w:val="007E3AAE"/>
    <w:rsid w:val="007E3E96"/>
    <w:rsid w:val="007F0A18"/>
    <w:rsid w:val="007F34F7"/>
    <w:rsid w:val="007F371A"/>
    <w:rsid w:val="007F59C1"/>
    <w:rsid w:val="007F6472"/>
    <w:rsid w:val="00801B95"/>
    <w:rsid w:val="0080386E"/>
    <w:rsid w:val="008040CE"/>
    <w:rsid w:val="00805D96"/>
    <w:rsid w:val="008069DA"/>
    <w:rsid w:val="00807F40"/>
    <w:rsid w:val="00811398"/>
    <w:rsid w:val="00813348"/>
    <w:rsid w:val="00814ED6"/>
    <w:rsid w:val="00816398"/>
    <w:rsid w:val="00816B89"/>
    <w:rsid w:val="00821314"/>
    <w:rsid w:val="008213E9"/>
    <w:rsid w:val="00822E1B"/>
    <w:rsid w:val="00824761"/>
    <w:rsid w:val="00825B86"/>
    <w:rsid w:val="00826CEF"/>
    <w:rsid w:val="008273E3"/>
    <w:rsid w:val="00831C2F"/>
    <w:rsid w:val="00836565"/>
    <w:rsid w:val="008376E3"/>
    <w:rsid w:val="008376F8"/>
    <w:rsid w:val="00840A59"/>
    <w:rsid w:val="0084111C"/>
    <w:rsid w:val="00846584"/>
    <w:rsid w:val="008476BA"/>
    <w:rsid w:val="008478E3"/>
    <w:rsid w:val="00851F98"/>
    <w:rsid w:val="008532CE"/>
    <w:rsid w:val="00856298"/>
    <w:rsid w:val="008613A7"/>
    <w:rsid w:val="008621EE"/>
    <w:rsid w:val="00862548"/>
    <w:rsid w:val="0086288C"/>
    <w:rsid w:val="00862FB2"/>
    <w:rsid w:val="00862FC0"/>
    <w:rsid w:val="00862FDC"/>
    <w:rsid w:val="00864598"/>
    <w:rsid w:val="00867734"/>
    <w:rsid w:val="00870610"/>
    <w:rsid w:val="008708F7"/>
    <w:rsid w:val="008713CE"/>
    <w:rsid w:val="00873286"/>
    <w:rsid w:val="008735B7"/>
    <w:rsid w:val="008738E1"/>
    <w:rsid w:val="00874888"/>
    <w:rsid w:val="00877E4E"/>
    <w:rsid w:val="00880F4A"/>
    <w:rsid w:val="00881C96"/>
    <w:rsid w:val="00882FD4"/>
    <w:rsid w:val="0088317D"/>
    <w:rsid w:val="00883683"/>
    <w:rsid w:val="0088463B"/>
    <w:rsid w:val="008857B4"/>
    <w:rsid w:val="00886DAE"/>
    <w:rsid w:val="00887311"/>
    <w:rsid w:val="00890861"/>
    <w:rsid w:val="0089500B"/>
    <w:rsid w:val="00895619"/>
    <w:rsid w:val="008956DF"/>
    <w:rsid w:val="00895B3C"/>
    <w:rsid w:val="00895E0F"/>
    <w:rsid w:val="008961F8"/>
    <w:rsid w:val="00896BC3"/>
    <w:rsid w:val="008A0E73"/>
    <w:rsid w:val="008A19E3"/>
    <w:rsid w:val="008A2742"/>
    <w:rsid w:val="008A2FF2"/>
    <w:rsid w:val="008A5073"/>
    <w:rsid w:val="008A6100"/>
    <w:rsid w:val="008A63DE"/>
    <w:rsid w:val="008B12BD"/>
    <w:rsid w:val="008B2648"/>
    <w:rsid w:val="008B27DD"/>
    <w:rsid w:val="008B2E0C"/>
    <w:rsid w:val="008B3126"/>
    <w:rsid w:val="008B372A"/>
    <w:rsid w:val="008B4C78"/>
    <w:rsid w:val="008B5E5E"/>
    <w:rsid w:val="008B7921"/>
    <w:rsid w:val="008C085A"/>
    <w:rsid w:val="008C20BA"/>
    <w:rsid w:val="008C31F2"/>
    <w:rsid w:val="008C353A"/>
    <w:rsid w:val="008C4D71"/>
    <w:rsid w:val="008C5E0E"/>
    <w:rsid w:val="008C5EE4"/>
    <w:rsid w:val="008C7362"/>
    <w:rsid w:val="008D004F"/>
    <w:rsid w:val="008D09FA"/>
    <w:rsid w:val="008D22FF"/>
    <w:rsid w:val="008D64A5"/>
    <w:rsid w:val="008D75C9"/>
    <w:rsid w:val="008D79BE"/>
    <w:rsid w:val="008E0D60"/>
    <w:rsid w:val="008E16C8"/>
    <w:rsid w:val="008E2B7F"/>
    <w:rsid w:val="008E3C6E"/>
    <w:rsid w:val="008E3F66"/>
    <w:rsid w:val="008E4597"/>
    <w:rsid w:val="008E5D64"/>
    <w:rsid w:val="008F039E"/>
    <w:rsid w:val="008F1648"/>
    <w:rsid w:val="008F422F"/>
    <w:rsid w:val="008F6023"/>
    <w:rsid w:val="008F63FF"/>
    <w:rsid w:val="00900D3E"/>
    <w:rsid w:val="009022D5"/>
    <w:rsid w:val="0090305F"/>
    <w:rsid w:val="00903763"/>
    <w:rsid w:val="00903CD4"/>
    <w:rsid w:val="00904D22"/>
    <w:rsid w:val="00907DC9"/>
    <w:rsid w:val="00907E0A"/>
    <w:rsid w:val="00910597"/>
    <w:rsid w:val="00910ABB"/>
    <w:rsid w:val="00911749"/>
    <w:rsid w:val="00913C9E"/>
    <w:rsid w:val="00914383"/>
    <w:rsid w:val="00914D36"/>
    <w:rsid w:val="0091653D"/>
    <w:rsid w:val="00920896"/>
    <w:rsid w:val="0092221D"/>
    <w:rsid w:val="00923772"/>
    <w:rsid w:val="0092384B"/>
    <w:rsid w:val="00925406"/>
    <w:rsid w:val="00926DA8"/>
    <w:rsid w:val="00932339"/>
    <w:rsid w:val="009329AD"/>
    <w:rsid w:val="00933A8E"/>
    <w:rsid w:val="009351FC"/>
    <w:rsid w:val="00935220"/>
    <w:rsid w:val="0093735D"/>
    <w:rsid w:val="00940CE7"/>
    <w:rsid w:val="009417A8"/>
    <w:rsid w:val="009419AD"/>
    <w:rsid w:val="00942D11"/>
    <w:rsid w:val="00945435"/>
    <w:rsid w:val="00946934"/>
    <w:rsid w:val="00946D4D"/>
    <w:rsid w:val="00953A48"/>
    <w:rsid w:val="00953D9C"/>
    <w:rsid w:val="009553BE"/>
    <w:rsid w:val="00955650"/>
    <w:rsid w:val="00955F26"/>
    <w:rsid w:val="00960928"/>
    <w:rsid w:val="009662AB"/>
    <w:rsid w:val="00966516"/>
    <w:rsid w:val="00967EB5"/>
    <w:rsid w:val="0097075A"/>
    <w:rsid w:val="00970764"/>
    <w:rsid w:val="00970B5B"/>
    <w:rsid w:val="00970ED4"/>
    <w:rsid w:val="00973030"/>
    <w:rsid w:val="00977037"/>
    <w:rsid w:val="009773EE"/>
    <w:rsid w:val="0098200B"/>
    <w:rsid w:val="0098254B"/>
    <w:rsid w:val="00984213"/>
    <w:rsid w:val="00990ACF"/>
    <w:rsid w:val="00992142"/>
    <w:rsid w:val="00993B83"/>
    <w:rsid w:val="00995634"/>
    <w:rsid w:val="00996052"/>
    <w:rsid w:val="00997847"/>
    <w:rsid w:val="009A5B3B"/>
    <w:rsid w:val="009A605B"/>
    <w:rsid w:val="009A7C20"/>
    <w:rsid w:val="009B2BCF"/>
    <w:rsid w:val="009B3CD7"/>
    <w:rsid w:val="009B58EF"/>
    <w:rsid w:val="009C251D"/>
    <w:rsid w:val="009C2566"/>
    <w:rsid w:val="009C29E9"/>
    <w:rsid w:val="009C3AAB"/>
    <w:rsid w:val="009C421B"/>
    <w:rsid w:val="009C6059"/>
    <w:rsid w:val="009C709F"/>
    <w:rsid w:val="009C7DAB"/>
    <w:rsid w:val="009D038E"/>
    <w:rsid w:val="009D0644"/>
    <w:rsid w:val="009D1D0F"/>
    <w:rsid w:val="009D1DE2"/>
    <w:rsid w:val="009D2D19"/>
    <w:rsid w:val="009D3E48"/>
    <w:rsid w:val="009D4213"/>
    <w:rsid w:val="009D5024"/>
    <w:rsid w:val="009D67F5"/>
    <w:rsid w:val="009E047C"/>
    <w:rsid w:val="009E0679"/>
    <w:rsid w:val="009E0696"/>
    <w:rsid w:val="009E19BC"/>
    <w:rsid w:val="009E1AC1"/>
    <w:rsid w:val="009E210C"/>
    <w:rsid w:val="009E3833"/>
    <w:rsid w:val="009E49FE"/>
    <w:rsid w:val="009E5C3B"/>
    <w:rsid w:val="009E75EE"/>
    <w:rsid w:val="009E7F03"/>
    <w:rsid w:val="009F11F1"/>
    <w:rsid w:val="009F1347"/>
    <w:rsid w:val="009F463E"/>
    <w:rsid w:val="009F4896"/>
    <w:rsid w:val="009F5440"/>
    <w:rsid w:val="009F603D"/>
    <w:rsid w:val="009F64E1"/>
    <w:rsid w:val="00A01D16"/>
    <w:rsid w:val="00A036BB"/>
    <w:rsid w:val="00A0529C"/>
    <w:rsid w:val="00A05F82"/>
    <w:rsid w:val="00A11A17"/>
    <w:rsid w:val="00A13189"/>
    <w:rsid w:val="00A1331C"/>
    <w:rsid w:val="00A152D4"/>
    <w:rsid w:val="00A15AD6"/>
    <w:rsid w:val="00A15C9C"/>
    <w:rsid w:val="00A202D7"/>
    <w:rsid w:val="00A2388C"/>
    <w:rsid w:val="00A23AA3"/>
    <w:rsid w:val="00A24DCE"/>
    <w:rsid w:val="00A25757"/>
    <w:rsid w:val="00A259A6"/>
    <w:rsid w:val="00A27446"/>
    <w:rsid w:val="00A30F53"/>
    <w:rsid w:val="00A316F4"/>
    <w:rsid w:val="00A351AD"/>
    <w:rsid w:val="00A36214"/>
    <w:rsid w:val="00A37F19"/>
    <w:rsid w:val="00A40D59"/>
    <w:rsid w:val="00A45973"/>
    <w:rsid w:val="00A4612F"/>
    <w:rsid w:val="00A502AC"/>
    <w:rsid w:val="00A50325"/>
    <w:rsid w:val="00A52A9A"/>
    <w:rsid w:val="00A5363B"/>
    <w:rsid w:val="00A546E0"/>
    <w:rsid w:val="00A55A30"/>
    <w:rsid w:val="00A56B9C"/>
    <w:rsid w:val="00A5750A"/>
    <w:rsid w:val="00A60009"/>
    <w:rsid w:val="00A60839"/>
    <w:rsid w:val="00A613BC"/>
    <w:rsid w:val="00A63358"/>
    <w:rsid w:val="00A65408"/>
    <w:rsid w:val="00A6576C"/>
    <w:rsid w:val="00A65CF8"/>
    <w:rsid w:val="00A66E16"/>
    <w:rsid w:val="00A71A68"/>
    <w:rsid w:val="00A758F7"/>
    <w:rsid w:val="00A765F2"/>
    <w:rsid w:val="00A76753"/>
    <w:rsid w:val="00A77658"/>
    <w:rsid w:val="00A776A5"/>
    <w:rsid w:val="00A77AD8"/>
    <w:rsid w:val="00A8183D"/>
    <w:rsid w:val="00A82391"/>
    <w:rsid w:val="00A83A54"/>
    <w:rsid w:val="00A83C57"/>
    <w:rsid w:val="00A84F15"/>
    <w:rsid w:val="00A858B8"/>
    <w:rsid w:val="00A87EA8"/>
    <w:rsid w:val="00A905CB"/>
    <w:rsid w:val="00A90A62"/>
    <w:rsid w:val="00A90C5A"/>
    <w:rsid w:val="00A90D5B"/>
    <w:rsid w:val="00A923B8"/>
    <w:rsid w:val="00A927D7"/>
    <w:rsid w:val="00A94553"/>
    <w:rsid w:val="00A96D7B"/>
    <w:rsid w:val="00A97668"/>
    <w:rsid w:val="00AA045B"/>
    <w:rsid w:val="00AA1912"/>
    <w:rsid w:val="00AA1D17"/>
    <w:rsid w:val="00AA2991"/>
    <w:rsid w:val="00AA2AC1"/>
    <w:rsid w:val="00AA3B1E"/>
    <w:rsid w:val="00AA63C6"/>
    <w:rsid w:val="00AA7AE6"/>
    <w:rsid w:val="00AB15EA"/>
    <w:rsid w:val="00AB1AD8"/>
    <w:rsid w:val="00AB1DE2"/>
    <w:rsid w:val="00AB299C"/>
    <w:rsid w:val="00AB30D5"/>
    <w:rsid w:val="00AB4984"/>
    <w:rsid w:val="00AC2402"/>
    <w:rsid w:val="00AC3513"/>
    <w:rsid w:val="00AC36B2"/>
    <w:rsid w:val="00AC3D7E"/>
    <w:rsid w:val="00AC4FD3"/>
    <w:rsid w:val="00AC5790"/>
    <w:rsid w:val="00AD0929"/>
    <w:rsid w:val="00AD363A"/>
    <w:rsid w:val="00AD500C"/>
    <w:rsid w:val="00AD52EF"/>
    <w:rsid w:val="00AD6882"/>
    <w:rsid w:val="00AD6D11"/>
    <w:rsid w:val="00AD6F33"/>
    <w:rsid w:val="00AD7868"/>
    <w:rsid w:val="00AE3EEB"/>
    <w:rsid w:val="00AE64FC"/>
    <w:rsid w:val="00AE6525"/>
    <w:rsid w:val="00AE65D1"/>
    <w:rsid w:val="00AE7545"/>
    <w:rsid w:val="00AF0418"/>
    <w:rsid w:val="00AF0C8B"/>
    <w:rsid w:val="00AF2655"/>
    <w:rsid w:val="00AF3D72"/>
    <w:rsid w:val="00AF4B06"/>
    <w:rsid w:val="00AF60C3"/>
    <w:rsid w:val="00B00AB1"/>
    <w:rsid w:val="00B0300D"/>
    <w:rsid w:val="00B03C4D"/>
    <w:rsid w:val="00B042C2"/>
    <w:rsid w:val="00B05EEE"/>
    <w:rsid w:val="00B06DF9"/>
    <w:rsid w:val="00B104C7"/>
    <w:rsid w:val="00B1069D"/>
    <w:rsid w:val="00B10B75"/>
    <w:rsid w:val="00B13076"/>
    <w:rsid w:val="00B1358D"/>
    <w:rsid w:val="00B14B39"/>
    <w:rsid w:val="00B15772"/>
    <w:rsid w:val="00B15C49"/>
    <w:rsid w:val="00B22597"/>
    <w:rsid w:val="00B22DA3"/>
    <w:rsid w:val="00B23D8C"/>
    <w:rsid w:val="00B24F12"/>
    <w:rsid w:val="00B305C7"/>
    <w:rsid w:val="00B30920"/>
    <w:rsid w:val="00B31AE3"/>
    <w:rsid w:val="00B335D5"/>
    <w:rsid w:val="00B34486"/>
    <w:rsid w:val="00B350BE"/>
    <w:rsid w:val="00B3600F"/>
    <w:rsid w:val="00B3788B"/>
    <w:rsid w:val="00B37F6C"/>
    <w:rsid w:val="00B43241"/>
    <w:rsid w:val="00B43389"/>
    <w:rsid w:val="00B43395"/>
    <w:rsid w:val="00B44679"/>
    <w:rsid w:val="00B44810"/>
    <w:rsid w:val="00B44991"/>
    <w:rsid w:val="00B4713E"/>
    <w:rsid w:val="00B4715E"/>
    <w:rsid w:val="00B50A94"/>
    <w:rsid w:val="00B50B6C"/>
    <w:rsid w:val="00B519D0"/>
    <w:rsid w:val="00B529EE"/>
    <w:rsid w:val="00B52EC1"/>
    <w:rsid w:val="00B531DF"/>
    <w:rsid w:val="00B537EA"/>
    <w:rsid w:val="00B55ED2"/>
    <w:rsid w:val="00B5641A"/>
    <w:rsid w:val="00B57DDA"/>
    <w:rsid w:val="00B600AC"/>
    <w:rsid w:val="00B65111"/>
    <w:rsid w:val="00B65B56"/>
    <w:rsid w:val="00B66D56"/>
    <w:rsid w:val="00B671D4"/>
    <w:rsid w:val="00B67BE1"/>
    <w:rsid w:val="00B70B76"/>
    <w:rsid w:val="00B76C03"/>
    <w:rsid w:val="00B76FA0"/>
    <w:rsid w:val="00B77A80"/>
    <w:rsid w:val="00B77CFD"/>
    <w:rsid w:val="00B83359"/>
    <w:rsid w:val="00B84786"/>
    <w:rsid w:val="00B86E2D"/>
    <w:rsid w:val="00B900B7"/>
    <w:rsid w:val="00B9094F"/>
    <w:rsid w:val="00B90A50"/>
    <w:rsid w:val="00B931F8"/>
    <w:rsid w:val="00B940B4"/>
    <w:rsid w:val="00B95C9A"/>
    <w:rsid w:val="00B9690E"/>
    <w:rsid w:val="00B97B40"/>
    <w:rsid w:val="00BA26B5"/>
    <w:rsid w:val="00BA4C42"/>
    <w:rsid w:val="00BA5668"/>
    <w:rsid w:val="00BA70CF"/>
    <w:rsid w:val="00BA7674"/>
    <w:rsid w:val="00BB0DAC"/>
    <w:rsid w:val="00BB1FF3"/>
    <w:rsid w:val="00BB2B0A"/>
    <w:rsid w:val="00BB3682"/>
    <w:rsid w:val="00BB3EC2"/>
    <w:rsid w:val="00BB46D1"/>
    <w:rsid w:val="00BB5575"/>
    <w:rsid w:val="00BB6989"/>
    <w:rsid w:val="00BB7534"/>
    <w:rsid w:val="00BC274F"/>
    <w:rsid w:val="00BC4666"/>
    <w:rsid w:val="00BC6CEA"/>
    <w:rsid w:val="00BC6FF3"/>
    <w:rsid w:val="00BD1126"/>
    <w:rsid w:val="00BD2556"/>
    <w:rsid w:val="00BD4A34"/>
    <w:rsid w:val="00BD5199"/>
    <w:rsid w:val="00BD6CB8"/>
    <w:rsid w:val="00BD7AD2"/>
    <w:rsid w:val="00BD7E01"/>
    <w:rsid w:val="00BE134A"/>
    <w:rsid w:val="00BE1C8B"/>
    <w:rsid w:val="00BE34AB"/>
    <w:rsid w:val="00BE390D"/>
    <w:rsid w:val="00BE3967"/>
    <w:rsid w:val="00BE4761"/>
    <w:rsid w:val="00BE63C1"/>
    <w:rsid w:val="00BF022D"/>
    <w:rsid w:val="00BF0A88"/>
    <w:rsid w:val="00BF0C41"/>
    <w:rsid w:val="00BF1C9B"/>
    <w:rsid w:val="00BF2B46"/>
    <w:rsid w:val="00BF3B30"/>
    <w:rsid w:val="00BF5EAE"/>
    <w:rsid w:val="00BF606A"/>
    <w:rsid w:val="00BF6BDB"/>
    <w:rsid w:val="00BF6D47"/>
    <w:rsid w:val="00BF6EFB"/>
    <w:rsid w:val="00C0292D"/>
    <w:rsid w:val="00C02B4D"/>
    <w:rsid w:val="00C03A0A"/>
    <w:rsid w:val="00C05877"/>
    <w:rsid w:val="00C114A7"/>
    <w:rsid w:val="00C12A81"/>
    <w:rsid w:val="00C15B95"/>
    <w:rsid w:val="00C164D6"/>
    <w:rsid w:val="00C16B31"/>
    <w:rsid w:val="00C21562"/>
    <w:rsid w:val="00C21A13"/>
    <w:rsid w:val="00C24A17"/>
    <w:rsid w:val="00C2518C"/>
    <w:rsid w:val="00C2593A"/>
    <w:rsid w:val="00C25CB6"/>
    <w:rsid w:val="00C27472"/>
    <w:rsid w:val="00C30288"/>
    <w:rsid w:val="00C30EE7"/>
    <w:rsid w:val="00C3384E"/>
    <w:rsid w:val="00C342DE"/>
    <w:rsid w:val="00C3446C"/>
    <w:rsid w:val="00C37A62"/>
    <w:rsid w:val="00C41F90"/>
    <w:rsid w:val="00C4416D"/>
    <w:rsid w:val="00C445AC"/>
    <w:rsid w:val="00C44D98"/>
    <w:rsid w:val="00C450A0"/>
    <w:rsid w:val="00C45747"/>
    <w:rsid w:val="00C4759B"/>
    <w:rsid w:val="00C4789D"/>
    <w:rsid w:val="00C50A2F"/>
    <w:rsid w:val="00C5137F"/>
    <w:rsid w:val="00C546C5"/>
    <w:rsid w:val="00C55C84"/>
    <w:rsid w:val="00C60097"/>
    <w:rsid w:val="00C61511"/>
    <w:rsid w:val="00C6287F"/>
    <w:rsid w:val="00C62B42"/>
    <w:rsid w:val="00C62C3F"/>
    <w:rsid w:val="00C66417"/>
    <w:rsid w:val="00C670E0"/>
    <w:rsid w:val="00C673B1"/>
    <w:rsid w:val="00C67F41"/>
    <w:rsid w:val="00C70479"/>
    <w:rsid w:val="00C70509"/>
    <w:rsid w:val="00C720E1"/>
    <w:rsid w:val="00C72FB0"/>
    <w:rsid w:val="00C73224"/>
    <w:rsid w:val="00C73BD0"/>
    <w:rsid w:val="00C743FB"/>
    <w:rsid w:val="00C74525"/>
    <w:rsid w:val="00C82225"/>
    <w:rsid w:val="00C82D61"/>
    <w:rsid w:val="00C83109"/>
    <w:rsid w:val="00C86F95"/>
    <w:rsid w:val="00C9050A"/>
    <w:rsid w:val="00C93D80"/>
    <w:rsid w:val="00C9436A"/>
    <w:rsid w:val="00C94AEE"/>
    <w:rsid w:val="00CA0119"/>
    <w:rsid w:val="00CA5726"/>
    <w:rsid w:val="00CA5D07"/>
    <w:rsid w:val="00CA75FB"/>
    <w:rsid w:val="00CB06D8"/>
    <w:rsid w:val="00CB3074"/>
    <w:rsid w:val="00CB405E"/>
    <w:rsid w:val="00CB469A"/>
    <w:rsid w:val="00CB6039"/>
    <w:rsid w:val="00CC35EE"/>
    <w:rsid w:val="00CD1B37"/>
    <w:rsid w:val="00CD5B01"/>
    <w:rsid w:val="00CD78F9"/>
    <w:rsid w:val="00CE07B5"/>
    <w:rsid w:val="00CE139B"/>
    <w:rsid w:val="00CE1809"/>
    <w:rsid w:val="00CE2D09"/>
    <w:rsid w:val="00CE52F3"/>
    <w:rsid w:val="00CE6256"/>
    <w:rsid w:val="00CE710F"/>
    <w:rsid w:val="00CE73E1"/>
    <w:rsid w:val="00CE755C"/>
    <w:rsid w:val="00CF0074"/>
    <w:rsid w:val="00CF1118"/>
    <w:rsid w:val="00CF5CA3"/>
    <w:rsid w:val="00CF6C2A"/>
    <w:rsid w:val="00CF7CBB"/>
    <w:rsid w:val="00D00601"/>
    <w:rsid w:val="00D03725"/>
    <w:rsid w:val="00D045D3"/>
    <w:rsid w:val="00D0482D"/>
    <w:rsid w:val="00D0498A"/>
    <w:rsid w:val="00D06238"/>
    <w:rsid w:val="00D07475"/>
    <w:rsid w:val="00D10717"/>
    <w:rsid w:val="00D108B3"/>
    <w:rsid w:val="00D10D1F"/>
    <w:rsid w:val="00D175D9"/>
    <w:rsid w:val="00D20535"/>
    <w:rsid w:val="00D2056E"/>
    <w:rsid w:val="00D2456F"/>
    <w:rsid w:val="00D245FC"/>
    <w:rsid w:val="00D256E6"/>
    <w:rsid w:val="00D25B76"/>
    <w:rsid w:val="00D274DD"/>
    <w:rsid w:val="00D30687"/>
    <w:rsid w:val="00D317C0"/>
    <w:rsid w:val="00D31CFA"/>
    <w:rsid w:val="00D33273"/>
    <w:rsid w:val="00D33817"/>
    <w:rsid w:val="00D33B64"/>
    <w:rsid w:val="00D33C9A"/>
    <w:rsid w:val="00D3463A"/>
    <w:rsid w:val="00D35B5B"/>
    <w:rsid w:val="00D35D84"/>
    <w:rsid w:val="00D4122E"/>
    <w:rsid w:val="00D41459"/>
    <w:rsid w:val="00D416C6"/>
    <w:rsid w:val="00D42EBA"/>
    <w:rsid w:val="00D45AEF"/>
    <w:rsid w:val="00D47E70"/>
    <w:rsid w:val="00D501EC"/>
    <w:rsid w:val="00D50423"/>
    <w:rsid w:val="00D51F79"/>
    <w:rsid w:val="00D5221C"/>
    <w:rsid w:val="00D52484"/>
    <w:rsid w:val="00D549B6"/>
    <w:rsid w:val="00D552C0"/>
    <w:rsid w:val="00D55ABF"/>
    <w:rsid w:val="00D56E68"/>
    <w:rsid w:val="00D6061B"/>
    <w:rsid w:val="00D6378C"/>
    <w:rsid w:val="00D6428D"/>
    <w:rsid w:val="00D66182"/>
    <w:rsid w:val="00D70581"/>
    <w:rsid w:val="00D74DBA"/>
    <w:rsid w:val="00D755DE"/>
    <w:rsid w:val="00D75DB1"/>
    <w:rsid w:val="00D774FF"/>
    <w:rsid w:val="00D8125B"/>
    <w:rsid w:val="00D81A91"/>
    <w:rsid w:val="00D81DF0"/>
    <w:rsid w:val="00D83D88"/>
    <w:rsid w:val="00D860EE"/>
    <w:rsid w:val="00D873FA"/>
    <w:rsid w:val="00D924B2"/>
    <w:rsid w:val="00D9388E"/>
    <w:rsid w:val="00D93B41"/>
    <w:rsid w:val="00D952B1"/>
    <w:rsid w:val="00D95503"/>
    <w:rsid w:val="00D96480"/>
    <w:rsid w:val="00DA07F1"/>
    <w:rsid w:val="00DA1840"/>
    <w:rsid w:val="00DA2873"/>
    <w:rsid w:val="00DB14AE"/>
    <w:rsid w:val="00DB2391"/>
    <w:rsid w:val="00DB37CC"/>
    <w:rsid w:val="00DB4010"/>
    <w:rsid w:val="00DB45F2"/>
    <w:rsid w:val="00DB4BF6"/>
    <w:rsid w:val="00DC0AB3"/>
    <w:rsid w:val="00DC1999"/>
    <w:rsid w:val="00DC1E6C"/>
    <w:rsid w:val="00DC2909"/>
    <w:rsid w:val="00DC2E1C"/>
    <w:rsid w:val="00DC3111"/>
    <w:rsid w:val="00DC377F"/>
    <w:rsid w:val="00DC3FBA"/>
    <w:rsid w:val="00DC43DD"/>
    <w:rsid w:val="00DC4C90"/>
    <w:rsid w:val="00DC516D"/>
    <w:rsid w:val="00DD0CE3"/>
    <w:rsid w:val="00DD278D"/>
    <w:rsid w:val="00DD56C6"/>
    <w:rsid w:val="00DD687E"/>
    <w:rsid w:val="00DE245B"/>
    <w:rsid w:val="00DE4052"/>
    <w:rsid w:val="00DE57B2"/>
    <w:rsid w:val="00DE5A4B"/>
    <w:rsid w:val="00DE61EE"/>
    <w:rsid w:val="00DE74BC"/>
    <w:rsid w:val="00DF0528"/>
    <w:rsid w:val="00DF090A"/>
    <w:rsid w:val="00DF32BE"/>
    <w:rsid w:val="00DF56D0"/>
    <w:rsid w:val="00DF6037"/>
    <w:rsid w:val="00DF632F"/>
    <w:rsid w:val="00DF6778"/>
    <w:rsid w:val="00DF7A84"/>
    <w:rsid w:val="00E00093"/>
    <w:rsid w:val="00E00EA9"/>
    <w:rsid w:val="00E0114B"/>
    <w:rsid w:val="00E0207C"/>
    <w:rsid w:val="00E0303F"/>
    <w:rsid w:val="00E0345A"/>
    <w:rsid w:val="00E04C30"/>
    <w:rsid w:val="00E04DC2"/>
    <w:rsid w:val="00E04EAC"/>
    <w:rsid w:val="00E06B3D"/>
    <w:rsid w:val="00E07681"/>
    <w:rsid w:val="00E117E6"/>
    <w:rsid w:val="00E11C9A"/>
    <w:rsid w:val="00E1384F"/>
    <w:rsid w:val="00E162BE"/>
    <w:rsid w:val="00E17996"/>
    <w:rsid w:val="00E224F1"/>
    <w:rsid w:val="00E25754"/>
    <w:rsid w:val="00E30834"/>
    <w:rsid w:val="00E31264"/>
    <w:rsid w:val="00E322EB"/>
    <w:rsid w:val="00E33575"/>
    <w:rsid w:val="00E34962"/>
    <w:rsid w:val="00E35F3D"/>
    <w:rsid w:val="00E42903"/>
    <w:rsid w:val="00E467A6"/>
    <w:rsid w:val="00E46D53"/>
    <w:rsid w:val="00E46F0F"/>
    <w:rsid w:val="00E4713E"/>
    <w:rsid w:val="00E52900"/>
    <w:rsid w:val="00E53A16"/>
    <w:rsid w:val="00E63D06"/>
    <w:rsid w:val="00E644FF"/>
    <w:rsid w:val="00E6532E"/>
    <w:rsid w:val="00E67C6E"/>
    <w:rsid w:val="00E70329"/>
    <w:rsid w:val="00E70DCF"/>
    <w:rsid w:val="00E71355"/>
    <w:rsid w:val="00E71FAF"/>
    <w:rsid w:val="00E7240C"/>
    <w:rsid w:val="00E7383D"/>
    <w:rsid w:val="00E74C06"/>
    <w:rsid w:val="00E74CF0"/>
    <w:rsid w:val="00E75C6B"/>
    <w:rsid w:val="00E7621D"/>
    <w:rsid w:val="00E80FFA"/>
    <w:rsid w:val="00E827C1"/>
    <w:rsid w:val="00E83ECE"/>
    <w:rsid w:val="00E86802"/>
    <w:rsid w:val="00E91E08"/>
    <w:rsid w:val="00E91F41"/>
    <w:rsid w:val="00E9213B"/>
    <w:rsid w:val="00E9359C"/>
    <w:rsid w:val="00E95B51"/>
    <w:rsid w:val="00E9792D"/>
    <w:rsid w:val="00EA03D5"/>
    <w:rsid w:val="00EA0D72"/>
    <w:rsid w:val="00EA28A3"/>
    <w:rsid w:val="00EA2F04"/>
    <w:rsid w:val="00EA4096"/>
    <w:rsid w:val="00EA44E8"/>
    <w:rsid w:val="00EA4D36"/>
    <w:rsid w:val="00EA5C2E"/>
    <w:rsid w:val="00EA6CC5"/>
    <w:rsid w:val="00EA734F"/>
    <w:rsid w:val="00EB2F48"/>
    <w:rsid w:val="00EB36DF"/>
    <w:rsid w:val="00EB39D0"/>
    <w:rsid w:val="00EB41EE"/>
    <w:rsid w:val="00EB4500"/>
    <w:rsid w:val="00EB788C"/>
    <w:rsid w:val="00EC34C7"/>
    <w:rsid w:val="00EC5161"/>
    <w:rsid w:val="00ED004B"/>
    <w:rsid w:val="00ED012A"/>
    <w:rsid w:val="00ED1BE4"/>
    <w:rsid w:val="00ED4051"/>
    <w:rsid w:val="00ED4743"/>
    <w:rsid w:val="00ED4D69"/>
    <w:rsid w:val="00ED5D3A"/>
    <w:rsid w:val="00EE00B4"/>
    <w:rsid w:val="00EE2814"/>
    <w:rsid w:val="00EE3616"/>
    <w:rsid w:val="00EE393C"/>
    <w:rsid w:val="00EE4BD3"/>
    <w:rsid w:val="00EE59BA"/>
    <w:rsid w:val="00EE62AA"/>
    <w:rsid w:val="00EF1BF9"/>
    <w:rsid w:val="00EF29A0"/>
    <w:rsid w:val="00EF29E7"/>
    <w:rsid w:val="00EF2F71"/>
    <w:rsid w:val="00EF2F76"/>
    <w:rsid w:val="00EF3393"/>
    <w:rsid w:val="00EF7E53"/>
    <w:rsid w:val="00F004B2"/>
    <w:rsid w:val="00F00905"/>
    <w:rsid w:val="00F01172"/>
    <w:rsid w:val="00F01367"/>
    <w:rsid w:val="00F01BC4"/>
    <w:rsid w:val="00F0469E"/>
    <w:rsid w:val="00F060DC"/>
    <w:rsid w:val="00F0644E"/>
    <w:rsid w:val="00F11D64"/>
    <w:rsid w:val="00F14EE5"/>
    <w:rsid w:val="00F15218"/>
    <w:rsid w:val="00F15860"/>
    <w:rsid w:val="00F204B8"/>
    <w:rsid w:val="00F2658A"/>
    <w:rsid w:val="00F27779"/>
    <w:rsid w:val="00F30EE4"/>
    <w:rsid w:val="00F32EB7"/>
    <w:rsid w:val="00F35E0A"/>
    <w:rsid w:val="00F376BB"/>
    <w:rsid w:val="00F4031B"/>
    <w:rsid w:val="00F41371"/>
    <w:rsid w:val="00F41AC1"/>
    <w:rsid w:val="00F43D5E"/>
    <w:rsid w:val="00F43F5A"/>
    <w:rsid w:val="00F473D1"/>
    <w:rsid w:val="00F47664"/>
    <w:rsid w:val="00F50C99"/>
    <w:rsid w:val="00F52075"/>
    <w:rsid w:val="00F53B32"/>
    <w:rsid w:val="00F54A8D"/>
    <w:rsid w:val="00F6056F"/>
    <w:rsid w:val="00F610E9"/>
    <w:rsid w:val="00F6461C"/>
    <w:rsid w:val="00F64B41"/>
    <w:rsid w:val="00F656C4"/>
    <w:rsid w:val="00F67446"/>
    <w:rsid w:val="00F67A03"/>
    <w:rsid w:val="00F710B0"/>
    <w:rsid w:val="00F71AC3"/>
    <w:rsid w:val="00F74372"/>
    <w:rsid w:val="00F76C19"/>
    <w:rsid w:val="00F811F8"/>
    <w:rsid w:val="00F819F9"/>
    <w:rsid w:val="00F83341"/>
    <w:rsid w:val="00F83C04"/>
    <w:rsid w:val="00F90795"/>
    <w:rsid w:val="00F90953"/>
    <w:rsid w:val="00F95AA4"/>
    <w:rsid w:val="00F96B61"/>
    <w:rsid w:val="00F9721F"/>
    <w:rsid w:val="00F97B5D"/>
    <w:rsid w:val="00FA1784"/>
    <w:rsid w:val="00FA1E11"/>
    <w:rsid w:val="00FA2FE2"/>
    <w:rsid w:val="00FA3096"/>
    <w:rsid w:val="00FA48BB"/>
    <w:rsid w:val="00FA4EA7"/>
    <w:rsid w:val="00FA584E"/>
    <w:rsid w:val="00FA77ED"/>
    <w:rsid w:val="00FA7B71"/>
    <w:rsid w:val="00FA7BA2"/>
    <w:rsid w:val="00FA7F87"/>
    <w:rsid w:val="00FB0A49"/>
    <w:rsid w:val="00FB23FE"/>
    <w:rsid w:val="00FB26EF"/>
    <w:rsid w:val="00FB2D99"/>
    <w:rsid w:val="00FB5109"/>
    <w:rsid w:val="00FB65B6"/>
    <w:rsid w:val="00FB6A6B"/>
    <w:rsid w:val="00FB746C"/>
    <w:rsid w:val="00FC0228"/>
    <w:rsid w:val="00FC06DE"/>
    <w:rsid w:val="00FC2F62"/>
    <w:rsid w:val="00FC3B77"/>
    <w:rsid w:val="00FC421E"/>
    <w:rsid w:val="00FC421F"/>
    <w:rsid w:val="00FC507A"/>
    <w:rsid w:val="00FC5F47"/>
    <w:rsid w:val="00FC73F0"/>
    <w:rsid w:val="00FC7AB4"/>
    <w:rsid w:val="00FC7ADF"/>
    <w:rsid w:val="00FD3222"/>
    <w:rsid w:val="00FD4B66"/>
    <w:rsid w:val="00FD5D91"/>
    <w:rsid w:val="00FD7E25"/>
    <w:rsid w:val="00FE0EFC"/>
    <w:rsid w:val="00FE1BA6"/>
    <w:rsid w:val="00FE37D0"/>
    <w:rsid w:val="00FE395F"/>
    <w:rsid w:val="00FE46E5"/>
    <w:rsid w:val="00FE5194"/>
    <w:rsid w:val="00FF1A02"/>
    <w:rsid w:val="00FF1AB5"/>
    <w:rsid w:val="00FF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94A975"/>
  <w15:docId w15:val="{863DADFC-536B-41C6-8BD3-E67DD369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21"/>
    <w:rPr>
      <w:sz w:val="24"/>
      <w:szCs w:val="24"/>
    </w:rPr>
  </w:style>
  <w:style w:type="paragraph" w:styleId="Heading1">
    <w:name w:val="heading 1"/>
    <w:basedOn w:val="Normal"/>
    <w:next w:val="Normal"/>
    <w:link w:val="Heading1Char"/>
    <w:autoRedefine/>
    <w:qFormat/>
    <w:rsid w:val="00F2658A"/>
    <w:pPr>
      <w:keepNext/>
      <w:ind w:left="1440" w:hanging="144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A9A"/>
    <w:pPr>
      <w:tabs>
        <w:tab w:val="center" w:pos="4320"/>
        <w:tab w:val="right" w:pos="8640"/>
      </w:tabs>
    </w:pPr>
  </w:style>
  <w:style w:type="character" w:styleId="PageNumber">
    <w:name w:val="page number"/>
    <w:basedOn w:val="DefaultParagraphFont"/>
    <w:rsid w:val="00A52A9A"/>
  </w:style>
  <w:style w:type="paragraph" w:styleId="Caption">
    <w:name w:val="caption"/>
    <w:basedOn w:val="Normal"/>
    <w:next w:val="Normal"/>
    <w:qFormat/>
    <w:rsid w:val="004B1912"/>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rPr>
  </w:style>
  <w:style w:type="paragraph" w:styleId="Header">
    <w:name w:val="header"/>
    <w:basedOn w:val="Normal"/>
    <w:rsid w:val="00425D5F"/>
    <w:pPr>
      <w:tabs>
        <w:tab w:val="center" w:pos="4320"/>
        <w:tab w:val="right" w:pos="8640"/>
      </w:tabs>
    </w:pPr>
  </w:style>
  <w:style w:type="paragraph" w:styleId="FootnoteText">
    <w:name w:val="footnote text"/>
    <w:basedOn w:val="Normal"/>
    <w:link w:val="FootnoteTextChar"/>
    <w:rsid w:val="00AD0929"/>
    <w:rPr>
      <w:sz w:val="20"/>
      <w:szCs w:val="20"/>
    </w:rPr>
  </w:style>
  <w:style w:type="character" w:styleId="FootnoteReference">
    <w:name w:val="footnote reference"/>
    <w:rsid w:val="00AD0929"/>
    <w:rPr>
      <w:vertAlign w:val="superscript"/>
    </w:rPr>
  </w:style>
  <w:style w:type="paragraph" w:customStyle="1" w:styleId="texthead">
    <w:name w:val="texthead"/>
    <w:basedOn w:val="Normal"/>
    <w:rsid w:val="002D7DA4"/>
    <w:pPr>
      <w:spacing w:before="100" w:beforeAutospacing="1" w:after="100" w:afterAutospacing="1"/>
      <w:ind w:left="1412" w:right="612" w:hanging="800"/>
    </w:pPr>
    <w:rPr>
      <w:rFonts w:ascii="Arial" w:hAnsi="Arial" w:cs="Arial"/>
      <w:b/>
      <w:bCs/>
      <w:color w:val="003399"/>
      <w:sz w:val="22"/>
      <w:szCs w:val="22"/>
    </w:rPr>
  </w:style>
  <w:style w:type="character" w:customStyle="1" w:styleId="FooterChar">
    <w:name w:val="Footer Char"/>
    <w:link w:val="Footer"/>
    <w:uiPriority w:val="99"/>
    <w:rsid w:val="00A923B8"/>
    <w:rPr>
      <w:sz w:val="24"/>
      <w:szCs w:val="24"/>
    </w:rPr>
  </w:style>
  <w:style w:type="character" w:customStyle="1" w:styleId="Heading1Char">
    <w:name w:val="Heading 1 Char"/>
    <w:link w:val="Heading1"/>
    <w:rsid w:val="00F2658A"/>
    <w:rPr>
      <w:b/>
      <w:sz w:val="24"/>
      <w:szCs w:val="24"/>
      <w:u w:val="single"/>
    </w:rPr>
  </w:style>
  <w:style w:type="paragraph" w:styleId="BodyTextIndent">
    <w:name w:val="Body Text Indent"/>
    <w:basedOn w:val="Normal"/>
    <w:link w:val="BodyTextIndentChar"/>
    <w:rsid w:val="00B05EEE"/>
    <w:pPr>
      <w:suppressAutoHyphens/>
      <w:ind w:firstLine="720"/>
    </w:pPr>
    <w:rPr>
      <w:rFonts w:ascii="CG Times" w:hAnsi="CG Times"/>
      <w:spacing w:val="-2"/>
    </w:rPr>
  </w:style>
  <w:style w:type="character" w:customStyle="1" w:styleId="BodyTextIndentChar">
    <w:name w:val="Body Text Indent Char"/>
    <w:link w:val="BodyTextIndent"/>
    <w:rsid w:val="00B05EEE"/>
    <w:rPr>
      <w:rFonts w:ascii="CG Times" w:hAnsi="CG Times"/>
      <w:spacing w:val="-2"/>
      <w:sz w:val="24"/>
      <w:szCs w:val="24"/>
    </w:rPr>
  </w:style>
  <w:style w:type="table" w:styleId="TableGrid">
    <w:name w:val="Table Grid"/>
    <w:basedOn w:val="TableNormal"/>
    <w:rsid w:val="006A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1E6E52"/>
  </w:style>
  <w:style w:type="paragraph" w:styleId="BodyText">
    <w:name w:val="Body Text"/>
    <w:basedOn w:val="Normal"/>
    <w:link w:val="BodyTextChar"/>
    <w:rsid w:val="000C702A"/>
    <w:pPr>
      <w:spacing w:after="120"/>
    </w:pPr>
  </w:style>
  <w:style w:type="character" w:customStyle="1" w:styleId="BodyTextChar">
    <w:name w:val="Body Text Char"/>
    <w:basedOn w:val="DefaultParagraphFont"/>
    <w:link w:val="BodyText"/>
    <w:rsid w:val="000C702A"/>
    <w:rPr>
      <w:sz w:val="24"/>
      <w:szCs w:val="24"/>
    </w:rPr>
  </w:style>
  <w:style w:type="paragraph" w:styleId="ListParagraph">
    <w:name w:val="List Paragraph"/>
    <w:basedOn w:val="Normal"/>
    <w:uiPriority w:val="34"/>
    <w:qFormat/>
    <w:rsid w:val="004E1F9D"/>
    <w:pPr>
      <w:ind w:left="720"/>
      <w:contextualSpacing/>
    </w:pPr>
  </w:style>
  <w:style w:type="paragraph" w:styleId="BlockText">
    <w:name w:val="Block Text"/>
    <w:basedOn w:val="Normal"/>
    <w:rsid w:val="00C25CB6"/>
    <w:pPr>
      <w:ind w:left="1440" w:right="1440"/>
      <w:jc w:val="center"/>
    </w:pPr>
    <w:rPr>
      <w:b/>
    </w:rPr>
  </w:style>
  <w:style w:type="paragraph" w:styleId="BodyText3">
    <w:name w:val="Body Text 3"/>
    <w:basedOn w:val="Normal"/>
    <w:link w:val="BodyText3Char"/>
    <w:rsid w:val="00C25CB6"/>
    <w:pPr>
      <w:spacing w:after="120"/>
    </w:pPr>
    <w:rPr>
      <w:sz w:val="16"/>
      <w:szCs w:val="16"/>
    </w:rPr>
  </w:style>
  <w:style w:type="character" w:customStyle="1" w:styleId="BodyText3Char">
    <w:name w:val="Body Text 3 Char"/>
    <w:basedOn w:val="DefaultParagraphFont"/>
    <w:link w:val="BodyText3"/>
    <w:rsid w:val="00C25CB6"/>
    <w:rPr>
      <w:sz w:val="16"/>
      <w:szCs w:val="16"/>
    </w:rPr>
  </w:style>
  <w:style w:type="paragraph" w:customStyle="1" w:styleId="Default">
    <w:name w:val="Default"/>
    <w:rsid w:val="00C25CB6"/>
    <w:pPr>
      <w:autoSpaceDE w:val="0"/>
      <w:autoSpaceDN w:val="0"/>
      <w:adjustRightInd w:val="0"/>
    </w:pPr>
    <w:rPr>
      <w:rFonts w:ascii="Arial" w:hAnsi="Arial" w:cs="Arial"/>
      <w:color w:val="000000"/>
      <w:sz w:val="24"/>
      <w:szCs w:val="24"/>
    </w:rPr>
  </w:style>
  <w:style w:type="character" w:styleId="Hyperlink">
    <w:name w:val="Hyperlink"/>
    <w:basedOn w:val="DefaultParagraphFont"/>
    <w:rsid w:val="00C25CB6"/>
    <w:rPr>
      <w:color w:val="0000FF" w:themeColor="hyperlink"/>
      <w:u w:val="single"/>
    </w:rPr>
  </w:style>
  <w:style w:type="paragraph" w:styleId="BalloonText">
    <w:name w:val="Balloon Text"/>
    <w:basedOn w:val="Normal"/>
    <w:link w:val="BalloonTextChar"/>
    <w:semiHidden/>
    <w:unhideWhenUsed/>
    <w:rsid w:val="001E689D"/>
    <w:rPr>
      <w:rFonts w:ascii="Segoe UI" w:hAnsi="Segoe UI" w:cs="Segoe UI"/>
      <w:sz w:val="18"/>
      <w:szCs w:val="18"/>
    </w:rPr>
  </w:style>
  <w:style w:type="character" w:customStyle="1" w:styleId="BalloonTextChar">
    <w:name w:val="Balloon Text Char"/>
    <w:basedOn w:val="DefaultParagraphFont"/>
    <w:link w:val="BalloonText"/>
    <w:semiHidden/>
    <w:rsid w:val="001E689D"/>
    <w:rPr>
      <w:rFonts w:ascii="Segoe UI" w:hAnsi="Segoe UI" w:cs="Segoe UI"/>
      <w:sz w:val="18"/>
      <w:szCs w:val="18"/>
    </w:rPr>
  </w:style>
  <w:style w:type="character" w:styleId="CommentReference">
    <w:name w:val="annotation reference"/>
    <w:basedOn w:val="DefaultParagraphFont"/>
    <w:semiHidden/>
    <w:unhideWhenUsed/>
    <w:rsid w:val="00C05877"/>
    <w:rPr>
      <w:sz w:val="16"/>
      <w:szCs w:val="16"/>
    </w:rPr>
  </w:style>
  <w:style w:type="paragraph" w:styleId="CommentText">
    <w:name w:val="annotation text"/>
    <w:basedOn w:val="Normal"/>
    <w:link w:val="CommentTextChar"/>
    <w:semiHidden/>
    <w:unhideWhenUsed/>
    <w:rsid w:val="00C05877"/>
    <w:rPr>
      <w:sz w:val="20"/>
      <w:szCs w:val="20"/>
    </w:rPr>
  </w:style>
  <w:style w:type="character" w:customStyle="1" w:styleId="CommentTextChar">
    <w:name w:val="Comment Text Char"/>
    <w:basedOn w:val="DefaultParagraphFont"/>
    <w:link w:val="CommentText"/>
    <w:semiHidden/>
    <w:rsid w:val="00C05877"/>
  </w:style>
  <w:style w:type="paragraph" w:styleId="CommentSubject">
    <w:name w:val="annotation subject"/>
    <w:basedOn w:val="CommentText"/>
    <w:next w:val="CommentText"/>
    <w:link w:val="CommentSubjectChar"/>
    <w:semiHidden/>
    <w:unhideWhenUsed/>
    <w:rsid w:val="00C05877"/>
    <w:rPr>
      <w:b/>
      <w:bCs/>
    </w:rPr>
  </w:style>
  <w:style w:type="character" w:customStyle="1" w:styleId="CommentSubjectChar">
    <w:name w:val="Comment Subject Char"/>
    <w:basedOn w:val="CommentTextChar"/>
    <w:link w:val="CommentSubject"/>
    <w:semiHidden/>
    <w:rsid w:val="00C05877"/>
    <w:rPr>
      <w:b/>
      <w:bCs/>
    </w:rPr>
  </w:style>
  <w:style w:type="character" w:styleId="Strong">
    <w:name w:val="Strong"/>
    <w:basedOn w:val="DefaultParagraphFont"/>
    <w:uiPriority w:val="22"/>
    <w:qFormat/>
    <w:rsid w:val="00214812"/>
    <w:rPr>
      <w:b/>
      <w:bCs/>
    </w:rPr>
  </w:style>
  <w:style w:type="character" w:styleId="Emphasis">
    <w:name w:val="Emphasis"/>
    <w:basedOn w:val="DefaultParagraphFont"/>
    <w:uiPriority w:val="20"/>
    <w:qFormat/>
    <w:rsid w:val="001F4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3805">
      <w:bodyDiv w:val="1"/>
      <w:marLeft w:val="0"/>
      <w:marRight w:val="0"/>
      <w:marTop w:val="0"/>
      <w:marBottom w:val="0"/>
      <w:divBdr>
        <w:top w:val="none" w:sz="0" w:space="0" w:color="auto"/>
        <w:left w:val="none" w:sz="0" w:space="0" w:color="auto"/>
        <w:bottom w:val="none" w:sz="0" w:space="0" w:color="auto"/>
        <w:right w:val="none" w:sz="0" w:space="0" w:color="auto"/>
      </w:divBdr>
    </w:div>
    <w:div w:id="297300797">
      <w:bodyDiv w:val="1"/>
      <w:marLeft w:val="0"/>
      <w:marRight w:val="0"/>
      <w:marTop w:val="0"/>
      <w:marBottom w:val="0"/>
      <w:divBdr>
        <w:top w:val="none" w:sz="0" w:space="0" w:color="auto"/>
        <w:left w:val="none" w:sz="0" w:space="0" w:color="auto"/>
        <w:bottom w:val="none" w:sz="0" w:space="0" w:color="auto"/>
        <w:right w:val="none" w:sz="0" w:space="0" w:color="auto"/>
      </w:divBdr>
    </w:div>
    <w:div w:id="197016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32F8-6ED1-469C-A974-09B3F90E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BEFORE THE BOARD OF SUPERVISORS</vt:lpstr>
    </vt:vector>
  </TitlesOfParts>
  <Company>Napa County</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SUPERVISORS</dc:title>
  <dc:creator>landers1</dc:creator>
  <cp:lastModifiedBy>Morgan, Greg</cp:lastModifiedBy>
  <cp:revision>3</cp:revision>
  <cp:lastPrinted>2021-01-26T19:44:00Z</cp:lastPrinted>
  <dcterms:created xsi:type="dcterms:W3CDTF">2021-01-26T19:36:00Z</dcterms:created>
  <dcterms:modified xsi:type="dcterms:W3CDTF">2021-01-26T19:45:00Z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