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DD2D5" w14:textId="77777777" w:rsidR="0073092E" w:rsidRDefault="0073092E" w:rsidP="0073092E">
      <w:pPr>
        <w:spacing w:after="0" w:line="240" w:lineRule="auto"/>
      </w:pPr>
    </w:p>
    <w:p w14:paraId="15CE0974" w14:textId="77777777" w:rsidR="004C578C" w:rsidRDefault="004C578C" w:rsidP="0073092E">
      <w:pPr>
        <w:spacing w:after="0" w:line="240" w:lineRule="auto"/>
      </w:pPr>
    </w:p>
    <w:p w14:paraId="1C4D52FA" w14:textId="77777777" w:rsidR="004C578C" w:rsidRDefault="004C578C" w:rsidP="0073092E">
      <w:pPr>
        <w:spacing w:after="0" w:line="240" w:lineRule="auto"/>
      </w:pPr>
    </w:p>
    <w:p w14:paraId="5D74FE43" w14:textId="77777777" w:rsidR="004C578C" w:rsidRDefault="004C578C" w:rsidP="0073092E">
      <w:pPr>
        <w:spacing w:after="0" w:line="240" w:lineRule="auto"/>
      </w:pPr>
    </w:p>
    <w:p w14:paraId="6C4B2814" w14:textId="77777777" w:rsidR="0073092E" w:rsidRDefault="00937F7E" w:rsidP="0073092E">
      <w:pPr>
        <w:spacing w:after="0" w:line="240" w:lineRule="auto"/>
      </w:pPr>
      <w:r>
        <w:rPr>
          <w:rFonts w:ascii="Times New Roman" w:hAnsi="Times New Roman"/>
          <w:noProof/>
          <w:sz w:val="24"/>
          <w:szCs w:val="24"/>
        </w:rPr>
        <w:drawing>
          <wp:anchor distT="0" distB="0" distL="114300" distR="114300" simplePos="0" relativeHeight="251659264" behindDoc="0" locked="0" layoutInCell="1" allowOverlap="1" wp14:anchorId="452CF81F" wp14:editId="69378C16">
            <wp:simplePos x="0" y="0"/>
            <wp:positionH relativeFrom="column">
              <wp:posOffset>2337435</wp:posOffset>
            </wp:positionH>
            <wp:positionV relativeFrom="paragraph">
              <wp:posOffset>111125</wp:posOffset>
            </wp:positionV>
            <wp:extent cx="1428750" cy="1885950"/>
            <wp:effectExtent l="0" t="0" r="0" b="0"/>
            <wp:wrapSquare wrapText="right"/>
            <wp:docPr id="1" name="Picture 1" descr="http://portal/sites/IdentityGuidelines/images/SealSimp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sites/IdentityGuidelines/images/SealSimplified.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pic:spPr>
                </pic:pic>
              </a:graphicData>
            </a:graphic>
            <wp14:sizeRelH relativeFrom="page">
              <wp14:pctWidth>0</wp14:pctWidth>
            </wp14:sizeRelH>
            <wp14:sizeRelV relativeFrom="page">
              <wp14:pctHeight>0</wp14:pctHeight>
            </wp14:sizeRelV>
          </wp:anchor>
        </w:drawing>
      </w:r>
    </w:p>
    <w:p w14:paraId="1A4D7C02" w14:textId="77777777" w:rsidR="0073092E" w:rsidRDefault="0073092E" w:rsidP="0073092E">
      <w:pPr>
        <w:spacing w:after="0" w:line="240" w:lineRule="auto"/>
      </w:pPr>
    </w:p>
    <w:p w14:paraId="299B0C34" w14:textId="77777777" w:rsidR="004C578C" w:rsidRDefault="004C578C"/>
    <w:p w14:paraId="3C2FF890" w14:textId="77777777" w:rsidR="004C578C" w:rsidRDefault="004C578C"/>
    <w:p w14:paraId="175F85B4" w14:textId="77777777" w:rsidR="004C578C" w:rsidRDefault="004C578C" w:rsidP="004C578C">
      <w:pPr>
        <w:spacing w:after="0" w:line="240" w:lineRule="auto"/>
      </w:pPr>
    </w:p>
    <w:p w14:paraId="4699189E" w14:textId="77777777" w:rsidR="004C578C" w:rsidRDefault="004C578C" w:rsidP="004C578C">
      <w:pPr>
        <w:spacing w:after="0" w:line="240" w:lineRule="auto"/>
      </w:pPr>
    </w:p>
    <w:p w14:paraId="7A523126" w14:textId="77777777" w:rsidR="004C578C" w:rsidRDefault="004C578C" w:rsidP="004C578C">
      <w:pPr>
        <w:spacing w:after="0" w:line="240" w:lineRule="auto"/>
      </w:pPr>
    </w:p>
    <w:p w14:paraId="3E347125" w14:textId="77777777" w:rsidR="004C578C" w:rsidRDefault="004C578C" w:rsidP="004C578C">
      <w:pPr>
        <w:spacing w:after="0" w:line="240" w:lineRule="auto"/>
      </w:pPr>
    </w:p>
    <w:p w14:paraId="7CE57978" w14:textId="77777777" w:rsidR="004C578C" w:rsidRDefault="004C578C" w:rsidP="004C578C">
      <w:pPr>
        <w:spacing w:after="0" w:line="240" w:lineRule="auto"/>
      </w:pPr>
    </w:p>
    <w:p w14:paraId="0A71F96B" w14:textId="77777777" w:rsidR="004C578C" w:rsidRDefault="004C578C" w:rsidP="004C578C">
      <w:pPr>
        <w:spacing w:after="0" w:line="240" w:lineRule="auto"/>
      </w:pPr>
    </w:p>
    <w:p w14:paraId="517A250F" w14:textId="77777777" w:rsidR="004C578C" w:rsidRDefault="004C578C" w:rsidP="004C578C">
      <w:pPr>
        <w:spacing w:after="0" w:line="240" w:lineRule="auto"/>
      </w:pPr>
    </w:p>
    <w:p w14:paraId="55EC8A36" w14:textId="77777777" w:rsidR="004C578C" w:rsidRDefault="004C578C" w:rsidP="004C578C">
      <w:pPr>
        <w:spacing w:after="0" w:line="240" w:lineRule="auto"/>
      </w:pPr>
    </w:p>
    <w:p w14:paraId="6E7F2AAE" w14:textId="77777777" w:rsidR="004C578C" w:rsidRPr="004C578C" w:rsidRDefault="004C578C" w:rsidP="004C578C">
      <w:pPr>
        <w:spacing w:after="0" w:line="240" w:lineRule="auto"/>
        <w:jc w:val="center"/>
        <w:rPr>
          <w:b/>
          <w:sz w:val="44"/>
          <w:szCs w:val="44"/>
        </w:rPr>
      </w:pPr>
      <w:r w:rsidRPr="004C578C">
        <w:rPr>
          <w:b/>
          <w:sz w:val="44"/>
          <w:szCs w:val="44"/>
        </w:rPr>
        <w:t>Napa County</w:t>
      </w:r>
      <w:r>
        <w:rPr>
          <w:b/>
          <w:sz w:val="44"/>
          <w:szCs w:val="44"/>
        </w:rPr>
        <w:t xml:space="preserve"> </w:t>
      </w:r>
      <w:r w:rsidR="0081066A">
        <w:rPr>
          <w:b/>
          <w:sz w:val="44"/>
          <w:szCs w:val="44"/>
        </w:rPr>
        <w:t>2024</w:t>
      </w:r>
    </w:p>
    <w:p w14:paraId="1F955916" w14:textId="77777777" w:rsidR="004C578C" w:rsidRPr="004C578C" w:rsidRDefault="004C578C" w:rsidP="004C578C">
      <w:pPr>
        <w:spacing w:after="0" w:line="240" w:lineRule="auto"/>
        <w:jc w:val="center"/>
        <w:rPr>
          <w:b/>
          <w:sz w:val="44"/>
          <w:szCs w:val="44"/>
        </w:rPr>
      </w:pPr>
      <w:r w:rsidRPr="004C578C">
        <w:rPr>
          <w:b/>
          <w:sz w:val="44"/>
          <w:szCs w:val="44"/>
        </w:rPr>
        <w:t>Strategic Financial Plan</w:t>
      </w:r>
    </w:p>
    <w:p w14:paraId="3F876ED8" w14:textId="77777777" w:rsidR="004C578C" w:rsidRDefault="004C578C" w:rsidP="004C578C">
      <w:pPr>
        <w:spacing w:after="0" w:line="240" w:lineRule="auto"/>
      </w:pPr>
    </w:p>
    <w:p w14:paraId="49B423BE" w14:textId="77777777" w:rsidR="004C578C" w:rsidRDefault="004C578C" w:rsidP="004C578C">
      <w:pPr>
        <w:spacing w:after="0" w:line="240" w:lineRule="auto"/>
      </w:pPr>
    </w:p>
    <w:p w14:paraId="1ECC109C" w14:textId="77777777" w:rsidR="004C578C" w:rsidRDefault="004C578C" w:rsidP="004C578C">
      <w:pPr>
        <w:spacing w:after="0" w:line="240" w:lineRule="auto"/>
      </w:pPr>
    </w:p>
    <w:p w14:paraId="15A5E952" w14:textId="77777777" w:rsidR="004C578C" w:rsidRDefault="004C578C" w:rsidP="004C578C">
      <w:pPr>
        <w:spacing w:after="0" w:line="240" w:lineRule="auto"/>
      </w:pPr>
    </w:p>
    <w:p w14:paraId="18F4AE8E" w14:textId="77777777" w:rsidR="004C578C" w:rsidRDefault="004C578C" w:rsidP="004C578C">
      <w:pPr>
        <w:spacing w:after="0" w:line="240" w:lineRule="auto"/>
      </w:pPr>
    </w:p>
    <w:p w14:paraId="7DD94729" w14:textId="77777777" w:rsidR="004C578C" w:rsidRDefault="004C578C" w:rsidP="004C578C">
      <w:pPr>
        <w:spacing w:after="0" w:line="240" w:lineRule="auto"/>
        <w:jc w:val="center"/>
      </w:pPr>
      <w:r>
        <w:t>Recommended by the</w:t>
      </w:r>
    </w:p>
    <w:p w14:paraId="138BFE56" w14:textId="77777777" w:rsidR="004C578C" w:rsidRDefault="004C578C" w:rsidP="004C578C">
      <w:pPr>
        <w:spacing w:after="0" w:line="240" w:lineRule="auto"/>
        <w:jc w:val="center"/>
      </w:pPr>
      <w:r>
        <w:t>COUNTY EXECUTIVE OFFICE</w:t>
      </w:r>
    </w:p>
    <w:p w14:paraId="7CA8E841" w14:textId="77777777" w:rsidR="004C578C" w:rsidRDefault="004C578C" w:rsidP="004C578C">
      <w:pPr>
        <w:spacing w:after="0" w:line="240" w:lineRule="auto"/>
        <w:jc w:val="center"/>
      </w:pPr>
    </w:p>
    <w:p w14:paraId="76E2FC99" w14:textId="77777777" w:rsidR="004C578C" w:rsidRDefault="004C578C" w:rsidP="004C578C">
      <w:pPr>
        <w:spacing w:after="0" w:line="240" w:lineRule="auto"/>
        <w:jc w:val="center"/>
      </w:pPr>
    </w:p>
    <w:p w14:paraId="7D016480" w14:textId="77777777" w:rsidR="004C578C" w:rsidRDefault="004C578C" w:rsidP="004C578C">
      <w:pPr>
        <w:spacing w:after="0" w:line="240" w:lineRule="auto"/>
        <w:jc w:val="center"/>
      </w:pPr>
    </w:p>
    <w:p w14:paraId="39798A7F" w14:textId="36EC854C" w:rsidR="004C578C" w:rsidRDefault="00306184" w:rsidP="004C578C">
      <w:pPr>
        <w:spacing w:after="0" w:line="240" w:lineRule="auto"/>
        <w:jc w:val="center"/>
      </w:pPr>
      <w:r>
        <w:t xml:space="preserve">May </w:t>
      </w:r>
      <w:r w:rsidR="003B341F">
        <w:t>21</w:t>
      </w:r>
      <w:r w:rsidR="00A83710">
        <w:t xml:space="preserve">, </w:t>
      </w:r>
      <w:r w:rsidR="0081066A">
        <w:t>2019</w:t>
      </w:r>
    </w:p>
    <w:p w14:paraId="06C2F7B1" w14:textId="77777777" w:rsidR="0073092E" w:rsidRDefault="0073092E">
      <w:r>
        <w:br w:type="page"/>
      </w:r>
    </w:p>
    <w:p w14:paraId="00A4F4B5" w14:textId="77777777" w:rsidR="00F4339F" w:rsidRPr="005137FA" w:rsidRDefault="00F4339F" w:rsidP="004C578C">
      <w:pPr>
        <w:pStyle w:val="ListParagraph"/>
        <w:numPr>
          <w:ilvl w:val="0"/>
          <w:numId w:val="1"/>
        </w:numPr>
        <w:pBdr>
          <w:bottom w:val="thinThickSmallGap" w:sz="24" w:space="1" w:color="5F497A" w:themeColor="accent4" w:themeShade="BF"/>
        </w:pBdr>
        <w:spacing w:after="0" w:line="240" w:lineRule="auto"/>
        <w:rPr>
          <w:sz w:val="28"/>
          <w:szCs w:val="28"/>
        </w:rPr>
      </w:pPr>
      <w:r w:rsidRPr="005137FA">
        <w:rPr>
          <w:sz w:val="28"/>
          <w:szCs w:val="28"/>
        </w:rPr>
        <w:lastRenderedPageBreak/>
        <w:t>Introduction and Background</w:t>
      </w:r>
    </w:p>
    <w:p w14:paraId="534C6818" w14:textId="77777777" w:rsidR="009604DF" w:rsidRDefault="009604DF" w:rsidP="0073092E">
      <w:pPr>
        <w:spacing w:after="0" w:line="240" w:lineRule="auto"/>
      </w:pPr>
    </w:p>
    <w:p w14:paraId="495A36BF" w14:textId="5994B84D" w:rsidR="00202919" w:rsidRDefault="008F62F1" w:rsidP="003E3B3A">
      <w:r>
        <w:t xml:space="preserve">Napa County has a strong history of fiscal prudence, which </w:t>
      </w:r>
      <w:r w:rsidR="00D0235E">
        <w:t>allows for</w:t>
      </w:r>
      <w:r>
        <w:t xml:space="preserve"> stability </w:t>
      </w:r>
      <w:r w:rsidR="00D0235E">
        <w:t xml:space="preserve">in </w:t>
      </w:r>
      <w:r>
        <w:t xml:space="preserve">the services we provide to our residents and visitors.  </w:t>
      </w:r>
      <w:r w:rsidR="00DF6046">
        <w:t>For many years, the primary source of fiscal policy for Napa County was the “Budget Policies</w:t>
      </w:r>
      <w:r w:rsidR="0098650A">
        <w:t>,</w:t>
      </w:r>
      <w:r w:rsidR="00DF6046">
        <w:t xml:space="preserve">” adopted annually by the Board of Supervisors.  These policies provided direction to County staff in preparing the upcoming fiscal year budget and included policies that remained fairly </w:t>
      </w:r>
      <w:r w:rsidR="0098650A">
        <w:t>consistent from year to year.  In 2008, in response to the economic downturn (</w:t>
      </w:r>
      <w:r w:rsidR="006770BB">
        <w:t xml:space="preserve">the </w:t>
      </w:r>
      <w:r w:rsidR="0098650A">
        <w:t xml:space="preserve">“Great Recession”) the Board approved a “Fiscal Contingency Plan – FY 2008-09 through FY 2012-13” to guide the County’s response to the risk to the County’s financial condition.  The Fiscal Contingency Plan articulates a general philosophy and guiding principles </w:t>
      </w:r>
      <w:r w:rsidR="00D73F5A">
        <w:t xml:space="preserve">and prioritizes steps to be taken to reduce expenditures during times of economic stress.  In 2011, the Board approved a Fund Balance policy that, among other things, confirmed provisions in the Fiscal Contingency Plan that set goals for </w:t>
      </w:r>
      <w:r w:rsidR="00A83710">
        <w:t xml:space="preserve">the </w:t>
      </w:r>
      <w:r w:rsidR="00D73F5A">
        <w:t xml:space="preserve">General Fund </w:t>
      </w:r>
      <w:r w:rsidR="00A83710">
        <w:t>R</w:t>
      </w:r>
      <w:r w:rsidR="00D73F5A">
        <w:t>eserve and</w:t>
      </w:r>
      <w:r w:rsidR="00A83710">
        <w:t xml:space="preserve"> the </w:t>
      </w:r>
      <w:r w:rsidR="00B31144">
        <w:t>Assignment</w:t>
      </w:r>
      <w:r w:rsidR="00A83710">
        <w:t xml:space="preserve"> for</w:t>
      </w:r>
      <w:r w:rsidR="00D73F5A">
        <w:t xml:space="preserve"> Fiscal Uncertaint</w:t>
      </w:r>
      <w:r w:rsidR="00A83710">
        <w:t>y</w:t>
      </w:r>
      <w:r w:rsidR="00D73F5A">
        <w:t xml:space="preserve"> and specified priorities for use of any remaining available fund balance.  </w:t>
      </w:r>
      <w:r w:rsidR="00B565B6">
        <w:t xml:space="preserve">On </w:t>
      </w:r>
      <w:r w:rsidR="00D0235E">
        <w:t>April 4, 2006</w:t>
      </w:r>
      <w:r w:rsidR="00B565B6">
        <w:t>, the Board first approved a fiv</w:t>
      </w:r>
      <w:r w:rsidR="00A83710">
        <w:t xml:space="preserve">e-year Strategic Financial Plan </w:t>
      </w:r>
      <w:r w:rsidR="00B565B6">
        <w:t xml:space="preserve">to articulate the overarching fiscal policies of the Board.  This plan </w:t>
      </w:r>
      <w:r w:rsidR="00D0235E">
        <w:t>is regularly updated as part of the budget process</w:t>
      </w:r>
      <w:r w:rsidR="00B565B6">
        <w:t>.</w:t>
      </w:r>
      <w:r w:rsidR="006770BB">
        <w:t xml:space="preserve">  </w:t>
      </w:r>
    </w:p>
    <w:p w14:paraId="24F32B02" w14:textId="1F9A88DC" w:rsidR="00A922E4" w:rsidRDefault="00D73F5A" w:rsidP="003E3B3A">
      <w:r>
        <w:t xml:space="preserve">With the Great Recession behind us, the </w:t>
      </w:r>
      <w:r w:rsidR="005C11FF">
        <w:t xml:space="preserve">State </w:t>
      </w:r>
      <w:r>
        <w:t xml:space="preserve">of California is in a period of significant revenue growth.  </w:t>
      </w:r>
      <w:r w:rsidR="008F62F1">
        <w:t xml:space="preserve">The </w:t>
      </w:r>
      <w:r w:rsidR="0081066A">
        <w:t>2019</w:t>
      </w:r>
      <w:r w:rsidR="008F62F1">
        <w:t>-</w:t>
      </w:r>
      <w:r w:rsidR="0081066A">
        <w:t xml:space="preserve">20 </w:t>
      </w:r>
      <w:r w:rsidR="008F62F1">
        <w:t>state budget, as proposed by the Governor in January</w:t>
      </w:r>
      <w:r w:rsidR="0081066A">
        <w:t xml:space="preserve"> includes state funding to reduce some of the burden on Counties for various programs</w:t>
      </w:r>
      <w:r w:rsidR="00A922E4">
        <w:t xml:space="preserve">.  </w:t>
      </w:r>
      <w:r>
        <w:t>While this is a positive sign, the state has historically used counties as a significant part of budget “solutions” when resources are insufficient to fund state programs</w:t>
      </w:r>
      <w:r w:rsidR="00A922E4">
        <w:t>, even during times of growth</w:t>
      </w:r>
      <w:r>
        <w:t xml:space="preserve">.  </w:t>
      </w:r>
      <w:r w:rsidR="0004294D">
        <w:t>T</w:t>
      </w:r>
      <w:r w:rsidR="005E2D35">
        <w:t xml:space="preserve">he Federal budget </w:t>
      </w:r>
      <w:r w:rsidR="0004294D">
        <w:t>continues to be volatile</w:t>
      </w:r>
      <w:r w:rsidR="004A0CE8">
        <w:t>.</w:t>
      </w:r>
    </w:p>
    <w:p w14:paraId="1FC5BB9A" w14:textId="783B3302" w:rsidR="00BC1172" w:rsidRDefault="00A922E4" w:rsidP="003E3B3A">
      <w:r>
        <w:t>By the end of</w:t>
      </w:r>
      <w:r w:rsidR="005E2D35">
        <w:t xml:space="preserve"> FY</w:t>
      </w:r>
      <w:r>
        <w:t xml:space="preserve"> 2018-19, the current period of economic expansion will have matched the longest expansion since World War II.  The unemployment rate in Napa County was 3.</w:t>
      </w:r>
      <w:r w:rsidR="00C11868">
        <w:t>5</w:t>
      </w:r>
      <w:r>
        <w:t xml:space="preserve">% in </w:t>
      </w:r>
      <w:r w:rsidR="00C86DB8">
        <w:t>March 201</w:t>
      </w:r>
      <w:r w:rsidR="00C11868">
        <w:t>9</w:t>
      </w:r>
      <w:r w:rsidR="00C86DB8">
        <w:t>, well below the 4.</w:t>
      </w:r>
      <w:r w:rsidR="00C11868">
        <w:t>6</w:t>
      </w:r>
      <w:r>
        <w:t xml:space="preserve">% unemployment rate for California.  </w:t>
      </w:r>
      <w:r w:rsidR="005E2D35">
        <w:t xml:space="preserve">This low rate of unemployment, and the lack of available affordable housing continue to contribute to </w:t>
      </w:r>
      <w:r w:rsidR="00AD2CAD">
        <w:t>the Bay Area growing at a slower pace than the national economy.</w:t>
      </w:r>
      <w:r w:rsidR="005E2D35">
        <w:t xml:space="preserve">  </w:t>
      </w:r>
      <w:r w:rsidR="00D73F5A">
        <w:t>Therefore</w:t>
      </w:r>
      <w:r w:rsidR="00202919">
        <w:t xml:space="preserve"> t</w:t>
      </w:r>
      <w:r w:rsidR="00D73F5A">
        <w:t>he County will likely continue to face future fiscal challenges including:</w:t>
      </w:r>
    </w:p>
    <w:p w14:paraId="7FBACE8B" w14:textId="77777777" w:rsidR="00FB00BE" w:rsidRDefault="00245CE8" w:rsidP="00DF6286">
      <w:pPr>
        <w:pStyle w:val="ListParagraph"/>
        <w:numPr>
          <w:ilvl w:val="0"/>
          <w:numId w:val="2"/>
        </w:numPr>
        <w:spacing w:line="240" w:lineRule="auto"/>
      </w:pPr>
      <w:r>
        <w:t>Continued</w:t>
      </w:r>
      <w:r w:rsidR="002D7EC4">
        <w:t xml:space="preserve"> and enhanced demand for services and a growing backlog of unmet needs in some areas, particularly</w:t>
      </w:r>
      <w:r w:rsidR="00D95F9B">
        <w:t xml:space="preserve"> infrastructure and</w:t>
      </w:r>
      <w:r w:rsidR="002D7EC4">
        <w:t xml:space="preserve"> capital need</w:t>
      </w:r>
      <w:r w:rsidR="00FB00BE">
        <w:t>s</w:t>
      </w:r>
      <w:r w:rsidR="002D7EC4">
        <w:t>;</w:t>
      </w:r>
    </w:p>
    <w:p w14:paraId="3C92B544" w14:textId="77777777" w:rsidR="00FB00BE" w:rsidRDefault="00FB00BE" w:rsidP="00DF6286">
      <w:pPr>
        <w:pStyle w:val="ListParagraph"/>
        <w:spacing w:line="240" w:lineRule="auto"/>
      </w:pPr>
    </w:p>
    <w:p w14:paraId="6340B476" w14:textId="77777777" w:rsidR="00647421" w:rsidRDefault="002D7EC4" w:rsidP="00DF6286">
      <w:pPr>
        <w:pStyle w:val="ListParagraph"/>
        <w:numPr>
          <w:ilvl w:val="0"/>
          <w:numId w:val="2"/>
        </w:numPr>
        <w:spacing w:line="240" w:lineRule="auto"/>
      </w:pPr>
      <w:r>
        <w:t>The impact of certain state program</w:t>
      </w:r>
      <w:r w:rsidR="00937F7E">
        <w:t xml:space="preserve">s </w:t>
      </w:r>
      <w:r>
        <w:t xml:space="preserve">realigned to counties without sufficient dedicated revenue to </w:t>
      </w:r>
      <w:r w:rsidRPr="005E2D35">
        <w:t>fully</w:t>
      </w:r>
      <w:r w:rsidRPr="00202919">
        <w:t xml:space="preserve"> </w:t>
      </w:r>
      <w:r>
        <w:t>cover the cost of those programs;</w:t>
      </w:r>
    </w:p>
    <w:p w14:paraId="44580D00" w14:textId="77777777" w:rsidR="003418B0" w:rsidRDefault="003418B0" w:rsidP="00DF6286">
      <w:pPr>
        <w:pStyle w:val="ListParagraph"/>
        <w:spacing w:after="120" w:line="240" w:lineRule="auto"/>
      </w:pPr>
    </w:p>
    <w:p w14:paraId="00F795B1" w14:textId="77777777" w:rsidR="00D95F9B" w:rsidRDefault="00D95F9B" w:rsidP="00DF6286">
      <w:pPr>
        <w:pStyle w:val="ListParagraph"/>
        <w:numPr>
          <w:ilvl w:val="0"/>
          <w:numId w:val="2"/>
        </w:numPr>
        <w:spacing w:afterLines="200" w:after="480" w:line="240" w:lineRule="auto"/>
      </w:pPr>
      <w:r>
        <w:t xml:space="preserve">Limited growth in discretionary, semi-discretionary and certain other revenues and the possibility of reduced state revenues for services the County provides on behalf of the </w:t>
      </w:r>
      <w:r w:rsidR="000713FC">
        <w:t>s</w:t>
      </w:r>
      <w:r>
        <w:t>tate; and</w:t>
      </w:r>
    </w:p>
    <w:p w14:paraId="35364EDD" w14:textId="77777777" w:rsidR="00D95F9B" w:rsidRDefault="00D95F9B" w:rsidP="00DF6286">
      <w:pPr>
        <w:pStyle w:val="ListParagraph"/>
        <w:spacing w:afterLines="200" w:after="480" w:line="240" w:lineRule="auto"/>
      </w:pPr>
    </w:p>
    <w:p w14:paraId="5477F5E6" w14:textId="77777777" w:rsidR="006B3454" w:rsidRDefault="002D7EC4" w:rsidP="003B341F">
      <w:pPr>
        <w:pStyle w:val="ListParagraph"/>
        <w:numPr>
          <w:ilvl w:val="0"/>
          <w:numId w:val="2"/>
        </w:numPr>
        <w:spacing w:afterLines="200" w:after="480"/>
      </w:pPr>
      <w:r>
        <w:t xml:space="preserve">Increased costs of doing business; including </w:t>
      </w:r>
      <w:r w:rsidR="005E2D35">
        <w:t>costs associated with disaster response and recovery</w:t>
      </w:r>
      <w:r>
        <w:t>.</w:t>
      </w:r>
    </w:p>
    <w:p w14:paraId="00D2C01D" w14:textId="77777777" w:rsidR="006B3454" w:rsidRDefault="006B3454" w:rsidP="006B3454">
      <w:pPr>
        <w:pStyle w:val="ListParagraph"/>
      </w:pPr>
    </w:p>
    <w:p w14:paraId="5E440501" w14:textId="3F7707ED" w:rsidR="00C94DA2" w:rsidRDefault="00202919" w:rsidP="006B3454">
      <w:pPr>
        <w:spacing w:afterLines="200" w:after="480"/>
      </w:pPr>
      <w:r>
        <w:t>T</w:t>
      </w:r>
      <w:r w:rsidR="00B565B6">
        <w:t xml:space="preserve">his updated Strategic Financial </w:t>
      </w:r>
      <w:r w:rsidR="007C00D5">
        <w:t>P</w:t>
      </w:r>
      <w:r w:rsidR="00B565B6">
        <w:t xml:space="preserve">lan continues the comprehensive strategic framework to ensure the County’s financial sustainability over the </w:t>
      </w:r>
      <w:r w:rsidR="00937F7E">
        <w:t xml:space="preserve">current and four subsequent fiscal years (FY </w:t>
      </w:r>
      <w:r w:rsidR="00C11868">
        <w:t>2019</w:t>
      </w:r>
      <w:r w:rsidR="00D07573">
        <w:t>-</w:t>
      </w:r>
      <w:r w:rsidR="00C11868">
        <w:t xml:space="preserve">20 </w:t>
      </w:r>
      <w:r w:rsidR="00937F7E">
        <w:t xml:space="preserve">through FY </w:t>
      </w:r>
      <w:r w:rsidR="00C11868">
        <w:t>2023</w:t>
      </w:r>
      <w:r w:rsidR="00C86DB8">
        <w:t>-</w:t>
      </w:r>
      <w:r w:rsidR="00C11868">
        <w:t>24</w:t>
      </w:r>
      <w:r w:rsidR="00937F7E">
        <w:t>)</w:t>
      </w:r>
      <w:r w:rsidR="00B565B6">
        <w:t xml:space="preserve">.  </w:t>
      </w:r>
      <w:r w:rsidR="00D07573">
        <w:t xml:space="preserve">This stability ensures the County can continue essential services, while having the flexibility </w:t>
      </w:r>
      <w:r w:rsidR="00D07573">
        <w:lastRenderedPageBreak/>
        <w:t xml:space="preserve">necessary to respond to significant changes, such as altering political </w:t>
      </w:r>
      <w:r w:rsidR="000713FC">
        <w:t>direction at the state and f</w:t>
      </w:r>
      <w:r w:rsidR="00D07573">
        <w:t xml:space="preserve">ederal levels, natural disasters, and </w:t>
      </w:r>
      <w:r w:rsidR="00C94DA2">
        <w:t xml:space="preserve">changes in global economics that may impact our local community.  </w:t>
      </w:r>
    </w:p>
    <w:p w14:paraId="7280E56E" w14:textId="77777777" w:rsidR="00B565B6" w:rsidRDefault="00B565B6" w:rsidP="003E3B3A">
      <w:pPr>
        <w:spacing w:afterLines="200" w:after="480"/>
      </w:pPr>
      <w:r>
        <w:t xml:space="preserve">The Strategic Financial Plan is different from other fiscal policy documents in that it is </w:t>
      </w:r>
      <w:r w:rsidR="00CA2BA3">
        <w:t>consolidates several other documents, and spans several years</w:t>
      </w:r>
      <w:r w:rsidR="00202919">
        <w:t xml:space="preserve">; </w:t>
      </w:r>
      <w:r>
        <w:t xml:space="preserve">it does not focus on just one year or one aspect of fiscal policy – </w:t>
      </w:r>
      <w:r w:rsidR="00202919">
        <w:t xml:space="preserve">such as </w:t>
      </w:r>
      <w:r>
        <w:t xml:space="preserve">resource reduction strategies or reserve levels – though it does focus on the General Fund and certain related funds.  The Plan is strategic, however, in that it does not attempt to lay out a detailed blueprint for everything that will be done.  Instead, it provides a policy and priority framework for dealing with the Board’s priorities over </w:t>
      </w:r>
      <w:r w:rsidR="007C00D5">
        <w:t xml:space="preserve">a </w:t>
      </w:r>
      <w:r>
        <w:t xml:space="preserve">five-year period.  The Strategic Financial Plan will continue to be implemented through the annual </w:t>
      </w:r>
      <w:r w:rsidR="00245CE8">
        <w:t xml:space="preserve">adoption of Budget Policies, the </w:t>
      </w:r>
      <w:r>
        <w:t>budget process and other Board actions.</w:t>
      </w:r>
    </w:p>
    <w:p w14:paraId="55EEA6A5" w14:textId="77777777" w:rsidR="00B714E5" w:rsidRDefault="00B714E5" w:rsidP="00B565B6">
      <w:pPr>
        <w:spacing w:after="120" w:line="240" w:lineRule="auto"/>
      </w:pPr>
    </w:p>
    <w:p w14:paraId="3F7BE12E" w14:textId="77777777" w:rsidR="004C578C" w:rsidRDefault="004C578C">
      <w:r>
        <w:br w:type="page"/>
      </w:r>
    </w:p>
    <w:p w14:paraId="0E7A885E" w14:textId="77777777" w:rsidR="00B714E5" w:rsidRPr="005137FA" w:rsidRDefault="00B714E5" w:rsidP="004C578C">
      <w:pPr>
        <w:pStyle w:val="ListParagraph"/>
        <w:numPr>
          <w:ilvl w:val="0"/>
          <w:numId w:val="1"/>
        </w:numPr>
        <w:pBdr>
          <w:bottom w:val="thinThickSmallGap" w:sz="24" w:space="1" w:color="5F497A" w:themeColor="accent4" w:themeShade="BF"/>
        </w:pBdr>
        <w:spacing w:after="0" w:line="240" w:lineRule="auto"/>
        <w:rPr>
          <w:sz w:val="28"/>
          <w:szCs w:val="28"/>
        </w:rPr>
      </w:pPr>
      <w:r w:rsidRPr="005137FA">
        <w:rPr>
          <w:sz w:val="28"/>
          <w:szCs w:val="28"/>
        </w:rPr>
        <w:lastRenderedPageBreak/>
        <w:t>General Fund Financial Picture</w:t>
      </w:r>
    </w:p>
    <w:p w14:paraId="0DCE2BC8" w14:textId="77777777" w:rsidR="000A4D01" w:rsidRDefault="000A4D01" w:rsidP="00B565B6">
      <w:pPr>
        <w:spacing w:after="120" w:line="240" w:lineRule="auto"/>
      </w:pPr>
    </w:p>
    <w:p w14:paraId="0B4E45D3" w14:textId="77777777" w:rsidR="000B3C04" w:rsidRDefault="00B73C62" w:rsidP="000C0EC1">
      <w:r>
        <w:t xml:space="preserve">On August 24, 2014, the County experienced a magnitude 6.0 earthquake that caused widespread damage to </w:t>
      </w:r>
      <w:r w:rsidR="000A7767">
        <w:t>County</w:t>
      </w:r>
      <w:r>
        <w:t xml:space="preserve">-owned buildings and other infrastructure such as roads and bridges.  </w:t>
      </w:r>
      <w:r w:rsidR="00D0235E">
        <w:t xml:space="preserve">During the winter of 2017, the County experienced storms causing slides and road damage.  </w:t>
      </w:r>
      <w:r w:rsidR="00E44093">
        <w:t>On October 8, 201</w:t>
      </w:r>
      <w:r w:rsidR="00CC1D35">
        <w:t>7 the Napa Fire Complex started</w:t>
      </w:r>
      <w:r w:rsidR="00E44093">
        <w:t>, resulting in significant response costs, ongoing repair and recovery projects, and a</w:t>
      </w:r>
      <w:r w:rsidR="002C0F0E">
        <w:t xml:space="preserve"> </w:t>
      </w:r>
      <w:r w:rsidR="00E44093">
        <w:t xml:space="preserve">loss in property tax revenue, due to the loss of </w:t>
      </w:r>
      <w:r w:rsidR="002C0F0E">
        <w:t>639</w:t>
      </w:r>
      <w:r w:rsidR="00E44093">
        <w:t xml:space="preserve"> homes.  </w:t>
      </w:r>
      <w:r w:rsidR="004A0CE8">
        <w:t xml:space="preserve">The </w:t>
      </w:r>
      <w:r w:rsidR="00C11868">
        <w:t>adopted state budget</w:t>
      </w:r>
      <w:r w:rsidR="004A0CE8">
        <w:t xml:space="preserve"> for FY 2018-19 include</w:t>
      </w:r>
      <w:r w:rsidR="00C11868">
        <w:t>d</w:t>
      </w:r>
      <w:r w:rsidR="004A0CE8">
        <w:t xml:space="preserve"> funding to provide state backfill of this lost revenue for FY 2017-18 and 2018-19</w:t>
      </w:r>
      <w:r w:rsidR="00C11868">
        <w:t xml:space="preserve">, </w:t>
      </w:r>
      <w:r w:rsidR="006B3454">
        <w:t xml:space="preserve">and </w:t>
      </w:r>
      <w:r w:rsidR="00C11868">
        <w:t>Napa County is included in the proposals to continue that backfill into FY 2019-20</w:t>
      </w:r>
      <w:r w:rsidR="006B3454">
        <w:t>, however the legislature is not scheduled to vote on the state budget until after our budget hearings</w:t>
      </w:r>
      <w:r w:rsidR="004A0CE8">
        <w:t>.</w:t>
      </w:r>
      <w:r w:rsidR="00C11868">
        <w:t xml:space="preserve"> </w:t>
      </w:r>
      <w:r w:rsidR="004A0CE8">
        <w:t xml:space="preserve"> </w:t>
      </w:r>
      <w:r w:rsidR="003418B0">
        <w:t xml:space="preserve">A portion </w:t>
      </w:r>
      <w:r>
        <w:t>of the cost of response and recovery is covered by funds provided by the Federal Emergency Management Agency (FEMA) and the California Office of Emergency Services (Cal-OES)</w:t>
      </w:r>
      <w:r w:rsidR="00D0235E">
        <w:t xml:space="preserve"> and in the case of the earthquake, insurance proceeds</w:t>
      </w:r>
      <w:r w:rsidR="00164CF3">
        <w:t xml:space="preserve">.  However, receipt of FEMA and Cal-OES </w:t>
      </w:r>
      <w:r w:rsidR="003418B0">
        <w:t>funding will come over a period of multiple years</w:t>
      </w:r>
      <w:r w:rsidR="00164CF3">
        <w:t xml:space="preserve">.  </w:t>
      </w:r>
    </w:p>
    <w:p w14:paraId="7F0FCB30" w14:textId="3954E5D1" w:rsidR="006B3454" w:rsidRDefault="008C7B42" w:rsidP="000C0EC1">
      <w:r>
        <w:t>Despite these disasters, the General Fund remains strong</w:t>
      </w:r>
      <w:r w:rsidR="000C0EC1">
        <w:t xml:space="preserve">.  </w:t>
      </w:r>
      <w:r w:rsidR="00A961B0">
        <w:t xml:space="preserve">The Government Finance Officers Association has a “Best Practice” of maintaining at least two months – or 17% of operating revenues or expenditures in fund balance.  </w:t>
      </w:r>
      <w:r w:rsidR="000C0EC1">
        <w:t>Napa County’s policy establishes a variety of tools to achieve this</w:t>
      </w:r>
      <w:r w:rsidR="00164CF3">
        <w:t xml:space="preserve">. </w:t>
      </w:r>
      <w:r w:rsidR="000C0EC1">
        <w:t xml:space="preserve">The </w:t>
      </w:r>
      <w:r w:rsidR="000C0EC1">
        <w:rPr>
          <w:b/>
        </w:rPr>
        <w:t>General Reserve</w:t>
      </w:r>
      <w:r w:rsidR="000C0EC1">
        <w:t xml:space="preserve"> policy establishes a General Reserve equivalent to 10% of combined operational appropriations for the General Fund and the Health and Human Services Fund.  While the FY 2018-19 budget was adopted with the reserve not fully funded, </w:t>
      </w:r>
      <w:r w:rsidR="000B3C04">
        <w:t xml:space="preserve">subsequently, </w:t>
      </w:r>
      <w:r w:rsidR="000C0EC1">
        <w:t>the Board fully funded the reserve during the fiscal year with closing fund balance from FY 2017-18.</w:t>
      </w:r>
      <w:r w:rsidR="00650E6C">
        <w:t xml:space="preserve">  The </w:t>
      </w:r>
      <w:r w:rsidR="00650E6C">
        <w:rPr>
          <w:b/>
        </w:rPr>
        <w:t xml:space="preserve">Designation for Fiscal Uncertainty </w:t>
      </w:r>
      <w:r w:rsidR="00650E6C">
        <w:t>policy establishes a General Fund Designation for Fiscal Uncertainty at 10% of operational appropriations and a Health and Human Services Designation at 10% of operational appropriations, less the intrafund transfers.  Table 1 shows the FY 2018-19 adopted budget and the actual General Reserve and Designation for Fiscal Uncertainty.</w:t>
      </w:r>
      <w:r w:rsidR="006B3454">
        <w:t xml:space="preserve"> In addition, the budget includes 3% </w:t>
      </w:r>
      <w:r w:rsidR="006B3454">
        <w:rPr>
          <w:b/>
        </w:rPr>
        <w:t>contingency fund</w:t>
      </w:r>
      <w:r w:rsidR="006B3454">
        <w:t>.  The combination of these three</w:t>
      </w:r>
      <w:r w:rsidR="003B341F">
        <w:t xml:space="preserve"> totaling</w:t>
      </w:r>
      <w:r w:rsidR="006B3454">
        <w:t xml:space="preserve"> 23%</w:t>
      </w:r>
      <w:r w:rsidR="003B341F">
        <w:t>,</w:t>
      </w:r>
      <w:r w:rsidR="006B3454">
        <w:t xml:space="preserve"> are the tools we use to meet this best practice.</w:t>
      </w:r>
      <w:r w:rsidR="004C519A">
        <w:t xml:space="preserve">  As shown in Table 1, the General Reserve is fully funded, and the Assignment for Fiscal Uncertainty is almost fully funded, and will be as part of the recommended FY 2019-20 budget.</w:t>
      </w:r>
    </w:p>
    <w:p w14:paraId="1A843353" w14:textId="77777777" w:rsidR="006B3454" w:rsidRDefault="006B3454">
      <w:r>
        <w:br w:type="page"/>
      </w:r>
    </w:p>
    <w:p w14:paraId="1797E801" w14:textId="77777777" w:rsidR="00650E6C" w:rsidRPr="00650E6C" w:rsidRDefault="00650E6C" w:rsidP="000C0EC1"/>
    <w:p w14:paraId="1BF2F97C" w14:textId="40FDDEDB" w:rsidR="004C519A" w:rsidRDefault="00650E6C" w:rsidP="004C519A">
      <w:r>
        <w:t>Table 1: Adopted Budget and Actual General Reserve and Designation for Fiscal Uncertainty</w:t>
      </w:r>
    </w:p>
    <w:p w14:paraId="3D159C29" w14:textId="77777777" w:rsidR="00C26629" w:rsidRDefault="004C519A" w:rsidP="000C0EC1">
      <w:r>
        <w:fldChar w:fldCharType="begin"/>
      </w:r>
      <w:r>
        <w:instrText xml:space="preserve"> LINK </w:instrText>
      </w:r>
      <w:r w:rsidR="000B3C04">
        <w:instrText xml:space="preserve">Excel.Sheet.12 "\\\\data2\\CAO\\!-SHARED\\BUDGET\\FY 2020 BUDGET\\5 year fiscal forecasts\\Report tables 2019 v2.xlsx" "Table 1!R2C1:R21C4" </w:instrText>
      </w:r>
      <w:r>
        <w:instrText xml:space="preserve">\a \f 4 \h </w:instrText>
      </w:r>
      <w:r w:rsidR="00C26629">
        <w:fldChar w:fldCharType="separate"/>
      </w:r>
    </w:p>
    <w:tbl>
      <w:tblPr>
        <w:tblW w:w="8184" w:type="dxa"/>
        <w:tblLook w:val="04A0" w:firstRow="1" w:lastRow="0" w:firstColumn="1" w:lastColumn="0" w:noHBand="0" w:noVBand="1"/>
      </w:tblPr>
      <w:tblGrid>
        <w:gridCol w:w="3676"/>
        <w:gridCol w:w="1463"/>
        <w:gridCol w:w="1596"/>
        <w:gridCol w:w="1463"/>
      </w:tblGrid>
      <w:tr w:rsidR="00C26629" w:rsidRPr="00C26629" w14:paraId="76B41A68"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55D954CF" w14:textId="3789D0A2" w:rsidR="00C26629" w:rsidRPr="00C26629" w:rsidRDefault="00C26629" w:rsidP="00C26629">
            <w:pPr>
              <w:spacing w:after="0" w:line="240" w:lineRule="auto"/>
              <w:rPr>
                <w:rFonts w:ascii="Times New Roman" w:eastAsia="Times New Roman" w:hAnsi="Times New Roman" w:cs="Times New Roman"/>
                <w:sz w:val="24"/>
                <w:szCs w:val="24"/>
              </w:rPr>
            </w:pPr>
          </w:p>
        </w:tc>
        <w:tc>
          <w:tcPr>
            <w:tcW w:w="1456" w:type="dxa"/>
            <w:tcBorders>
              <w:top w:val="nil"/>
              <w:left w:val="nil"/>
              <w:bottom w:val="nil"/>
              <w:right w:val="nil"/>
            </w:tcBorders>
            <w:shd w:val="clear" w:color="auto" w:fill="auto"/>
            <w:noWrap/>
            <w:vAlign w:val="bottom"/>
            <w:hideMark/>
          </w:tcPr>
          <w:p w14:paraId="0D9768D0" w14:textId="77777777" w:rsidR="00C26629" w:rsidRPr="00C26629" w:rsidRDefault="00C26629" w:rsidP="00C26629">
            <w:pPr>
              <w:spacing w:after="0" w:line="240" w:lineRule="auto"/>
              <w:jc w:val="center"/>
              <w:rPr>
                <w:rFonts w:ascii="Calibri" w:eastAsia="Times New Roman" w:hAnsi="Calibri" w:cs="Calibri"/>
                <w:b/>
                <w:bCs/>
                <w:color w:val="000000"/>
              </w:rPr>
            </w:pPr>
            <w:r w:rsidRPr="00C26629">
              <w:rPr>
                <w:rFonts w:ascii="Calibri" w:eastAsia="Times New Roman" w:hAnsi="Calibri" w:cs="Calibri"/>
                <w:b/>
                <w:bCs/>
                <w:color w:val="000000"/>
              </w:rPr>
              <w:t>General Fund</w:t>
            </w:r>
          </w:p>
        </w:tc>
        <w:tc>
          <w:tcPr>
            <w:tcW w:w="1596" w:type="dxa"/>
            <w:tcBorders>
              <w:top w:val="nil"/>
              <w:left w:val="nil"/>
              <w:bottom w:val="nil"/>
              <w:right w:val="nil"/>
            </w:tcBorders>
            <w:shd w:val="clear" w:color="auto" w:fill="auto"/>
            <w:noWrap/>
            <w:vAlign w:val="bottom"/>
            <w:hideMark/>
          </w:tcPr>
          <w:p w14:paraId="049C9E5A" w14:textId="77777777" w:rsidR="00C26629" w:rsidRPr="00C26629" w:rsidRDefault="00C26629" w:rsidP="00C26629">
            <w:pPr>
              <w:spacing w:after="0" w:line="240" w:lineRule="auto"/>
              <w:jc w:val="center"/>
              <w:rPr>
                <w:rFonts w:ascii="Calibri" w:eastAsia="Times New Roman" w:hAnsi="Calibri" w:cs="Calibri"/>
                <w:b/>
                <w:bCs/>
                <w:color w:val="000000"/>
              </w:rPr>
            </w:pPr>
            <w:r w:rsidRPr="00C26629">
              <w:rPr>
                <w:rFonts w:ascii="Calibri" w:eastAsia="Times New Roman" w:hAnsi="Calibri" w:cs="Calibri"/>
                <w:b/>
                <w:bCs/>
                <w:color w:val="000000"/>
              </w:rPr>
              <w:t>HHSA</w:t>
            </w:r>
          </w:p>
        </w:tc>
        <w:tc>
          <w:tcPr>
            <w:tcW w:w="1456" w:type="dxa"/>
            <w:tcBorders>
              <w:top w:val="nil"/>
              <w:left w:val="nil"/>
              <w:bottom w:val="nil"/>
              <w:right w:val="nil"/>
            </w:tcBorders>
            <w:shd w:val="clear" w:color="auto" w:fill="auto"/>
            <w:noWrap/>
            <w:vAlign w:val="bottom"/>
            <w:hideMark/>
          </w:tcPr>
          <w:p w14:paraId="07738B4F" w14:textId="77777777" w:rsidR="00C26629" w:rsidRPr="00C26629" w:rsidRDefault="00C26629" w:rsidP="00C26629">
            <w:pPr>
              <w:spacing w:after="0" w:line="240" w:lineRule="auto"/>
              <w:jc w:val="center"/>
              <w:rPr>
                <w:rFonts w:ascii="Calibri" w:eastAsia="Times New Roman" w:hAnsi="Calibri" w:cs="Calibri"/>
                <w:b/>
                <w:bCs/>
                <w:color w:val="000000"/>
              </w:rPr>
            </w:pPr>
            <w:r w:rsidRPr="00C26629">
              <w:rPr>
                <w:rFonts w:ascii="Calibri" w:eastAsia="Times New Roman" w:hAnsi="Calibri" w:cs="Calibri"/>
                <w:b/>
                <w:bCs/>
                <w:color w:val="000000"/>
              </w:rPr>
              <w:t>Total</w:t>
            </w:r>
          </w:p>
        </w:tc>
      </w:tr>
      <w:tr w:rsidR="00C26629" w:rsidRPr="00C26629" w14:paraId="1C820630"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7665F746" w14:textId="77777777" w:rsidR="00C26629" w:rsidRPr="00C26629" w:rsidRDefault="00C26629" w:rsidP="00C26629">
            <w:pPr>
              <w:spacing w:after="0" w:line="240" w:lineRule="auto"/>
              <w:jc w:val="center"/>
              <w:rPr>
                <w:rFonts w:ascii="Calibri" w:eastAsia="Times New Roman" w:hAnsi="Calibri" w:cs="Calibri"/>
                <w:b/>
                <w:bCs/>
                <w:color w:val="000000"/>
              </w:rPr>
            </w:pPr>
          </w:p>
        </w:tc>
        <w:tc>
          <w:tcPr>
            <w:tcW w:w="1456" w:type="dxa"/>
            <w:tcBorders>
              <w:top w:val="single" w:sz="4" w:space="0" w:color="auto"/>
              <w:left w:val="nil"/>
              <w:bottom w:val="nil"/>
              <w:right w:val="nil"/>
            </w:tcBorders>
            <w:shd w:val="clear" w:color="auto" w:fill="auto"/>
            <w:noWrap/>
            <w:vAlign w:val="bottom"/>
            <w:hideMark/>
          </w:tcPr>
          <w:p w14:paraId="40CC1D0F"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w:t>
            </w:r>
          </w:p>
        </w:tc>
        <w:tc>
          <w:tcPr>
            <w:tcW w:w="1596" w:type="dxa"/>
            <w:tcBorders>
              <w:top w:val="single" w:sz="4" w:space="0" w:color="auto"/>
              <w:left w:val="nil"/>
              <w:bottom w:val="nil"/>
              <w:right w:val="nil"/>
            </w:tcBorders>
            <w:shd w:val="clear" w:color="auto" w:fill="auto"/>
            <w:noWrap/>
            <w:vAlign w:val="bottom"/>
            <w:hideMark/>
          </w:tcPr>
          <w:p w14:paraId="7183A030"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w:t>
            </w:r>
          </w:p>
        </w:tc>
        <w:tc>
          <w:tcPr>
            <w:tcW w:w="1456" w:type="dxa"/>
            <w:tcBorders>
              <w:top w:val="single" w:sz="4" w:space="0" w:color="auto"/>
              <w:left w:val="nil"/>
              <w:bottom w:val="nil"/>
              <w:right w:val="nil"/>
            </w:tcBorders>
            <w:shd w:val="clear" w:color="auto" w:fill="auto"/>
            <w:noWrap/>
            <w:vAlign w:val="bottom"/>
            <w:hideMark/>
          </w:tcPr>
          <w:p w14:paraId="61A5462D"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w:t>
            </w:r>
          </w:p>
        </w:tc>
      </w:tr>
      <w:tr w:rsidR="00C26629" w:rsidRPr="00C26629" w14:paraId="22E6EF72"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4334311C"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Adopted Budget Expenditures</w:t>
            </w:r>
          </w:p>
        </w:tc>
        <w:tc>
          <w:tcPr>
            <w:tcW w:w="1456" w:type="dxa"/>
            <w:tcBorders>
              <w:top w:val="nil"/>
              <w:left w:val="nil"/>
              <w:bottom w:val="nil"/>
              <w:right w:val="nil"/>
            </w:tcBorders>
            <w:shd w:val="clear" w:color="auto" w:fill="auto"/>
            <w:noWrap/>
            <w:vAlign w:val="bottom"/>
            <w:hideMark/>
          </w:tcPr>
          <w:p w14:paraId="444CD890"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$198,124,217 </w:t>
            </w:r>
          </w:p>
        </w:tc>
        <w:tc>
          <w:tcPr>
            <w:tcW w:w="1596" w:type="dxa"/>
            <w:tcBorders>
              <w:top w:val="nil"/>
              <w:left w:val="nil"/>
              <w:bottom w:val="nil"/>
              <w:right w:val="nil"/>
            </w:tcBorders>
            <w:shd w:val="clear" w:color="auto" w:fill="auto"/>
            <w:noWrap/>
            <w:vAlign w:val="bottom"/>
            <w:hideMark/>
          </w:tcPr>
          <w:p w14:paraId="531CDA89"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$120,860,117 </w:t>
            </w:r>
          </w:p>
        </w:tc>
        <w:tc>
          <w:tcPr>
            <w:tcW w:w="1456" w:type="dxa"/>
            <w:tcBorders>
              <w:top w:val="nil"/>
              <w:left w:val="nil"/>
              <w:bottom w:val="nil"/>
              <w:right w:val="nil"/>
            </w:tcBorders>
            <w:shd w:val="clear" w:color="auto" w:fill="auto"/>
            <w:noWrap/>
            <w:vAlign w:val="bottom"/>
            <w:hideMark/>
          </w:tcPr>
          <w:p w14:paraId="14F8ABE3"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$318,984,334 </w:t>
            </w:r>
          </w:p>
        </w:tc>
      </w:tr>
      <w:tr w:rsidR="00C26629" w:rsidRPr="00C26629" w14:paraId="76576485"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107CA2F0"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Less:</w:t>
            </w:r>
          </w:p>
        </w:tc>
        <w:tc>
          <w:tcPr>
            <w:tcW w:w="1456" w:type="dxa"/>
            <w:tcBorders>
              <w:top w:val="nil"/>
              <w:left w:val="nil"/>
              <w:bottom w:val="nil"/>
              <w:right w:val="nil"/>
            </w:tcBorders>
            <w:shd w:val="clear" w:color="auto" w:fill="auto"/>
            <w:noWrap/>
            <w:vAlign w:val="bottom"/>
            <w:hideMark/>
          </w:tcPr>
          <w:p w14:paraId="18837F59" w14:textId="77777777" w:rsidR="00C26629" w:rsidRPr="00C26629" w:rsidRDefault="00C26629" w:rsidP="00C26629">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14:paraId="07B9289E" w14:textId="77777777" w:rsidR="00C26629" w:rsidRPr="00C26629" w:rsidRDefault="00C26629" w:rsidP="00C26629">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6557DA1D" w14:textId="77777777" w:rsidR="00C26629" w:rsidRPr="00C26629" w:rsidRDefault="00C26629" w:rsidP="00C26629">
            <w:pPr>
              <w:spacing w:after="0" w:line="240" w:lineRule="auto"/>
              <w:rPr>
                <w:rFonts w:ascii="Times New Roman" w:eastAsia="Times New Roman" w:hAnsi="Times New Roman" w:cs="Times New Roman"/>
                <w:sz w:val="20"/>
                <w:szCs w:val="20"/>
              </w:rPr>
            </w:pPr>
          </w:p>
        </w:tc>
      </w:tr>
      <w:tr w:rsidR="00C26629" w:rsidRPr="00C26629" w14:paraId="4406E7B1"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11B8484B"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xml:space="preserve">  HHSA Transfer</w:t>
            </w:r>
          </w:p>
        </w:tc>
        <w:tc>
          <w:tcPr>
            <w:tcW w:w="1456" w:type="dxa"/>
            <w:tcBorders>
              <w:top w:val="nil"/>
              <w:left w:val="nil"/>
              <w:bottom w:val="nil"/>
              <w:right w:val="nil"/>
            </w:tcBorders>
            <w:shd w:val="clear" w:color="auto" w:fill="auto"/>
            <w:noWrap/>
            <w:vAlign w:val="bottom"/>
            <w:hideMark/>
          </w:tcPr>
          <w:p w14:paraId="65BA1007"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($15,328,764)</w:t>
            </w:r>
          </w:p>
        </w:tc>
        <w:tc>
          <w:tcPr>
            <w:tcW w:w="1596" w:type="dxa"/>
            <w:tcBorders>
              <w:top w:val="nil"/>
              <w:left w:val="nil"/>
              <w:bottom w:val="nil"/>
              <w:right w:val="nil"/>
            </w:tcBorders>
            <w:shd w:val="clear" w:color="auto" w:fill="auto"/>
            <w:noWrap/>
            <w:vAlign w:val="bottom"/>
            <w:hideMark/>
          </w:tcPr>
          <w:p w14:paraId="2E05D1E2"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456" w:type="dxa"/>
            <w:tcBorders>
              <w:top w:val="nil"/>
              <w:left w:val="nil"/>
              <w:bottom w:val="nil"/>
              <w:right w:val="nil"/>
            </w:tcBorders>
            <w:shd w:val="clear" w:color="auto" w:fill="auto"/>
            <w:noWrap/>
            <w:vAlign w:val="bottom"/>
            <w:hideMark/>
          </w:tcPr>
          <w:p w14:paraId="30518FD0"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($15,328,764)</w:t>
            </w:r>
          </w:p>
        </w:tc>
      </w:tr>
      <w:tr w:rsidR="00C26629" w:rsidRPr="00C26629" w14:paraId="62294839"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57F355EE"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xml:space="preserve">  Accumulated Capital Outlay Transfer</w:t>
            </w:r>
          </w:p>
        </w:tc>
        <w:tc>
          <w:tcPr>
            <w:tcW w:w="1456" w:type="dxa"/>
            <w:tcBorders>
              <w:top w:val="nil"/>
              <w:left w:val="nil"/>
              <w:bottom w:val="nil"/>
              <w:right w:val="nil"/>
            </w:tcBorders>
            <w:shd w:val="clear" w:color="auto" w:fill="auto"/>
            <w:noWrap/>
            <w:vAlign w:val="bottom"/>
            <w:hideMark/>
          </w:tcPr>
          <w:p w14:paraId="2D346321"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($1,500,000)</w:t>
            </w:r>
          </w:p>
        </w:tc>
        <w:tc>
          <w:tcPr>
            <w:tcW w:w="1596" w:type="dxa"/>
            <w:tcBorders>
              <w:top w:val="nil"/>
              <w:left w:val="nil"/>
              <w:bottom w:val="nil"/>
              <w:right w:val="nil"/>
            </w:tcBorders>
            <w:shd w:val="clear" w:color="auto" w:fill="auto"/>
            <w:noWrap/>
            <w:vAlign w:val="bottom"/>
            <w:hideMark/>
          </w:tcPr>
          <w:p w14:paraId="4DCBB065"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456" w:type="dxa"/>
            <w:tcBorders>
              <w:top w:val="nil"/>
              <w:left w:val="nil"/>
              <w:bottom w:val="nil"/>
              <w:right w:val="nil"/>
            </w:tcBorders>
            <w:shd w:val="clear" w:color="auto" w:fill="auto"/>
            <w:noWrap/>
            <w:vAlign w:val="bottom"/>
            <w:hideMark/>
          </w:tcPr>
          <w:p w14:paraId="1A3AF081"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($1,500,000)</w:t>
            </w:r>
          </w:p>
        </w:tc>
      </w:tr>
      <w:tr w:rsidR="00C26629" w:rsidRPr="00C26629" w14:paraId="59B669B6"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64C497DC"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xml:space="preserve">  Roads Transfer</w:t>
            </w:r>
          </w:p>
        </w:tc>
        <w:tc>
          <w:tcPr>
            <w:tcW w:w="1456" w:type="dxa"/>
            <w:tcBorders>
              <w:top w:val="nil"/>
              <w:left w:val="nil"/>
              <w:bottom w:val="nil"/>
              <w:right w:val="nil"/>
            </w:tcBorders>
            <w:shd w:val="clear" w:color="auto" w:fill="auto"/>
            <w:noWrap/>
            <w:vAlign w:val="bottom"/>
            <w:hideMark/>
          </w:tcPr>
          <w:p w14:paraId="6502B500"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($3,732,000)</w:t>
            </w:r>
          </w:p>
        </w:tc>
        <w:tc>
          <w:tcPr>
            <w:tcW w:w="1596" w:type="dxa"/>
            <w:tcBorders>
              <w:top w:val="nil"/>
              <w:left w:val="nil"/>
              <w:bottom w:val="nil"/>
              <w:right w:val="nil"/>
            </w:tcBorders>
            <w:shd w:val="clear" w:color="auto" w:fill="auto"/>
            <w:noWrap/>
            <w:vAlign w:val="bottom"/>
            <w:hideMark/>
          </w:tcPr>
          <w:p w14:paraId="33E6B849"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456" w:type="dxa"/>
            <w:tcBorders>
              <w:top w:val="nil"/>
              <w:left w:val="nil"/>
              <w:bottom w:val="nil"/>
              <w:right w:val="nil"/>
            </w:tcBorders>
            <w:shd w:val="clear" w:color="auto" w:fill="auto"/>
            <w:noWrap/>
            <w:vAlign w:val="bottom"/>
            <w:hideMark/>
          </w:tcPr>
          <w:p w14:paraId="3538A8F4"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($3,732,000)</w:t>
            </w:r>
          </w:p>
        </w:tc>
      </w:tr>
      <w:tr w:rsidR="00C26629" w:rsidRPr="00C26629" w14:paraId="5B33B0D2"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4602597D"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xml:space="preserve">  Contingency</w:t>
            </w:r>
          </w:p>
        </w:tc>
        <w:tc>
          <w:tcPr>
            <w:tcW w:w="1456" w:type="dxa"/>
            <w:tcBorders>
              <w:top w:val="nil"/>
              <w:left w:val="nil"/>
              <w:bottom w:val="nil"/>
              <w:right w:val="nil"/>
            </w:tcBorders>
            <w:shd w:val="clear" w:color="auto" w:fill="auto"/>
            <w:noWrap/>
            <w:vAlign w:val="bottom"/>
            <w:hideMark/>
          </w:tcPr>
          <w:p w14:paraId="632FD93D"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($5,000,000)</w:t>
            </w:r>
          </w:p>
        </w:tc>
        <w:tc>
          <w:tcPr>
            <w:tcW w:w="1596" w:type="dxa"/>
            <w:tcBorders>
              <w:top w:val="nil"/>
              <w:left w:val="nil"/>
              <w:bottom w:val="nil"/>
              <w:right w:val="nil"/>
            </w:tcBorders>
            <w:shd w:val="clear" w:color="auto" w:fill="auto"/>
            <w:noWrap/>
            <w:vAlign w:val="bottom"/>
            <w:hideMark/>
          </w:tcPr>
          <w:p w14:paraId="3DADE847"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456" w:type="dxa"/>
            <w:tcBorders>
              <w:top w:val="nil"/>
              <w:left w:val="nil"/>
              <w:bottom w:val="nil"/>
              <w:right w:val="nil"/>
            </w:tcBorders>
            <w:shd w:val="clear" w:color="auto" w:fill="auto"/>
            <w:noWrap/>
            <w:vAlign w:val="bottom"/>
            <w:hideMark/>
          </w:tcPr>
          <w:p w14:paraId="53B4D3F1"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($5,000,000)</w:t>
            </w:r>
          </w:p>
        </w:tc>
      </w:tr>
      <w:tr w:rsidR="00C26629" w:rsidRPr="00C26629" w14:paraId="52B35291"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6913542F"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 xml:space="preserve">  Intrafund Transfers (HHSA)</w:t>
            </w:r>
          </w:p>
        </w:tc>
        <w:tc>
          <w:tcPr>
            <w:tcW w:w="1456" w:type="dxa"/>
            <w:tcBorders>
              <w:top w:val="nil"/>
              <w:left w:val="nil"/>
              <w:bottom w:val="nil"/>
              <w:right w:val="nil"/>
            </w:tcBorders>
            <w:shd w:val="clear" w:color="auto" w:fill="auto"/>
            <w:noWrap/>
            <w:vAlign w:val="bottom"/>
            <w:hideMark/>
          </w:tcPr>
          <w:p w14:paraId="25917E7F" w14:textId="77777777" w:rsidR="00C26629" w:rsidRPr="00C26629" w:rsidRDefault="00C26629" w:rsidP="00C26629">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14:paraId="59AE856F"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($10,373,193)</w:t>
            </w:r>
          </w:p>
        </w:tc>
        <w:tc>
          <w:tcPr>
            <w:tcW w:w="1456" w:type="dxa"/>
            <w:tcBorders>
              <w:top w:val="nil"/>
              <w:left w:val="nil"/>
              <w:bottom w:val="nil"/>
              <w:right w:val="nil"/>
            </w:tcBorders>
            <w:shd w:val="clear" w:color="auto" w:fill="auto"/>
            <w:noWrap/>
            <w:vAlign w:val="bottom"/>
            <w:hideMark/>
          </w:tcPr>
          <w:p w14:paraId="1741CF1D"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($10,373,193)</w:t>
            </w:r>
          </w:p>
        </w:tc>
      </w:tr>
      <w:tr w:rsidR="00C26629" w:rsidRPr="00C26629" w14:paraId="76DFB55C"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44736602"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Total Defined Expenditures</w:t>
            </w:r>
          </w:p>
        </w:tc>
        <w:tc>
          <w:tcPr>
            <w:tcW w:w="1456" w:type="dxa"/>
            <w:tcBorders>
              <w:top w:val="nil"/>
              <w:left w:val="nil"/>
              <w:bottom w:val="nil"/>
              <w:right w:val="nil"/>
            </w:tcBorders>
            <w:shd w:val="clear" w:color="auto" w:fill="auto"/>
            <w:noWrap/>
            <w:vAlign w:val="bottom"/>
            <w:hideMark/>
          </w:tcPr>
          <w:p w14:paraId="1A1D32B2" w14:textId="77777777" w:rsidR="00C26629" w:rsidRPr="00C26629" w:rsidRDefault="00C26629" w:rsidP="00C26629">
            <w:pPr>
              <w:spacing w:after="0" w:line="240" w:lineRule="auto"/>
              <w:jc w:val="right"/>
              <w:rPr>
                <w:rFonts w:ascii="Calibri" w:eastAsia="Times New Roman" w:hAnsi="Calibri" w:cs="Calibri"/>
                <w:b/>
                <w:bCs/>
                <w:color w:val="000000"/>
              </w:rPr>
            </w:pPr>
            <w:r w:rsidRPr="00C26629">
              <w:rPr>
                <w:rFonts w:ascii="Calibri" w:eastAsia="Times New Roman" w:hAnsi="Calibri" w:cs="Calibri"/>
                <w:b/>
                <w:bCs/>
                <w:color w:val="000000"/>
              </w:rPr>
              <w:t xml:space="preserve">$172,563,453 </w:t>
            </w:r>
          </w:p>
        </w:tc>
        <w:tc>
          <w:tcPr>
            <w:tcW w:w="1596" w:type="dxa"/>
            <w:tcBorders>
              <w:top w:val="nil"/>
              <w:left w:val="nil"/>
              <w:bottom w:val="nil"/>
              <w:right w:val="nil"/>
            </w:tcBorders>
            <w:shd w:val="clear" w:color="auto" w:fill="auto"/>
            <w:noWrap/>
            <w:vAlign w:val="bottom"/>
            <w:hideMark/>
          </w:tcPr>
          <w:p w14:paraId="6D2E9394" w14:textId="77777777" w:rsidR="00C26629" w:rsidRPr="00C26629" w:rsidRDefault="00C26629" w:rsidP="00C26629">
            <w:pPr>
              <w:spacing w:after="0" w:line="240" w:lineRule="auto"/>
              <w:jc w:val="right"/>
              <w:rPr>
                <w:rFonts w:ascii="Calibri" w:eastAsia="Times New Roman" w:hAnsi="Calibri" w:cs="Calibri"/>
                <w:b/>
                <w:bCs/>
                <w:color w:val="000000"/>
              </w:rPr>
            </w:pPr>
            <w:r w:rsidRPr="00C26629">
              <w:rPr>
                <w:rFonts w:ascii="Calibri" w:eastAsia="Times New Roman" w:hAnsi="Calibri" w:cs="Calibri"/>
                <w:b/>
                <w:bCs/>
                <w:color w:val="000000"/>
              </w:rPr>
              <w:t xml:space="preserve">$110,486,924 </w:t>
            </w:r>
          </w:p>
        </w:tc>
        <w:tc>
          <w:tcPr>
            <w:tcW w:w="1456" w:type="dxa"/>
            <w:tcBorders>
              <w:top w:val="nil"/>
              <w:left w:val="nil"/>
              <w:bottom w:val="nil"/>
              <w:right w:val="nil"/>
            </w:tcBorders>
            <w:shd w:val="clear" w:color="auto" w:fill="auto"/>
            <w:noWrap/>
            <w:vAlign w:val="bottom"/>
            <w:hideMark/>
          </w:tcPr>
          <w:p w14:paraId="2EE08875" w14:textId="77777777" w:rsidR="00C26629" w:rsidRPr="00C26629" w:rsidRDefault="00C26629" w:rsidP="00C26629">
            <w:pPr>
              <w:spacing w:after="0" w:line="240" w:lineRule="auto"/>
              <w:jc w:val="right"/>
              <w:rPr>
                <w:rFonts w:ascii="Calibri" w:eastAsia="Times New Roman" w:hAnsi="Calibri" w:cs="Calibri"/>
                <w:b/>
                <w:bCs/>
                <w:color w:val="000000"/>
              </w:rPr>
            </w:pPr>
            <w:r w:rsidRPr="00C26629">
              <w:rPr>
                <w:rFonts w:ascii="Calibri" w:eastAsia="Times New Roman" w:hAnsi="Calibri" w:cs="Calibri"/>
                <w:b/>
                <w:bCs/>
                <w:color w:val="000000"/>
              </w:rPr>
              <w:t xml:space="preserve">$283,050,377 </w:t>
            </w:r>
          </w:p>
        </w:tc>
      </w:tr>
      <w:tr w:rsidR="00C26629" w:rsidRPr="00C26629" w14:paraId="67FBA4D6"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7F3D87D9" w14:textId="77777777" w:rsidR="00C26629" w:rsidRPr="00C26629" w:rsidRDefault="00C26629" w:rsidP="00C26629">
            <w:pPr>
              <w:spacing w:after="0" w:line="240" w:lineRule="auto"/>
              <w:jc w:val="right"/>
              <w:rPr>
                <w:rFonts w:ascii="Calibri" w:eastAsia="Times New Roman" w:hAnsi="Calibri" w:cs="Calibri"/>
                <w:b/>
                <w:bCs/>
                <w:color w:val="000000"/>
              </w:rPr>
            </w:pPr>
          </w:p>
        </w:tc>
        <w:tc>
          <w:tcPr>
            <w:tcW w:w="1456" w:type="dxa"/>
            <w:tcBorders>
              <w:top w:val="nil"/>
              <w:left w:val="nil"/>
              <w:bottom w:val="nil"/>
              <w:right w:val="nil"/>
            </w:tcBorders>
            <w:shd w:val="clear" w:color="auto" w:fill="auto"/>
            <w:noWrap/>
            <w:vAlign w:val="bottom"/>
            <w:hideMark/>
          </w:tcPr>
          <w:p w14:paraId="769192BB" w14:textId="77777777" w:rsidR="00C26629" w:rsidRPr="00C26629" w:rsidRDefault="00C26629" w:rsidP="00C26629">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14:paraId="49B6F65C" w14:textId="77777777" w:rsidR="00C26629" w:rsidRPr="00C26629" w:rsidRDefault="00C26629" w:rsidP="00C26629">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0B160CF4" w14:textId="77777777" w:rsidR="00C26629" w:rsidRPr="00C26629" w:rsidRDefault="00C26629" w:rsidP="00C26629">
            <w:pPr>
              <w:spacing w:after="0" w:line="240" w:lineRule="auto"/>
              <w:rPr>
                <w:rFonts w:ascii="Times New Roman" w:eastAsia="Times New Roman" w:hAnsi="Times New Roman" w:cs="Times New Roman"/>
                <w:sz w:val="20"/>
                <w:szCs w:val="20"/>
              </w:rPr>
            </w:pPr>
          </w:p>
        </w:tc>
      </w:tr>
      <w:tr w:rsidR="00C26629" w:rsidRPr="00C26629" w14:paraId="2E768FC2"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3BEF886C" w14:textId="77777777" w:rsidR="00C26629" w:rsidRPr="00C26629" w:rsidRDefault="00C26629" w:rsidP="00C26629">
            <w:pPr>
              <w:spacing w:after="0" w:line="240" w:lineRule="auto"/>
              <w:rPr>
                <w:rFonts w:ascii="Calibri" w:eastAsia="Times New Roman" w:hAnsi="Calibri" w:cs="Calibri"/>
                <w:b/>
                <w:bCs/>
                <w:color w:val="000000"/>
              </w:rPr>
            </w:pPr>
            <w:r w:rsidRPr="00C26629">
              <w:rPr>
                <w:rFonts w:ascii="Calibri" w:eastAsia="Times New Roman" w:hAnsi="Calibri" w:cs="Calibri"/>
                <w:b/>
                <w:bCs/>
                <w:color w:val="000000"/>
              </w:rPr>
              <w:t>General Reserve</w:t>
            </w:r>
          </w:p>
        </w:tc>
        <w:tc>
          <w:tcPr>
            <w:tcW w:w="1456" w:type="dxa"/>
            <w:tcBorders>
              <w:top w:val="nil"/>
              <w:left w:val="nil"/>
              <w:bottom w:val="nil"/>
              <w:right w:val="nil"/>
            </w:tcBorders>
            <w:shd w:val="clear" w:color="auto" w:fill="auto"/>
            <w:noWrap/>
            <w:vAlign w:val="bottom"/>
            <w:hideMark/>
          </w:tcPr>
          <w:p w14:paraId="6F51798A" w14:textId="77777777" w:rsidR="00C26629" w:rsidRPr="00C26629" w:rsidRDefault="00C26629" w:rsidP="00C26629">
            <w:pPr>
              <w:spacing w:after="0" w:line="240" w:lineRule="auto"/>
              <w:rPr>
                <w:rFonts w:ascii="Calibri" w:eastAsia="Times New Roman" w:hAnsi="Calibri" w:cs="Calibri"/>
                <w:b/>
                <w:bCs/>
                <w:color w:val="000000"/>
              </w:rPr>
            </w:pPr>
          </w:p>
        </w:tc>
        <w:tc>
          <w:tcPr>
            <w:tcW w:w="1596" w:type="dxa"/>
            <w:tcBorders>
              <w:top w:val="nil"/>
              <w:left w:val="nil"/>
              <w:bottom w:val="nil"/>
              <w:right w:val="nil"/>
            </w:tcBorders>
            <w:shd w:val="clear" w:color="auto" w:fill="auto"/>
            <w:noWrap/>
            <w:vAlign w:val="bottom"/>
            <w:hideMark/>
          </w:tcPr>
          <w:p w14:paraId="23B088F6" w14:textId="77777777" w:rsidR="00C26629" w:rsidRPr="00C26629" w:rsidRDefault="00C26629" w:rsidP="00C26629">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46831983" w14:textId="77777777" w:rsidR="00C26629" w:rsidRPr="00C26629" w:rsidRDefault="00C26629" w:rsidP="00C26629">
            <w:pPr>
              <w:spacing w:after="0" w:line="240" w:lineRule="auto"/>
              <w:rPr>
                <w:rFonts w:ascii="Times New Roman" w:eastAsia="Times New Roman" w:hAnsi="Times New Roman" w:cs="Times New Roman"/>
                <w:sz w:val="20"/>
                <w:szCs w:val="20"/>
              </w:rPr>
            </w:pPr>
          </w:p>
        </w:tc>
      </w:tr>
      <w:tr w:rsidR="00C26629" w:rsidRPr="00C26629" w14:paraId="005C18D6"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1575BECD"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Calculated Policy Level</w:t>
            </w:r>
          </w:p>
        </w:tc>
        <w:tc>
          <w:tcPr>
            <w:tcW w:w="1456" w:type="dxa"/>
            <w:tcBorders>
              <w:top w:val="nil"/>
              <w:left w:val="nil"/>
              <w:bottom w:val="nil"/>
              <w:right w:val="nil"/>
            </w:tcBorders>
            <w:shd w:val="clear" w:color="auto" w:fill="auto"/>
            <w:noWrap/>
            <w:vAlign w:val="bottom"/>
            <w:hideMark/>
          </w:tcPr>
          <w:p w14:paraId="61257039"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$29,342,357 </w:t>
            </w:r>
          </w:p>
        </w:tc>
        <w:tc>
          <w:tcPr>
            <w:tcW w:w="1596" w:type="dxa"/>
            <w:tcBorders>
              <w:top w:val="nil"/>
              <w:left w:val="nil"/>
              <w:bottom w:val="nil"/>
              <w:right w:val="nil"/>
            </w:tcBorders>
            <w:shd w:val="clear" w:color="auto" w:fill="auto"/>
            <w:noWrap/>
            <w:vAlign w:val="bottom"/>
            <w:hideMark/>
          </w:tcPr>
          <w:p w14:paraId="744F2BEC"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456" w:type="dxa"/>
            <w:tcBorders>
              <w:top w:val="nil"/>
              <w:left w:val="nil"/>
              <w:bottom w:val="nil"/>
              <w:right w:val="nil"/>
            </w:tcBorders>
            <w:shd w:val="clear" w:color="auto" w:fill="auto"/>
            <w:noWrap/>
            <w:vAlign w:val="bottom"/>
            <w:hideMark/>
          </w:tcPr>
          <w:p w14:paraId="1C54E82F"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$29,342,357 </w:t>
            </w:r>
          </w:p>
        </w:tc>
      </w:tr>
      <w:tr w:rsidR="00C26629" w:rsidRPr="00C26629" w14:paraId="3E7AC1B8" w14:textId="77777777" w:rsidTr="00C26629">
        <w:trPr>
          <w:divId w:val="2028360779"/>
          <w:trHeight w:val="315"/>
        </w:trPr>
        <w:tc>
          <w:tcPr>
            <w:tcW w:w="3676" w:type="dxa"/>
            <w:tcBorders>
              <w:top w:val="nil"/>
              <w:left w:val="nil"/>
              <w:bottom w:val="nil"/>
              <w:right w:val="nil"/>
            </w:tcBorders>
            <w:shd w:val="clear" w:color="auto" w:fill="auto"/>
            <w:noWrap/>
            <w:vAlign w:val="bottom"/>
            <w:hideMark/>
          </w:tcPr>
          <w:p w14:paraId="68318156"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Actual General Reserve</w:t>
            </w:r>
          </w:p>
        </w:tc>
        <w:tc>
          <w:tcPr>
            <w:tcW w:w="1456" w:type="dxa"/>
            <w:tcBorders>
              <w:top w:val="nil"/>
              <w:left w:val="nil"/>
              <w:bottom w:val="nil"/>
              <w:right w:val="nil"/>
            </w:tcBorders>
            <w:shd w:val="clear" w:color="auto" w:fill="auto"/>
            <w:noWrap/>
            <w:vAlign w:val="bottom"/>
            <w:hideMark/>
          </w:tcPr>
          <w:p w14:paraId="4E3BB7E7"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$29,342,357 </w:t>
            </w:r>
          </w:p>
        </w:tc>
        <w:tc>
          <w:tcPr>
            <w:tcW w:w="1596" w:type="dxa"/>
            <w:tcBorders>
              <w:top w:val="nil"/>
              <w:left w:val="nil"/>
              <w:bottom w:val="nil"/>
              <w:right w:val="nil"/>
            </w:tcBorders>
            <w:shd w:val="clear" w:color="auto" w:fill="auto"/>
            <w:noWrap/>
            <w:vAlign w:val="bottom"/>
            <w:hideMark/>
          </w:tcPr>
          <w:p w14:paraId="640B0437"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456" w:type="dxa"/>
            <w:tcBorders>
              <w:top w:val="nil"/>
              <w:left w:val="nil"/>
              <w:bottom w:val="nil"/>
              <w:right w:val="nil"/>
            </w:tcBorders>
            <w:shd w:val="clear" w:color="auto" w:fill="auto"/>
            <w:noWrap/>
            <w:vAlign w:val="bottom"/>
            <w:hideMark/>
          </w:tcPr>
          <w:p w14:paraId="15AD9005"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$29,342,357 </w:t>
            </w:r>
          </w:p>
        </w:tc>
      </w:tr>
      <w:tr w:rsidR="00C26629" w:rsidRPr="00C26629" w14:paraId="34045867" w14:textId="77777777" w:rsidTr="00C26629">
        <w:trPr>
          <w:divId w:val="2028360779"/>
          <w:trHeight w:val="300"/>
        </w:trPr>
        <w:tc>
          <w:tcPr>
            <w:tcW w:w="3676" w:type="dxa"/>
            <w:tcBorders>
              <w:top w:val="single" w:sz="8" w:space="0" w:color="auto"/>
              <w:left w:val="nil"/>
              <w:bottom w:val="nil"/>
              <w:right w:val="nil"/>
            </w:tcBorders>
            <w:shd w:val="clear" w:color="auto" w:fill="auto"/>
            <w:noWrap/>
            <w:vAlign w:val="bottom"/>
            <w:hideMark/>
          </w:tcPr>
          <w:p w14:paraId="066688A3" w14:textId="77777777" w:rsidR="00C26629" w:rsidRPr="00C26629" w:rsidRDefault="00C26629" w:rsidP="00C26629">
            <w:pPr>
              <w:spacing w:after="0" w:line="240" w:lineRule="auto"/>
              <w:rPr>
                <w:rFonts w:ascii="Calibri" w:eastAsia="Times New Roman" w:hAnsi="Calibri" w:cs="Calibri"/>
                <w:b/>
                <w:bCs/>
                <w:color w:val="000000"/>
              </w:rPr>
            </w:pPr>
            <w:r w:rsidRPr="00C26629">
              <w:rPr>
                <w:rFonts w:ascii="Calibri" w:eastAsia="Times New Roman" w:hAnsi="Calibri" w:cs="Calibri"/>
                <w:b/>
                <w:bCs/>
                <w:color w:val="000000"/>
              </w:rPr>
              <w:t>Difference from Policy Level</w:t>
            </w:r>
          </w:p>
        </w:tc>
        <w:tc>
          <w:tcPr>
            <w:tcW w:w="1456" w:type="dxa"/>
            <w:tcBorders>
              <w:top w:val="single" w:sz="8" w:space="0" w:color="auto"/>
              <w:left w:val="nil"/>
              <w:bottom w:val="nil"/>
              <w:right w:val="nil"/>
            </w:tcBorders>
            <w:shd w:val="clear" w:color="auto" w:fill="auto"/>
            <w:noWrap/>
            <w:vAlign w:val="bottom"/>
            <w:hideMark/>
          </w:tcPr>
          <w:p w14:paraId="2694920F"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596" w:type="dxa"/>
            <w:tcBorders>
              <w:top w:val="single" w:sz="8" w:space="0" w:color="auto"/>
              <w:left w:val="nil"/>
              <w:bottom w:val="nil"/>
              <w:right w:val="nil"/>
            </w:tcBorders>
            <w:shd w:val="clear" w:color="auto" w:fill="auto"/>
            <w:noWrap/>
            <w:vAlign w:val="bottom"/>
            <w:hideMark/>
          </w:tcPr>
          <w:p w14:paraId="2CB40FCF"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c>
          <w:tcPr>
            <w:tcW w:w="1456" w:type="dxa"/>
            <w:tcBorders>
              <w:top w:val="single" w:sz="8" w:space="0" w:color="auto"/>
              <w:left w:val="nil"/>
              <w:bottom w:val="nil"/>
              <w:right w:val="nil"/>
            </w:tcBorders>
            <w:shd w:val="clear" w:color="auto" w:fill="auto"/>
            <w:noWrap/>
            <w:vAlign w:val="bottom"/>
            <w:hideMark/>
          </w:tcPr>
          <w:p w14:paraId="12CF412F"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$0 </w:t>
            </w:r>
          </w:p>
        </w:tc>
      </w:tr>
      <w:tr w:rsidR="00C26629" w:rsidRPr="00C26629" w14:paraId="5EAF4878"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25C04754" w14:textId="77777777" w:rsidR="00C26629" w:rsidRPr="00C26629" w:rsidRDefault="00C26629" w:rsidP="00C26629">
            <w:pPr>
              <w:spacing w:after="0" w:line="240" w:lineRule="auto"/>
              <w:jc w:val="right"/>
              <w:rPr>
                <w:rFonts w:ascii="Calibri" w:eastAsia="Times New Roman" w:hAnsi="Calibri" w:cs="Calibri"/>
                <w:color w:val="000000"/>
              </w:rPr>
            </w:pPr>
          </w:p>
        </w:tc>
        <w:tc>
          <w:tcPr>
            <w:tcW w:w="1456" w:type="dxa"/>
            <w:tcBorders>
              <w:top w:val="nil"/>
              <w:left w:val="nil"/>
              <w:bottom w:val="nil"/>
              <w:right w:val="nil"/>
            </w:tcBorders>
            <w:shd w:val="clear" w:color="auto" w:fill="auto"/>
            <w:noWrap/>
            <w:vAlign w:val="bottom"/>
            <w:hideMark/>
          </w:tcPr>
          <w:p w14:paraId="5C7D282C" w14:textId="77777777" w:rsidR="00C26629" w:rsidRPr="00C26629" w:rsidRDefault="00C26629" w:rsidP="00C26629">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14:paraId="487B04D6" w14:textId="77777777" w:rsidR="00C26629" w:rsidRPr="00C26629" w:rsidRDefault="00C26629" w:rsidP="00C26629">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2757250" w14:textId="77777777" w:rsidR="00C26629" w:rsidRPr="00C26629" w:rsidRDefault="00C26629" w:rsidP="00C26629">
            <w:pPr>
              <w:spacing w:after="0" w:line="240" w:lineRule="auto"/>
              <w:rPr>
                <w:rFonts w:ascii="Times New Roman" w:eastAsia="Times New Roman" w:hAnsi="Times New Roman" w:cs="Times New Roman"/>
                <w:sz w:val="20"/>
                <w:szCs w:val="20"/>
              </w:rPr>
            </w:pPr>
          </w:p>
        </w:tc>
      </w:tr>
      <w:tr w:rsidR="00C26629" w:rsidRPr="00C26629" w14:paraId="0D9F1FE1"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057C0288" w14:textId="77777777" w:rsidR="00C26629" w:rsidRPr="00C26629" w:rsidRDefault="00C26629" w:rsidP="00C26629">
            <w:pPr>
              <w:spacing w:after="0" w:line="240" w:lineRule="auto"/>
              <w:rPr>
                <w:rFonts w:ascii="Calibri" w:eastAsia="Times New Roman" w:hAnsi="Calibri" w:cs="Calibri"/>
                <w:b/>
                <w:bCs/>
                <w:color w:val="000000"/>
              </w:rPr>
            </w:pPr>
            <w:r w:rsidRPr="00C26629">
              <w:rPr>
                <w:rFonts w:ascii="Calibri" w:eastAsia="Times New Roman" w:hAnsi="Calibri" w:cs="Calibri"/>
                <w:b/>
                <w:bCs/>
                <w:color w:val="000000"/>
              </w:rPr>
              <w:t>Fiscal Uncertainty</w:t>
            </w:r>
          </w:p>
        </w:tc>
        <w:tc>
          <w:tcPr>
            <w:tcW w:w="1456" w:type="dxa"/>
            <w:tcBorders>
              <w:top w:val="nil"/>
              <w:left w:val="nil"/>
              <w:bottom w:val="nil"/>
              <w:right w:val="nil"/>
            </w:tcBorders>
            <w:shd w:val="clear" w:color="auto" w:fill="auto"/>
            <w:noWrap/>
            <w:vAlign w:val="bottom"/>
            <w:hideMark/>
          </w:tcPr>
          <w:p w14:paraId="0179D435" w14:textId="77777777" w:rsidR="00C26629" w:rsidRPr="00C26629" w:rsidRDefault="00C26629" w:rsidP="00C26629">
            <w:pPr>
              <w:spacing w:after="0" w:line="240" w:lineRule="auto"/>
              <w:rPr>
                <w:rFonts w:ascii="Calibri" w:eastAsia="Times New Roman" w:hAnsi="Calibri" w:cs="Calibri"/>
                <w:b/>
                <w:bCs/>
                <w:color w:val="000000"/>
              </w:rPr>
            </w:pPr>
          </w:p>
        </w:tc>
        <w:tc>
          <w:tcPr>
            <w:tcW w:w="1596" w:type="dxa"/>
            <w:tcBorders>
              <w:top w:val="nil"/>
              <w:left w:val="nil"/>
              <w:bottom w:val="nil"/>
              <w:right w:val="nil"/>
            </w:tcBorders>
            <w:shd w:val="clear" w:color="auto" w:fill="auto"/>
            <w:noWrap/>
            <w:vAlign w:val="bottom"/>
            <w:hideMark/>
          </w:tcPr>
          <w:p w14:paraId="39CE9C98" w14:textId="77777777" w:rsidR="00C26629" w:rsidRPr="00C26629" w:rsidRDefault="00C26629" w:rsidP="00C26629">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465A348F" w14:textId="77777777" w:rsidR="00C26629" w:rsidRPr="00C26629" w:rsidRDefault="00C26629" w:rsidP="00C26629">
            <w:pPr>
              <w:spacing w:after="0" w:line="240" w:lineRule="auto"/>
              <w:rPr>
                <w:rFonts w:ascii="Times New Roman" w:eastAsia="Times New Roman" w:hAnsi="Times New Roman" w:cs="Times New Roman"/>
                <w:sz w:val="20"/>
                <w:szCs w:val="20"/>
              </w:rPr>
            </w:pPr>
          </w:p>
        </w:tc>
      </w:tr>
      <w:tr w:rsidR="00C26629" w:rsidRPr="00C26629" w14:paraId="73A848E3" w14:textId="77777777" w:rsidTr="00C26629">
        <w:trPr>
          <w:divId w:val="2028360779"/>
          <w:trHeight w:val="300"/>
        </w:trPr>
        <w:tc>
          <w:tcPr>
            <w:tcW w:w="3676" w:type="dxa"/>
            <w:tcBorders>
              <w:top w:val="nil"/>
              <w:left w:val="nil"/>
              <w:bottom w:val="nil"/>
              <w:right w:val="nil"/>
            </w:tcBorders>
            <w:shd w:val="clear" w:color="auto" w:fill="auto"/>
            <w:noWrap/>
            <w:vAlign w:val="bottom"/>
            <w:hideMark/>
          </w:tcPr>
          <w:p w14:paraId="2C96AA9E"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Calculated Policy Level</w:t>
            </w:r>
          </w:p>
        </w:tc>
        <w:tc>
          <w:tcPr>
            <w:tcW w:w="1456" w:type="dxa"/>
            <w:tcBorders>
              <w:top w:val="nil"/>
              <w:left w:val="nil"/>
              <w:bottom w:val="nil"/>
              <w:right w:val="nil"/>
            </w:tcBorders>
            <w:shd w:val="clear" w:color="auto" w:fill="auto"/>
            <w:noWrap/>
            <w:vAlign w:val="bottom"/>
            <w:hideMark/>
          </w:tcPr>
          <w:p w14:paraId="2B1C4BDD"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$17,256,345 </w:t>
            </w:r>
          </w:p>
        </w:tc>
        <w:tc>
          <w:tcPr>
            <w:tcW w:w="1596" w:type="dxa"/>
            <w:tcBorders>
              <w:top w:val="nil"/>
              <w:left w:val="nil"/>
              <w:bottom w:val="nil"/>
              <w:right w:val="nil"/>
            </w:tcBorders>
            <w:shd w:val="clear" w:color="auto" w:fill="auto"/>
            <w:noWrap/>
            <w:vAlign w:val="bottom"/>
            <w:hideMark/>
          </w:tcPr>
          <w:p w14:paraId="7797164D"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$11,048,692 </w:t>
            </w:r>
          </w:p>
        </w:tc>
        <w:tc>
          <w:tcPr>
            <w:tcW w:w="1456" w:type="dxa"/>
            <w:tcBorders>
              <w:top w:val="nil"/>
              <w:left w:val="nil"/>
              <w:bottom w:val="nil"/>
              <w:right w:val="nil"/>
            </w:tcBorders>
            <w:shd w:val="clear" w:color="auto" w:fill="auto"/>
            <w:noWrap/>
            <w:vAlign w:val="bottom"/>
            <w:hideMark/>
          </w:tcPr>
          <w:p w14:paraId="7A3F90F0"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$28,305,038 </w:t>
            </w:r>
          </w:p>
        </w:tc>
      </w:tr>
      <w:tr w:rsidR="00C26629" w:rsidRPr="00C26629" w14:paraId="2075DE49" w14:textId="77777777" w:rsidTr="00C26629">
        <w:trPr>
          <w:divId w:val="2028360779"/>
          <w:trHeight w:val="315"/>
        </w:trPr>
        <w:tc>
          <w:tcPr>
            <w:tcW w:w="3676" w:type="dxa"/>
            <w:tcBorders>
              <w:top w:val="nil"/>
              <w:left w:val="nil"/>
              <w:bottom w:val="nil"/>
              <w:right w:val="nil"/>
            </w:tcBorders>
            <w:shd w:val="clear" w:color="auto" w:fill="auto"/>
            <w:noWrap/>
            <w:vAlign w:val="bottom"/>
            <w:hideMark/>
          </w:tcPr>
          <w:p w14:paraId="1A01167E" w14:textId="77777777" w:rsidR="00C26629" w:rsidRPr="00C26629" w:rsidRDefault="00C26629" w:rsidP="00C26629">
            <w:pPr>
              <w:spacing w:after="0" w:line="240" w:lineRule="auto"/>
              <w:rPr>
                <w:rFonts w:ascii="Calibri" w:eastAsia="Times New Roman" w:hAnsi="Calibri" w:cs="Calibri"/>
                <w:color w:val="000000"/>
              </w:rPr>
            </w:pPr>
            <w:r w:rsidRPr="00C26629">
              <w:rPr>
                <w:rFonts w:ascii="Calibri" w:eastAsia="Times New Roman" w:hAnsi="Calibri" w:cs="Calibri"/>
                <w:color w:val="000000"/>
              </w:rPr>
              <w:t>Actual General Reserve</w:t>
            </w:r>
          </w:p>
        </w:tc>
        <w:tc>
          <w:tcPr>
            <w:tcW w:w="1456" w:type="dxa"/>
            <w:tcBorders>
              <w:top w:val="nil"/>
              <w:left w:val="nil"/>
              <w:bottom w:val="nil"/>
              <w:right w:val="nil"/>
            </w:tcBorders>
            <w:shd w:val="clear" w:color="auto" w:fill="auto"/>
            <w:noWrap/>
            <w:vAlign w:val="bottom"/>
            <w:hideMark/>
          </w:tcPr>
          <w:p w14:paraId="36C89426"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$16,997,882 </w:t>
            </w:r>
          </w:p>
        </w:tc>
        <w:tc>
          <w:tcPr>
            <w:tcW w:w="1596" w:type="dxa"/>
            <w:tcBorders>
              <w:top w:val="nil"/>
              <w:left w:val="nil"/>
              <w:bottom w:val="nil"/>
              <w:right w:val="nil"/>
            </w:tcBorders>
            <w:shd w:val="clear" w:color="auto" w:fill="auto"/>
            <w:noWrap/>
            <w:vAlign w:val="bottom"/>
            <w:hideMark/>
          </w:tcPr>
          <w:p w14:paraId="47E84E5F"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$11,080,000 </w:t>
            </w:r>
          </w:p>
        </w:tc>
        <w:tc>
          <w:tcPr>
            <w:tcW w:w="1456" w:type="dxa"/>
            <w:tcBorders>
              <w:top w:val="nil"/>
              <w:left w:val="nil"/>
              <w:bottom w:val="nil"/>
              <w:right w:val="nil"/>
            </w:tcBorders>
            <w:shd w:val="clear" w:color="auto" w:fill="auto"/>
            <w:noWrap/>
            <w:vAlign w:val="bottom"/>
            <w:hideMark/>
          </w:tcPr>
          <w:p w14:paraId="361360D0" w14:textId="77777777" w:rsidR="00C26629" w:rsidRPr="00C26629" w:rsidRDefault="00C26629" w:rsidP="00C26629">
            <w:pPr>
              <w:spacing w:after="0" w:line="240" w:lineRule="auto"/>
              <w:jc w:val="right"/>
              <w:rPr>
                <w:rFonts w:ascii="Calibri" w:eastAsia="Times New Roman" w:hAnsi="Calibri" w:cs="Calibri"/>
                <w:color w:val="000000"/>
              </w:rPr>
            </w:pPr>
          </w:p>
        </w:tc>
      </w:tr>
      <w:tr w:rsidR="00C26629" w:rsidRPr="00C26629" w14:paraId="34082540" w14:textId="77777777" w:rsidTr="00C26629">
        <w:trPr>
          <w:divId w:val="2028360779"/>
          <w:trHeight w:val="300"/>
        </w:trPr>
        <w:tc>
          <w:tcPr>
            <w:tcW w:w="3676" w:type="dxa"/>
            <w:tcBorders>
              <w:top w:val="single" w:sz="8" w:space="0" w:color="auto"/>
              <w:left w:val="nil"/>
              <w:bottom w:val="nil"/>
              <w:right w:val="nil"/>
            </w:tcBorders>
            <w:shd w:val="clear" w:color="auto" w:fill="auto"/>
            <w:noWrap/>
            <w:vAlign w:val="bottom"/>
            <w:hideMark/>
          </w:tcPr>
          <w:p w14:paraId="64DD5E60" w14:textId="77777777" w:rsidR="00C26629" w:rsidRPr="00C26629" w:rsidRDefault="00C26629" w:rsidP="00C26629">
            <w:pPr>
              <w:spacing w:after="0" w:line="240" w:lineRule="auto"/>
              <w:rPr>
                <w:rFonts w:ascii="Calibri" w:eastAsia="Times New Roman" w:hAnsi="Calibri" w:cs="Calibri"/>
                <w:b/>
                <w:bCs/>
                <w:color w:val="000000"/>
              </w:rPr>
            </w:pPr>
            <w:r w:rsidRPr="00C26629">
              <w:rPr>
                <w:rFonts w:ascii="Calibri" w:eastAsia="Times New Roman" w:hAnsi="Calibri" w:cs="Calibri"/>
                <w:b/>
                <w:bCs/>
                <w:color w:val="000000"/>
              </w:rPr>
              <w:t>Difference from Policy Level</w:t>
            </w:r>
          </w:p>
        </w:tc>
        <w:tc>
          <w:tcPr>
            <w:tcW w:w="1456" w:type="dxa"/>
            <w:tcBorders>
              <w:top w:val="single" w:sz="8" w:space="0" w:color="auto"/>
              <w:left w:val="nil"/>
              <w:bottom w:val="nil"/>
              <w:right w:val="nil"/>
            </w:tcBorders>
            <w:shd w:val="clear" w:color="auto" w:fill="auto"/>
            <w:noWrap/>
            <w:vAlign w:val="bottom"/>
            <w:hideMark/>
          </w:tcPr>
          <w:p w14:paraId="1B7A6A22"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($258,463)</w:t>
            </w:r>
          </w:p>
        </w:tc>
        <w:tc>
          <w:tcPr>
            <w:tcW w:w="1596" w:type="dxa"/>
            <w:tcBorders>
              <w:top w:val="single" w:sz="8" w:space="0" w:color="auto"/>
              <w:left w:val="nil"/>
              <w:bottom w:val="nil"/>
              <w:right w:val="nil"/>
            </w:tcBorders>
            <w:shd w:val="clear" w:color="auto" w:fill="auto"/>
            <w:noWrap/>
            <w:vAlign w:val="bottom"/>
            <w:hideMark/>
          </w:tcPr>
          <w:p w14:paraId="42466B59"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 xml:space="preserve">$31,308 </w:t>
            </w:r>
          </w:p>
        </w:tc>
        <w:tc>
          <w:tcPr>
            <w:tcW w:w="1456" w:type="dxa"/>
            <w:tcBorders>
              <w:top w:val="single" w:sz="8" w:space="0" w:color="auto"/>
              <w:left w:val="nil"/>
              <w:bottom w:val="nil"/>
              <w:right w:val="nil"/>
            </w:tcBorders>
            <w:shd w:val="clear" w:color="auto" w:fill="auto"/>
            <w:noWrap/>
            <w:vAlign w:val="bottom"/>
            <w:hideMark/>
          </w:tcPr>
          <w:p w14:paraId="22911CBC" w14:textId="77777777" w:rsidR="00C26629" w:rsidRPr="00C26629" w:rsidRDefault="00C26629" w:rsidP="00C26629">
            <w:pPr>
              <w:spacing w:after="0" w:line="240" w:lineRule="auto"/>
              <w:jc w:val="right"/>
              <w:rPr>
                <w:rFonts w:ascii="Calibri" w:eastAsia="Times New Roman" w:hAnsi="Calibri" w:cs="Calibri"/>
                <w:color w:val="000000"/>
              </w:rPr>
            </w:pPr>
            <w:r w:rsidRPr="00C26629">
              <w:rPr>
                <w:rFonts w:ascii="Calibri" w:eastAsia="Times New Roman" w:hAnsi="Calibri" w:cs="Calibri"/>
                <w:color w:val="000000"/>
              </w:rPr>
              <w:t>($227,156)</w:t>
            </w:r>
          </w:p>
        </w:tc>
      </w:tr>
    </w:tbl>
    <w:p w14:paraId="294DE16F" w14:textId="2DB04C3B" w:rsidR="00650E6C" w:rsidRPr="000C0EC1" w:rsidRDefault="004C519A" w:rsidP="000C0EC1">
      <w:r>
        <w:fldChar w:fldCharType="end"/>
      </w:r>
    </w:p>
    <w:p w14:paraId="2BCE174C" w14:textId="77777777" w:rsidR="00CC1D35" w:rsidRPr="0007643E" w:rsidRDefault="00CC1D35" w:rsidP="00CC1D35">
      <w:pPr>
        <w:rPr>
          <w:b/>
          <w:sz w:val="24"/>
          <w:szCs w:val="24"/>
        </w:rPr>
      </w:pPr>
      <w:r w:rsidRPr="0007643E">
        <w:rPr>
          <w:b/>
          <w:sz w:val="24"/>
          <w:szCs w:val="24"/>
        </w:rPr>
        <w:t>Financial Projections – General Fund</w:t>
      </w:r>
    </w:p>
    <w:p w14:paraId="1C608C63" w14:textId="23A6B7C9" w:rsidR="00CC1D35" w:rsidRDefault="00CC1D35" w:rsidP="00CC1D35">
      <w:r>
        <w:t>The General Fund is the operating fund for the County, with most of t</w:t>
      </w:r>
      <w:r w:rsidR="004C519A">
        <w:t xml:space="preserve">he revenue coming from property </w:t>
      </w:r>
      <w:r>
        <w:t xml:space="preserve">tax, sales tax, and transient occupancy tax.  Table </w:t>
      </w:r>
      <w:r w:rsidR="00546430">
        <w:t>2</w:t>
      </w:r>
      <w:r>
        <w:t xml:space="preserve"> below </w:t>
      </w:r>
      <w:r w:rsidR="00546430">
        <w:t>shows the historical revenue and expenditures, while Table 3 shows projections for the next five years.</w:t>
      </w:r>
      <w:r>
        <w:t xml:space="preserve"> </w:t>
      </w:r>
      <w:r w:rsidR="004C519A">
        <w:t>Note that FY 2014-15 and 2015-16 show a substantial use of fund balance, as a result of costs associated with response and recovery from the 2014 Earthquake.</w:t>
      </w:r>
    </w:p>
    <w:p w14:paraId="3EF67A45" w14:textId="77777777" w:rsidR="00F77411" w:rsidRDefault="00F77411" w:rsidP="00CC1D35"/>
    <w:p w14:paraId="10BD8DC6" w14:textId="77777777" w:rsidR="00F77411" w:rsidRDefault="00F77411">
      <w:r>
        <w:br w:type="page"/>
      </w:r>
    </w:p>
    <w:p w14:paraId="4093E765" w14:textId="6732E8B9" w:rsidR="0042327E" w:rsidRDefault="00CC1D35" w:rsidP="0042327E">
      <w:r>
        <w:lastRenderedPageBreak/>
        <w:t xml:space="preserve">Table </w:t>
      </w:r>
      <w:r w:rsidR="00F77411">
        <w:t>2</w:t>
      </w:r>
      <w:r>
        <w:t>: Historical Actual General Fund Revenue and Expenses</w:t>
      </w:r>
    </w:p>
    <w:p w14:paraId="700D1685" w14:textId="3B05F8ED" w:rsidR="0016121A" w:rsidRDefault="0042327E" w:rsidP="0042327E">
      <w:r>
        <w:fldChar w:fldCharType="begin"/>
      </w:r>
      <w:r>
        <w:instrText xml:space="preserve"> LINK </w:instrText>
      </w:r>
      <w:r w:rsidR="000B3C04">
        <w:instrText xml:space="preserve">Excel.Sheet.12 "\\\\data2\\CAO\\!-SHARED\\BUDGET\\FY 2020 BUDGET\\5 year fiscal forecasts\\Report tables 2019 v2.xlsx" "Table 1 Historical!R1C1:R18C7" </w:instrText>
      </w:r>
      <w:r>
        <w:instrText xml:space="preserve">\a \f 5 \h  \* MERGEFORMAT </w:instrText>
      </w:r>
      <w:r>
        <w:fldChar w:fldCharType="separate"/>
      </w:r>
    </w:p>
    <w:tbl>
      <w:tblPr>
        <w:tblStyle w:val="TableGrid"/>
        <w:tblW w:w="9680" w:type="dxa"/>
        <w:tblLook w:val="04A0" w:firstRow="1" w:lastRow="0" w:firstColumn="1" w:lastColumn="0" w:noHBand="0" w:noVBand="1"/>
      </w:tblPr>
      <w:tblGrid>
        <w:gridCol w:w="3480"/>
        <w:gridCol w:w="1333"/>
        <w:gridCol w:w="1333"/>
        <w:gridCol w:w="1333"/>
        <w:gridCol w:w="1333"/>
        <w:gridCol w:w="1333"/>
      </w:tblGrid>
      <w:tr w:rsidR="0016121A" w:rsidRPr="0016121A" w14:paraId="15E4C66F" w14:textId="77777777" w:rsidTr="0016121A">
        <w:trPr>
          <w:divId w:val="2017539159"/>
          <w:trHeight w:val="300"/>
        </w:trPr>
        <w:tc>
          <w:tcPr>
            <w:tcW w:w="3480" w:type="dxa"/>
            <w:noWrap/>
            <w:hideMark/>
          </w:tcPr>
          <w:p w14:paraId="0B2DC194" w14:textId="21DE8124" w:rsidR="0016121A" w:rsidRPr="0016121A" w:rsidRDefault="0016121A" w:rsidP="0016121A"/>
        </w:tc>
        <w:tc>
          <w:tcPr>
            <w:tcW w:w="1240" w:type="dxa"/>
            <w:noWrap/>
            <w:hideMark/>
          </w:tcPr>
          <w:p w14:paraId="75680A74" w14:textId="77777777" w:rsidR="0016121A" w:rsidRPr="0016121A" w:rsidRDefault="0016121A" w:rsidP="0016121A">
            <w:r w:rsidRPr="0016121A">
              <w:t>FY 13-14</w:t>
            </w:r>
          </w:p>
        </w:tc>
        <w:tc>
          <w:tcPr>
            <w:tcW w:w="1240" w:type="dxa"/>
            <w:noWrap/>
            <w:hideMark/>
          </w:tcPr>
          <w:p w14:paraId="3365ED1E" w14:textId="77777777" w:rsidR="0016121A" w:rsidRPr="0016121A" w:rsidRDefault="0016121A" w:rsidP="0016121A">
            <w:r w:rsidRPr="0016121A">
              <w:t>FY 14-15</w:t>
            </w:r>
          </w:p>
        </w:tc>
        <w:tc>
          <w:tcPr>
            <w:tcW w:w="1240" w:type="dxa"/>
            <w:noWrap/>
            <w:hideMark/>
          </w:tcPr>
          <w:p w14:paraId="68465DCE" w14:textId="77777777" w:rsidR="0016121A" w:rsidRPr="0016121A" w:rsidRDefault="0016121A" w:rsidP="0016121A">
            <w:r w:rsidRPr="0016121A">
              <w:t xml:space="preserve"> FY 15-16 </w:t>
            </w:r>
          </w:p>
        </w:tc>
        <w:tc>
          <w:tcPr>
            <w:tcW w:w="1240" w:type="dxa"/>
            <w:noWrap/>
            <w:hideMark/>
          </w:tcPr>
          <w:p w14:paraId="6E8993BB" w14:textId="77777777" w:rsidR="0016121A" w:rsidRPr="0016121A" w:rsidRDefault="0016121A" w:rsidP="0016121A">
            <w:r w:rsidRPr="0016121A">
              <w:t xml:space="preserve"> FY 16-17 </w:t>
            </w:r>
          </w:p>
        </w:tc>
        <w:tc>
          <w:tcPr>
            <w:tcW w:w="1240" w:type="dxa"/>
            <w:noWrap/>
            <w:hideMark/>
          </w:tcPr>
          <w:p w14:paraId="2EF55C5A" w14:textId="77777777" w:rsidR="0016121A" w:rsidRPr="0016121A" w:rsidRDefault="0016121A" w:rsidP="0016121A">
            <w:r w:rsidRPr="0016121A">
              <w:t xml:space="preserve"> FY 17-18 </w:t>
            </w:r>
          </w:p>
        </w:tc>
      </w:tr>
      <w:tr w:rsidR="0016121A" w:rsidRPr="0016121A" w14:paraId="326B89A6" w14:textId="77777777" w:rsidTr="0016121A">
        <w:trPr>
          <w:divId w:val="2017539159"/>
          <w:trHeight w:val="300"/>
        </w:trPr>
        <w:tc>
          <w:tcPr>
            <w:tcW w:w="3480" w:type="dxa"/>
            <w:noWrap/>
            <w:hideMark/>
          </w:tcPr>
          <w:p w14:paraId="049D4CB8" w14:textId="77777777" w:rsidR="0016121A" w:rsidRPr="0016121A" w:rsidRDefault="0016121A" w:rsidP="0016121A">
            <w:pPr>
              <w:rPr>
                <w:b/>
                <w:bCs/>
              </w:rPr>
            </w:pPr>
            <w:r w:rsidRPr="0016121A">
              <w:rPr>
                <w:b/>
                <w:bCs/>
              </w:rPr>
              <w:t>Revenues</w:t>
            </w:r>
          </w:p>
        </w:tc>
        <w:tc>
          <w:tcPr>
            <w:tcW w:w="1240" w:type="dxa"/>
            <w:noWrap/>
            <w:hideMark/>
          </w:tcPr>
          <w:p w14:paraId="2194F1C2" w14:textId="77777777" w:rsidR="0016121A" w:rsidRPr="0016121A" w:rsidRDefault="0016121A" w:rsidP="0016121A">
            <w:pPr>
              <w:rPr>
                <w:b/>
                <w:bCs/>
              </w:rPr>
            </w:pPr>
          </w:p>
        </w:tc>
        <w:tc>
          <w:tcPr>
            <w:tcW w:w="1240" w:type="dxa"/>
            <w:noWrap/>
            <w:hideMark/>
          </w:tcPr>
          <w:p w14:paraId="6A0B5AD1" w14:textId="77777777" w:rsidR="0016121A" w:rsidRPr="0016121A" w:rsidRDefault="0016121A" w:rsidP="0016121A"/>
        </w:tc>
        <w:tc>
          <w:tcPr>
            <w:tcW w:w="1240" w:type="dxa"/>
            <w:noWrap/>
            <w:hideMark/>
          </w:tcPr>
          <w:p w14:paraId="50A7FEBC" w14:textId="77777777" w:rsidR="0016121A" w:rsidRPr="0016121A" w:rsidRDefault="0016121A" w:rsidP="0016121A"/>
        </w:tc>
        <w:tc>
          <w:tcPr>
            <w:tcW w:w="1240" w:type="dxa"/>
            <w:noWrap/>
            <w:hideMark/>
          </w:tcPr>
          <w:p w14:paraId="57E440F8" w14:textId="77777777" w:rsidR="0016121A" w:rsidRPr="0016121A" w:rsidRDefault="0016121A" w:rsidP="0016121A"/>
        </w:tc>
        <w:tc>
          <w:tcPr>
            <w:tcW w:w="1240" w:type="dxa"/>
            <w:noWrap/>
            <w:hideMark/>
          </w:tcPr>
          <w:p w14:paraId="6A9D5FA7" w14:textId="77777777" w:rsidR="0016121A" w:rsidRPr="0016121A" w:rsidRDefault="0016121A" w:rsidP="0016121A"/>
        </w:tc>
      </w:tr>
      <w:tr w:rsidR="0016121A" w:rsidRPr="0016121A" w14:paraId="719F4714" w14:textId="77777777" w:rsidTr="0016121A">
        <w:trPr>
          <w:divId w:val="2017539159"/>
          <w:trHeight w:val="300"/>
        </w:trPr>
        <w:tc>
          <w:tcPr>
            <w:tcW w:w="3480" w:type="dxa"/>
            <w:noWrap/>
            <w:hideMark/>
          </w:tcPr>
          <w:p w14:paraId="628C6212" w14:textId="77777777" w:rsidR="0016121A" w:rsidRPr="0016121A" w:rsidRDefault="0016121A" w:rsidP="0016121A">
            <w:r w:rsidRPr="0016121A">
              <w:t>Property Taxes</w:t>
            </w:r>
          </w:p>
        </w:tc>
        <w:tc>
          <w:tcPr>
            <w:tcW w:w="1240" w:type="dxa"/>
            <w:noWrap/>
            <w:hideMark/>
          </w:tcPr>
          <w:p w14:paraId="3E9B324B" w14:textId="77777777" w:rsidR="0016121A" w:rsidRPr="0016121A" w:rsidRDefault="0016121A" w:rsidP="0016121A">
            <w:pPr>
              <w:jc w:val="right"/>
            </w:pPr>
            <w:r w:rsidRPr="0016121A">
              <w:t xml:space="preserve">70,153,468 </w:t>
            </w:r>
          </w:p>
        </w:tc>
        <w:tc>
          <w:tcPr>
            <w:tcW w:w="1240" w:type="dxa"/>
            <w:noWrap/>
            <w:hideMark/>
          </w:tcPr>
          <w:p w14:paraId="62E53458" w14:textId="77777777" w:rsidR="0016121A" w:rsidRPr="0016121A" w:rsidRDefault="0016121A" w:rsidP="0016121A">
            <w:pPr>
              <w:jc w:val="right"/>
            </w:pPr>
            <w:r w:rsidRPr="0016121A">
              <w:t xml:space="preserve">74,402,734 </w:t>
            </w:r>
          </w:p>
        </w:tc>
        <w:tc>
          <w:tcPr>
            <w:tcW w:w="1240" w:type="dxa"/>
            <w:noWrap/>
            <w:hideMark/>
          </w:tcPr>
          <w:p w14:paraId="0E1610A7" w14:textId="77777777" w:rsidR="0016121A" w:rsidRPr="0016121A" w:rsidRDefault="0016121A" w:rsidP="0016121A">
            <w:pPr>
              <w:jc w:val="right"/>
            </w:pPr>
            <w:r w:rsidRPr="0016121A">
              <w:t xml:space="preserve">79,054,852 </w:t>
            </w:r>
          </w:p>
        </w:tc>
        <w:tc>
          <w:tcPr>
            <w:tcW w:w="1240" w:type="dxa"/>
            <w:noWrap/>
            <w:hideMark/>
          </w:tcPr>
          <w:p w14:paraId="7F8993BB" w14:textId="77777777" w:rsidR="0016121A" w:rsidRPr="0016121A" w:rsidRDefault="0016121A" w:rsidP="0016121A">
            <w:pPr>
              <w:jc w:val="right"/>
            </w:pPr>
            <w:r w:rsidRPr="0016121A">
              <w:t xml:space="preserve">80,319,749 </w:t>
            </w:r>
          </w:p>
        </w:tc>
        <w:tc>
          <w:tcPr>
            <w:tcW w:w="1240" w:type="dxa"/>
            <w:noWrap/>
            <w:hideMark/>
          </w:tcPr>
          <w:p w14:paraId="5BF56E8F" w14:textId="77777777" w:rsidR="0016121A" w:rsidRPr="0016121A" w:rsidRDefault="0016121A" w:rsidP="0016121A">
            <w:pPr>
              <w:jc w:val="right"/>
            </w:pPr>
            <w:r w:rsidRPr="0016121A">
              <w:t xml:space="preserve">87,972,451 </w:t>
            </w:r>
          </w:p>
        </w:tc>
      </w:tr>
      <w:tr w:rsidR="0016121A" w:rsidRPr="0016121A" w14:paraId="69BC4724" w14:textId="77777777" w:rsidTr="0016121A">
        <w:trPr>
          <w:divId w:val="2017539159"/>
          <w:trHeight w:val="300"/>
        </w:trPr>
        <w:tc>
          <w:tcPr>
            <w:tcW w:w="3480" w:type="dxa"/>
            <w:noWrap/>
            <w:hideMark/>
          </w:tcPr>
          <w:p w14:paraId="0676B006" w14:textId="77777777" w:rsidR="0016121A" w:rsidRPr="0016121A" w:rsidRDefault="0016121A" w:rsidP="0016121A">
            <w:r w:rsidRPr="0016121A">
              <w:t>Sales Tax</w:t>
            </w:r>
          </w:p>
        </w:tc>
        <w:tc>
          <w:tcPr>
            <w:tcW w:w="1240" w:type="dxa"/>
            <w:noWrap/>
            <w:hideMark/>
          </w:tcPr>
          <w:p w14:paraId="124B7D12" w14:textId="77777777" w:rsidR="0016121A" w:rsidRPr="0016121A" w:rsidRDefault="0016121A" w:rsidP="0016121A">
            <w:pPr>
              <w:jc w:val="right"/>
            </w:pPr>
            <w:r w:rsidRPr="0016121A">
              <w:t xml:space="preserve">6,724,739 </w:t>
            </w:r>
          </w:p>
        </w:tc>
        <w:tc>
          <w:tcPr>
            <w:tcW w:w="1240" w:type="dxa"/>
            <w:noWrap/>
            <w:hideMark/>
          </w:tcPr>
          <w:p w14:paraId="7509D96D" w14:textId="77777777" w:rsidR="0016121A" w:rsidRPr="0016121A" w:rsidRDefault="0016121A" w:rsidP="0016121A">
            <w:pPr>
              <w:jc w:val="right"/>
            </w:pPr>
            <w:r w:rsidRPr="0016121A">
              <w:t xml:space="preserve">6,970,464 </w:t>
            </w:r>
          </w:p>
        </w:tc>
        <w:tc>
          <w:tcPr>
            <w:tcW w:w="1240" w:type="dxa"/>
            <w:noWrap/>
            <w:hideMark/>
          </w:tcPr>
          <w:p w14:paraId="15E72C27" w14:textId="77777777" w:rsidR="0016121A" w:rsidRPr="0016121A" w:rsidRDefault="0016121A" w:rsidP="0016121A">
            <w:pPr>
              <w:jc w:val="right"/>
            </w:pPr>
            <w:r w:rsidRPr="0016121A">
              <w:t xml:space="preserve">9,165,380 </w:t>
            </w:r>
          </w:p>
        </w:tc>
        <w:tc>
          <w:tcPr>
            <w:tcW w:w="1240" w:type="dxa"/>
            <w:noWrap/>
            <w:hideMark/>
          </w:tcPr>
          <w:p w14:paraId="609589E4" w14:textId="77777777" w:rsidR="0016121A" w:rsidRPr="0016121A" w:rsidRDefault="0016121A" w:rsidP="0016121A">
            <w:pPr>
              <w:jc w:val="right"/>
            </w:pPr>
            <w:r w:rsidRPr="0016121A">
              <w:t xml:space="preserve">10,498,339 </w:t>
            </w:r>
          </w:p>
        </w:tc>
        <w:tc>
          <w:tcPr>
            <w:tcW w:w="1240" w:type="dxa"/>
            <w:noWrap/>
            <w:hideMark/>
          </w:tcPr>
          <w:p w14:paraId="63D7D2BB" w14:textId="77777777" w:rsidR="0016121A" w:rsidRPr="0016121A" w:rsidRDefault="0016121A" w:rsidP="0016121A">
            <w:pPr>
              <w:jc w:val="right"/>
            </w:pPr>
            <w:r w:rsidRPr="0016121A">
              <w:t xml:space="preserve">10,630,819 </w:t>
            </w:r>
          </w:p>
        </w:tc>
      </w:tr>
      <w:tr w:rsidR="0016121A" w:rsidRPr="0016121A" w14:paraId="26E835BF" w14:textId="77777777" w:rsidTr="0016121A">
        <w:trPr>
          <w:divId w:val="2017539159"/>
          <w:trHeight w:val="300"/>
        </w:trPr>
        <w:tc>
          <w:tcPr>
            <w:tcW w:w="3480" w:type="dxa"/>
            <w:noWrap/>
            <w:hideMark/>
          </w:tcPr>
          <w:p w14:paraId="77022FE7" w14:textId="77777777" w:rsidR="0016121A" w:rsidRPr="0016121A" w:rsidRDefault="0016121A" w:rsidP="0016121A">
            <w:r w:rsidRPr="0016121A">
              <w:t>Transient Occupancy Tax</w:t>
            </w:r>
          </w:p>
        </w:tc>
        <w:tc>
          <w:tcPr>
            <w:tcW w:w="1240" w:type="dxa"/>
            <w:noWrap/>
            <w:hideMark/>
          </w:tcPr>
          <w:p w14:paraId="29F4AC7A" w14:textId="77777777" w:rsidR="0016121A" w:rsidRPr="0016121A" w:rsidRDefault="0016121A" w:rsidP="0016121A">
            <w:pPr>
              <w:jc w:val="right"/>
            </w:pPr>
            <w:r w:rsidRPr="0016121A">
              <w:t xml:space="preserve">10,543,464 </w:t>
            </w:r>
          </w:p>
        </w:tc>
        <w:tc>
          <w:tcPr>
            <w:tcW w:w="1240" w:type="dxa"/>
            <w:noWrap/>
            <w:hideMark/>
          </w:tcPr>
          <w:p w14:paraId="2A898C07" w14:textId="77777777" w:rsidR="0016121A" w:rsidRPr="0016121A" w:rsidRDefault="0016121A" w:rsidP="0016121A">
            <w:pPr>
              <w:jc w:val="right"/>
            </w:pPr>
            <w:r w:rsidRPr="0016121A">
              <w:t xml:space="preserve">11,988,512 </w:t>
            </w:r>
          </w:p>
        </w:tc>
        <w:tc>
          <w:tcPr>
            <w:tcW w:w="1240" w:type="dxa"/>
            <w:noWrap/>
            <w:hideMark/>
          </w:tcPr>
          <w:p w14:paraId="79CDBBDC" w14:textId="77777777" w:rsidR="0016121A" w:rsidRPr="0016121A" w:rsidRDefault="0016121A" w:rsidP="0016121A">
            <w:pPr>
              <w:jc w:val="right"/>
            </w:pPr>
            <w:r w:rsidRPr="0016121A">
              <w:t xml:space="preserve">12,617,489 </w:t>
            </w:r>
          </w:p>
        </w:tc>
        <w:tc>
          <w:tcPr>
            <w:tcW w:w="1240" w:type="dxa"/>
            <w:noWrap/>
            <w:hideMark/>
          </w:tcPr>
          <w:p w14:paraId="64ACE686" w14:textId="77777777" w:rsidR="0016121A" w:rsidRPr="0016121A" w:rsidRDefault="0016121A" w:rsidP="0016121A">
            <w:pPr>
              <w:jc w:val="right"/>
            </w:pPr>
            <w:r w:rsidRPr="0016121A">
              <w:t xml:space="preserve">13,703,499 </w:t>
            </w:r>
          </w:p>
        </w:tc>
        <w:tc>
          <w:tcPr>
            <w:tcW w:w="1240" w:type="dxa"/>
            <w:noWrap/>
            <w:hideMark/>
          </w:tcPr>
          <w:p w14:paraId="58148968" w14:textId="77777777" w:rsidR="0016121A" w:rsidRPr="0016121A" w:rsidRDefault="0016121A" w:rsidP="0016121A">
            <w:pPr>
              <w:jc w:val="right"/>
            </w:pPr>
            <w:r w:rsidRPr="0016121A">
              <w:t xml:space="preserve">12,620,682 </w:t>
            </w:r>
          </w:p>
        </w:tc>
      </w:tr>
      <w:tr w:rsidR="0016121A" w:rsidRPr="0016121A" w14:paraId="5FA7912A" w14:textId="77777777" w:rsidTr="0016121A">
        <w:trPr>
          <w:divId w:val="2017539159"/>
          <w:trHeight w:val="300"/>
        </w:trPr>
        <w:tc>
          <w:tcPr>
            <w:tcW w:w="3480" w:type="dxa"/>
            <w:noWrap/>
            <w:hideMark/>
          </w:tcPr>
          <w:p w14:paraId="3562A77F" w14:textId="77777777" w:rsidR="0016121A" w:rsidRPr="0016121A" w:rsidRDefault="0016121A" w:rsidP="0016121A">
            <w:r w:rsidRPr="0016121A">
              <w:t>Property Transfer Tax</w:t>
            </w:r>
          </w:p>
        </w:tc>
        <w:tc>
          <w:tcPr>
            <w:tcW w:w="1240" w:type="dxa"/>
            <w:noWrap/>
            <w:hideMark/>
          </w:tcPr>
          <w:p w14:paraId="24C07513" w14:textId="77777777" w:rsidR="0016121A" w:rsidRPr="0016121A" w:rsidRDefault="0016121A" w:rsidP="0016121A">
            <w:pPr>
              <w:jc w:val="right"/>
            </w:pPr>
            <w:r w:rsidRPr="0016121A">
              <w:t xml:space="preserve">1,566,961 </w:t>
            </w:r>
          </w:p>
        </w:tc>
        <w:tc>
          <w:tcPr>
            <w:tcW w:w="1240" w:type="dxa"/>
            <w:noWrap/>
            <w:hideMark/>
          </w:tcPr>
          <w:p w14:paraId="06582DC0" w14:textId="77777777" w:rsidR="0016121A" w:rsidRPr="0016121A" w:rsidRDefault="0016121A" w:rsidP="0016121A">
            <w:pPr>
              <w:jc w:val="right"/>
            </w:pPr>
            <w:r w:rsidRPr="0016121A">
              <w:t xml:space="preserve">1,806,598 </w:t>
            </w:r>
          </w:p>
        </w:tc>
        <w:tc>
          <w:tcPr>
            <w:tcW w:w="1240" w:type="dxa"/>
            <w:noWrap/>
            <w:hideMark/>
          </w:tcPr>
          <w:p w14:paraId="7FDFDC0A" w14:textId="77777777" w:rsidR="0016121A" w:rsidRPr="0016121A" w:rsidRDefault="0016121A" w:rsidP="0016121A">
            <w:pPr>
              <w:jc w:val="right"/>
            </w:pPr>
            <w:r w:rsidRPr="0016121A">
              <w:t xml:space="preserve">2,004,493 </w:t>
            </w:r>
          </w:p>
        </w:tc>
        <w:tc>
          <w:tcPr>
            <w:tcW w:w="1240" w:type="dxa"/>
            <w:noWrap/>
            <w:hideMark/>
          </w:tcPr>
          <w:p w14:paraId="4A095BCD" w14:textId="77777777" w:rsidR="0016121A" w:rsidRPr="0016121A" w:rsidRDefault="0016121A" w:rsidP="0016121A">
            <w:pPr>
              <w:jc w:val="right"/>
            </w:pPr>
            <w:r w:rsidRPr="0016121A">
              <w:t xml:space="preserve">2,440,702 </w:t>
            </w:r>
          </w:p>
        </w:tc>
        <w:tc>
          <w:tcPr>
            <w:tcW w:w="1240" w:type="dxa"/>
            <w:noWrap/>
            <w:hideMark/>
          </w:tcPr>
          <w:p w14:paraId="64139E2A" w14:textId="77777777" w:rsidR="0016121A" w:rsidRPr="0016121A" w:rsidRDefault="0016121A" w:rsidP="0016121A">
            <w:pPr>
              <w:jc w:val="right"/>
            </w:pPr>
            <w:r w:rsidRPr="0016121A">
              <w:t xml:space="preserve">1,938,501 </w:t>
            </w:r>
          </w:p>
        </w:tc>
      </w:tr>
      <w:tr w:rsidR="0016121A" w:rsidRPr="0016121A" w14:paraId="34110FB1" w14:textId="77777777" w:rsidTr="0016121A">
        <w:trPr>
          <w:divId w:val="2017539159"/>
          <w:trHeight w:val="300"/>
        </w:trPr>
        <w:tc>
          <w:tcPr>
            <w:tcW w:w="3480" w:type="dxa"/>
            <w:noWrap/>
            <w:hideMark/>
          </w:tcPr>
          <w:p w14:paraId="3A78E547" w14:textId="77777777" w:rsidR="0016121A" w:rsidRPr="0016121A" w:rsidRDefault="0016121A" w:rsidP="0016121A">
            <w:r w:rsidRPr="0016121A">
              <w:t>Indirect Cost Allocation</w:t>
            </w:r>
          </w:p>
        </w:tc>
        <w:tc>
          <w:tcPr>
            <w:tcW w:w="1240" w:type="dxa"/>
            <w:noWrap/>
            <w:hideMark/>
          </w:tcPr>
          <w:p w14:paraId="4B00B9A5" w14:textId="77777777" w:rsidR="0016121A" w:rsidRPr="0016121A" w:rsidRDefault="0016121A" w:rsidP="0016121A">
            <w:pPr>
              <w:jc w:val="right"/>
            </w:pPr>
            <w:r w:rsidRPr="0016121A">
              <w:t xml:space="preserve">6,189,071 </w:t>
            </w:r>
          </w:p>
        </w:tc>
        <w:tc>
          <w:tcPr>
            <w:tcW w:w="1240" w:type="dxa"/>
            <w:noWrap/>
            <w:hideMark/>
          </w:tcPr>
          <w:p w14:paraId="75DEDB82" w14:textId="77777777" w:rsidR="0016121A" w:rsidRPr="0016121A" w:rsidRDefault="0016121A" w:rsidP="0016121A">
            <w:pPr>
              <w:jc w:val="right"/>
            </w:pPr>
            <w:r w:rsidRPr="0016121A">
              <w:t xml:space="preserve">6,203,475 </w:t>
            </w:r>
          </w:p>
        </w:tc>
        <w:tc>
          <w:tcPr>
            <w:tcW w:w="1240" w:type="dxa"/>
            <w:noWrap/>
            <w:hideMark/>
          </w:tcPr>
          <w:p w14:paraId="01981200" w14:textId="77777777" w:rsidR="0016121A" w:rsidRPr="0016121A" w:rsidRDefault="0016121A" w:rsidP="0016121A">
            <w:pPr>
              <w:jc w:val="right"/>
            </w:pPr>
            <w:r w:rsidRPr="0016121A">
              <w:t xml:space="preserve">6,922,925 </w:t>
            </w:r>
          </w:p>
        </w:tc>
        <w:tc>
          <w:tcPr>
            <w:tcW w:w="1240" w:type="dxa"/>
            <w:noWrap/>
            <w:hideMark/>
          </w:tcPr>
          <w:p w14:paraId="41F74292" w14:textId="77777777" w:rsidR="0016121A" w:rsidRPr="0016121A" w:rsidRDefault="0016121A" w:rsidP="0016121A">
            <w:pPr>
              <w:jc w:val="right"/>
            </w:pPr>
            <w:r w:rsidRPr="0016121A">
              <w:t xml:space="preserve">3,327,911 </w:t>
            </w:r>
          </w:p>
        </w:tc>
        <w:tc>
          <w:tcPr>
            <w:tcW w:w="1240" w:type="dxa"/>
            <w:noWrap/>
            <w:hideMark/>
          </w:tcPr>
          <w:p w14:paraId="45C1BA33" w14:textId="77777777" w:rsidR="0016121A" w:rsidRPr="0016121A" w:rsidRDefault="0016121A" w:rsidP="0016121A">
            <w:pPr>
              <w:jc w:val="right"/>
            </w:pPr>
            <w:r w:rsidRPr="0016121A">
              <w:t xml:space="preserve">5,106,284 </w:t>
            </w:r>
          </w:p>
        </w:tc>
      </w:tr>
      <w:tr w:rsidR="0016121A" w:rsidRPr="0016121A" w14:paraId="6E692CE6" w14:textId="77777777" w:rsidTr="0016121A">
        <w:trPr>
          <w:divId w:val="2017539159"/>
          <w:trHeight w:val="300"/>
        </w:trPr>
        <w:tc>
          <w:tcPr>
            <w:tcW w:w="3480" w:type="dxa"/>
            <w:noWrap/>
            <w:hideMark/>
          </w:tcPr>
          <w:p w14:paraId="0D93D8FD" w14:textId="77777777" w:rsidR="0016121A" w:rsidRPr="0016121A" w:rsidRDefault="0016121A" w:rsidP="0016121A">
            <w:r w:rsidRPr="0016121A">
              <w:t>Excess ERAF</w:t>
            </w:r>
          </w:p>
        </w:tc>
        <w:tc>
          <w:tcPr>
            <w:tcW w:w="1240" w:type="dxa"/>
            <w:noWrap/>
            <w:hideMark/>
          </w:tcPr>
          <w:p w14:paraId="7BF813A9" w14:textId="77777777" w:rsidR="0016121A" w:rsidRPr="0016121A" w:rsidRDefault="0016121A" w:rsidP="0016121A">
            <w:pPr>
              <w:jc w:val="right"/>
            </w:pPr>
            <w:r w:rsidRPr="0016121A">
              <w:t xml:space="preserve">12,139,610 </w:t>
            </w:r>
          </w:p>
        </w:tc>
        <w:tc>
          <w:tcPr>
            <w:tcW w:w="1240" w:type="dxa"/>
            <w:noWrap/>
            <w:hideMark/>
          </w:tcPr>
          <w:p w14:paraId="77172B9C" w14:textId="77777777" w:rsidR="0016121A" w:rsidRPr="0016121A" w:rsidRDefault="0016121A" w:rsidP="0016121A">
            <w:pPr>
              <w:jc w:val="right"/>
            </w:pPr>
            <w:r w:rsidRPr="0016121A">
              <w:t xml:space="preserve">9,916,395 </w:t>
            </w:r>
          </w:p>
        </w:tc>
        <w:tc>
          <w:tcPr>
            <w:tcW w:w="1240" w:type="dxa"/>
            <w:noWrap/>
            <w:hideMark/>
          </w:tcPr>
          <w:p w14:paraId="4EF0EB32" w14:textId="77777777" w:rsidR="0016121A" w:rsidRPr="0016121A" w:rsidRDefault="0016121A" w:rsidP="0016121A">
            <w:pPr>
              <w:jc w:val="right"/>
            </w:pPr>
            <w:r w:rsidRPr="0016121A">
              <w:t xml:space="preserve">9,816,259 </w:t>
            </w:r>
          </w:p>
        </w:tc>
        <w:tc>
          <w:tcPr>
            <w:tcW w:w="1240" w:type="dxa"/>
            <w:noWrap/>
            <w:hideMark/>
          </w:tcPr>
          <w:p w14:paraId="0B7BA9D2" w14:textId="77777777" w:rsidR="0016121A" w:rsidRPr="0016121A" w:rsidRDefault="0016121A" w:rsidP="0016121A">
            <w:pPr>
              <w:jc w:val="right"/>
            </w:pPr>
            <w:r w:rsidRPr="0016121A">
              <w:t xml:space="preserve">5,566,528 </w:t>
            </w:r>
          </w:p>
        </w:tc>
        <w:tc>
          <w:tcPr>
            <w:tcW w:w="1240" w:type="dxa"/>
            <w:noWrap/>
            <w:hideMark/>
          </w:tcPr>
          <w:p w14:paraId="222E89CC" w14:textId="77777777" w:rsidR="0016121A" w:rsidRPr="0016121A" w:rsidRDefault="0016121A" w:rsidP="0016121A">
            <w:pPr>
              <w:jc w:val="right"/>
            </w:pPr>
            <w:r w:rsidRPr="0016121A">
              <w:t xml:space="preserve">20,062,259 </w:t>
            </w:r>
          </w:p>
        </w:tc>
      </w:tr>
      <w:tr w:rsidR="0016121A" w:rsidRPr="0016121A" w14:paraId="6DDDB47D" w14:textId="77777777" w:rsidTr="0016121A">
        <w:trPr>
          <w:divId w:val="2017539159"/>
          <w:trHeight w:val="300"/>
        </w:trPr>
        <w:tc>
          <w:tcPr>
            <w:tcW w:w="3480" w:type="dxa"/>
            <w:noWrap/>
            <w:hideMark/>
          </w:tcPr>
          <w:p w14:paraId="53EC72EF" w14:textId="77777777" w:rsidR="0016121A" w:rsidRPr="0016121A" w:rsidRDefault="0016121A" w:rsidP="0016121A">
            <w:r w:rsidRPr="0016121A">
              <w:t>Other Revenues</w:t>
            </w:r>
          </w:p>
        </w:tc>
        <w:tc>
          <w:tcPr>
            <w:tcW w:w="1240" w:type="dxa"/>
            <w:noWrap/>
            <w:hideMark/>
          </w:tcPr>
          <w:p w14:paraId="31020C92" w14:textId="77777777" w:rsidR="0016121A" w:rsidRPr="0016121A" w:rsidRDefault="0016121A" w:rsidP="0016121A">
            <w:pPr>
              <w:jc w:val="right"/>
            </w:pPr>
            <w:r w:rsidRPr="0016121A">
              <w:t xml:space="preserve">66,255,708 </w:t>
            </w:r>
          </w:p>
        </w:tc>
        <w:tc>
          <w:tcPr>
            <w:tcW w:w="1240" w:type="dxa"/>
            <w:noWrap/>
            <w:hideMark/>
          </w:tcPr>
          <w:p w14:paraId="36A91D66" w14:textId="77777777" w:rsidR="0016121A" w:rsidRPr="0016121A" w:rsidRDefault="0016121A" w:rsidP="0016121A">
            <w:pPr>
              <w:jc w:val="right"/>
            </w:pPr>
            <w:r w:rsidRPr="0016121A">
              <w:t xml:space="preserve">81,216,989 </w:t>
            </w:r>
          </w:p>
        </w:tc>
        <w:tc>
          <w:tcPr>
            <w:tcW w:w="1240" w:type="dxa"/>
            <w:noWrap/>
            <w:hideMark/>
          </w:tcPr>
          <w:p w14:paraId="10D99C29" w14:textId="77777777" w:rsidR="0016121A" w:rsidRPr="0016121A" w:rsidRDefault="0016121A" w:rsidP="0016121A">
            <w:pPr>
              <w:jc w:val="right"/>
            </w:pPr>
            <w:r w:rsidRPr="0016121A">
              <w:t xml:space="preserve">78,987,943 </w:t>
            </w:r>
          </w:p>
        </w:tc>
        <w:tc>
          <w:tcPr>
            <w:tcW w:w="1240" w:type="dxa"/>
            <w:noWrap/>
            <w:hideMark/>
          </w:tcPr>
          <w:p w14:paraId="07489D07" w14:textId="77777777" w:rsidR="0016121A" w:rsidRPr="0016121A" w:rsidRDefault="0016121A" w:rsidP="0016121A">
            <w:pPr>
              <w:jc w:val="right"/>
            </w:pPr>
            <w:r w:rsidRPr="0016121A">
              <w:t xml:space="preserve">81,885,037 </w:t>
            </w:r>
          </w:p>
        </w:tc>
        <w:tc>
          <w:tcPr>
            <w:tcW w:w="1240" w:type="dxa"/>
            <w:noWrap/>
            <w:hideMark/>
          </w:tcPr>
          <w:p w14:paraId="07BCB7A4" w14:textId="77777777" w:rsidR="0016121A" w:rsidRPr="0016121A" w:rsidRDefault="0016121A" w:rsidP="0016121A">
            <w:pPr>
              <w:jc w:val="right"/>
            </w:pPr>
            <w:r w:rsidRPr="0016121A">
              <w:t xml:space="preserve">93,985,474 </w:t>
            </w:r>
          </w:p>
        </w:tc>
      </w:tr>
      <w:tr w:rsidR="0016121A" w:rsidRPr="0016121A" w14:paraId="4DF541BF" w14:textId="77777777" w:rsidTr="0016121A">
        <w:trPr>
          <w:divId w:val="2017539159"/>
          <w:trHeight w:val="300"/>
        </w:trPr>
        <w:tc>
          <w:tcPr>
            <w:tcW w:w="3480" w:type="dxa"/>
            <w:noWrap/>
            <w:hideMark/>
          </w:tcPr>
          <w:p w14:paraId="6D621C2A" w14:textId="77777777" w:rsidR="0016121A" w:rsidRPr="0016121A" w:rsidRDefault="0016121A" w:rsidP="0016121A">
            <w:pPr>
              <w:rPr>
                <w:b/>
                <w:bCs/>
              </w:rPr>
            </w:pPr>
            <w:r w:rsidRPr="0016121A">
              <w:rPr>
                <w:b/>
                <w:bCs/>
              </w:rPr>
              <w:t>Total revenue</w:t>
            </w:r>
          </w:p>
        </w:tc>
        <w:tc>
          <w:tcPr>
            <w:tcW w:w="1240" w:type="dxa"/>
            <w:noWrap/>
            <w:hideMark/>
          </w:tcPr>
          <w:p w14:paraId="67DF61BB" w14:textId="77777777" w:rsidR="0016121A" w:rsidRPr="0016121A" w:rsidRDefault="0016121A" w:rsidP="0016121A">
            <w:pPr>
              <w:jc w:val="right"/>
              <w:rPr>
                <w:b/>
                <w:bCs/>
              </w:rPr>
            </w:pPr>
            <w:r w:rsidRPr="0016121A">
              <w:rPr>
                <w:b/>
                <w:bCs/>
              </w:rPr>
              <w:t xml:space="preserve">173,573,021 </w:t>
            </w:r>
          </w:p>
        </w:tc>
        <w:tc>
          <w:tcPr>
            <w:tcW w:w="1240" w:type="dxa"/>
            <w:noWrap/>
            <w:hideMark/>
          </w:tcPr>
          <w:p w14:paraId="7FB5211D" w14:textId="77777777" w:rsidR="0016121A" w:rsidRPr="0016121A" w:rsidRDefault="0016121A" w:rsidP="0016121A">
            <w:pPr>
              <w:jc w:val="right"/>
              <w:rPr>
                <w:b/>
                <w:bCs/>
              </w:rPr>
            </w:pPr>
            <w:r w:rsidRPr="0016121A">
              <w:rPr>
                <w:b/>
                <w:bCs/>
              </w:rPr>
              <w:t xml:space="preserve">192,505,166 </w:t>
            </w:r>
          </w:p>
        </w:tc>
        <w:tc>
          <w:tcPr>
            <w:tcW w:w="1240" w:type="dxa"/>
            <w:noWrap/>
            <w:hideMark/>
          </w:tcPr>
          <w:p w14:paraId="62C46219" w14:textId="77777777" w:rsidR="0016121A" w:rsidRPr="0016121A" w:rsidRDefault="0016121A" w:rsidP="0016121A">
            <w:pPr>
              <w:jc w:val="right"/>
              <w:rPr>
                <w:b/>
                <w:bCs/>
              </w:rPr>
            </w:pPr>
            <w:r w:rsidRPr="0016121A">
              <w:rPr>
                <w:b/>
                <w:bCs/>
              </w:rPr>
              <w:t xml:space="preserve">198,569,341 </w:t>
            </w:r>
          </w:p>
        </w:tc>
        <w:tc>
          <w:tcPr>
            <w:tcW w:w="1240" w:type="dxa"/>
            <w:noWrap/>
            <w:hideMark/>
          </w:tcPr>
          <w:p w14:paraId="22F44FFF" w14:textId="77777777" w:rsidR="0016121A" w:rsidRPr="0016121A" w:rsidRDefault="0016121A" w:rsidP="0016121A">
            <w:pPr>
              <w:jc w:val="right"/>
              <w:rPr>
                <w:b/>
                <w:bCs/>
              </w:rPr>
            </w:pPr>
            <w:r w:rsidRPr="0016121A">
              <w:rPr>
                <w:b/>
                <w:bCs/>
              </w:rPr>
              <w:t xml:space="preserve">197,741,766 </w:t>
            </w:r>
          </w:p>
        </w:tc>
        <w:tc>
          <w:tcPr>
            <w:tcW w:w="1240" w:type="dxa"/>
            <w:noWrap/>
            <w:hideMark/>
          </w:tcPr>
          <w:p w14:paraId="11ADA73B" w14:textId="77777777" w:rsidR="0016121A" w:rsidRPr="0016121A" w:rsidRDefault="0016121A" w:rsidP="0016121A">
            <w:pPr>
              <w:jc w:val="right"/>
              <w:rPr>
                <w:b/>
                <w:bCs/>
              </w:rPr>
            </w:pPr>
            <w:r w:rsidRPr="0016121A">
              <w:rPr>
                <w:b/>
                <w:bCs/>
              </w:rPr>
              <w:t xml:space="preserve">232,316,470 </w:t>
            </w:r>
          </w:p>
        </w:tc>
      </w:tr>
      <w:tr w:rsidR="0016121A" w:rsidRPr="0016121A" w14:paraId="03DD3A60" w14:textId="77777777" w:rsidTr="0016121A">
        <w:trPr>
          <w:divId w:val="2017539159"/>
          <w:trHeight w:val="300"/>
        </w:trPr>
        <w:tc>
          <w:tcPr>
            <w:tcW w:w="3480" w:type="dxa"/>
            <w:noWrap/>
            <w:hideMark/>
          </w:tcPr>
          <w:p w14:paraId="54E828E2" w14:textId="77777777" w:rsidR="0016121A" w:rsidRPr="0016121A" w:rsidRDefault="0016121A" w:rsidP="0016121A">
            <w:pPr>
              <w:rPr>
                <w:b/>
                <w:bCs/>
              </w:rPr>
            </w:pPr>
            <w:r w:rsidRPr="0016121A">
              <w:rPr>
                <w:b/>
                <w:bCs/>
              </w:rPr>
              <w:t>Expenditures</w:t>
            </w:r>
          </w:p>
        </w:tc>
        <w:tc>
          <w:tcPr>
            <w:tcW w:w="1240" w:type="dxa"/>
            <w:noWrap/>
            <w:hideMark/>
          </w:tcPr>
          <w:p w14:paraId="6975408A" w14:textId="77777777" w:rsidR="0016121A" w:rsidRPr="0016121A" w:rsidRDefault="0016121A" w:rsidP="0016121A">
            <w:pPr>
              <w:jc w:val="right"/>
              <w:rPr>
                <w:b/>
                <w:bCs/>
              </w:rPr>
            </w:pPr>
          </w:p>
        </w:tc>
        <w:tc>
          <w:tcPr>
            <w:tcW w:w="1240" w:type="dxa"/>
            <w:noWrap/>
            <w:hideMark/>
          </w:tcPr>
          <w:p w14:paraId="5239D130" w14:textId="77777777" w:rsidR="0016121A" w:rsidRPr="0016121A" w:rsidRDefault="0016121A" w:rsidP="0016121A">
            <w:pPr>
              <w:jc w:val="right"/>
            </w:pPr>
          </w:p>
        </w:tc>
        <w:tc>
          <w:tcPr>
            <w:tcW w:w="1240" w:type="dxa"/>
            <w:noWrap/>
            <w:hideMark/>
          </w:tcPr>
          <w:p w14:paraId="0F1AFD3A" w14:textId="77777777" w:rsidR="0016121A" w:rsidRPr="0016121A" w:rsidRDefault="0016121A" w:rsidP="0016121A">
            <w:pPr>
              <w:jc w:val="right"/>
            </w:pPr>
          </w:p>
        </w:tc>
        <w:tc>
          <w:tcPr>
            <w:tcW w:w="1240" w:type="dxa"/>
            <w:noWrap/>
            <w:hideMark/>
          </w:tcPr>
          <w:p w14:paraId="197144EF" w14:textId="77777777" w:rsidR="0016121A" w:rsidRPr="0016121A" w:rsidRDefault="0016121A" w:rsidP="0016121A">
            <w:pPr>
              <w:jc w:val="right"/>
            </w:pPr>
          </w:p>
        </w:tc>
        <w:tc>
          <w:tcPr>
            <w:tcW w:w="1240" w:type="dxa"/>
            <w:noWrap/>
            <w:hideMark/>
          </w:tcPr>
          <w:p w14:paraId="296E3468" w14:textId="77777777" w:rsidR="0016121A" w:rsidRPr="0016121A" w:rsidRDefault="0016121A" w:rsidP="0016121A">
            <w:pPr>
              <w:jc w:val="right"/>
            </w:pPr>
          </w:p>
        </w:tc>
      </w:tr>
      <w:tr w:rsidR="0016121A" w:rsidRPr="0016121A" w14:paraId="6EC3775C" w14:textId="77777777" w:rsidTr="0016121A">
        <w:trPr>
          <w:divId w:val="2017539159"/>
          <w:trHeight w:val="300"/>
        </w:trPr>
        <w:tc>
          <w:tcPr>
            <w:tcW w:w="3480" w:type="dxa"/>
            <w:noWrap/>
            <w:hideMark/>
          </w:tcPr>
          <w:p w14:paraId="59151804" w14:textId="77777777" w:rsidR="0016121A" w:rsidRPr="0016121A" w:rsidRDefault="0016121A" w:rsidP="0016121A">
            <w:r w:rsidRPr="0016121A">
              <w:t>Salaries &amp; Benefits</w:t>
            </w:r>
          </w:p>
        </w:tc>
        <w:tc>
          <w:tcPr>
            <w:tcW w:w="1240" w:type="dxa"/>
            <w:noWrap/>
            <w:hideMark/>
          </w:tcPr>
          <w:p w14:paraId="19473290" w14:textId="77777777" w:rsidR="0016121A" w:rsidRPr="0016121A" w:rsidRDefault="0016121A" w:rsidP="0016121A">
            <w:pPr>
              <w:jc w:val="right"/>
            </w:pPr>
            <w:r w:rsidRPr="0016121A">
              <w:t xml:space="preserve">92,964,612 </w:t>
            </w:r>
          </w:p>
        </w:tc>
        <w:tc>
          <w:tcPr>
            <w:tcW w:w="1240" w:type="dxa"/>
            <w:noWrap/>
            <w:hideMark/>
          </w:tcPr>
          <w:p w14:paraId="5B6B815F" w14:textId="77777777" w:rsidR="0016121A" w:rsidRPr="0016121A" w:rsidRDefault="0016121A" w:rsidP="0016121A">
            <w:pPr>
              <w:jc w:val="right"/>
            </w:pPr>
            <w:r w:rsidRPr="0016121A">
              <w:t xml:space="preserve">95,055,792 </w:t>
            </w:r>
          </w:p>
        </w:tc>
        <w:tc>
          <w:tcPr>
            <w:tcW w:w="1240" w:type="dxa"/>
            <w:noWrap/>
            <w:hideMark/>
          </w:tcPr>
          <w:p w14:paraId="464F0928" w14:textId="77777777" w:rsidR="0016121A" w:rsidRPr="0016121A" w:rsidRDefault="0016121A" w:rsidP="0016121A">
            <w:pPr>
              <w:jc w:val="right"/>
            </w:pPr>
            <w:r w:rsidRPr="0016121A">
              <w:t xml:space="preserve">99,494,193 </w:t>
            </w:r>
          </w:p>
        </w:tc>
        <w:tc>
          <w:tcPr>
            <w:tcW w:w="1240" w:type="dxa"/>
            <w:noWrap/>
            <w:hideMark/>
          </w:tcPr>
          <w:p w14:paraId="611F0FBB" w14:textId="77777777" w:rsidR="0016121A" w:rsidRPr="0016121A" w:rsidRDefault="0016121A" w:rsidP="0016121A">
            <w:pPr>
              <w:jc w:val="right"/>
            </w:pPr>
            <w:r w:rsidRPr="0016121A">
              <w:t xml:space="preserve">98,869,227 </w:t>
            </w:r>
          </w:p>
        </w:tc>
        <w:tc>
          <w:tcPr>
            <w:tcW w:w="1240" w:type="dxa"/>
            <w:noWrap/>
            <w:hideMark/>
          </w:tcPr>
          <w:p w14:paraId="7FAB6EB8" w14:textId="77777777" w:rsidR="0016121A" w:rsidRPr="0016121A" w:rsidRDefault="0016121A" w:rsidP="0016121A">
            <w:pPr>
              <w:jc w:val="right"/>
            </w:pPr>
            <w:r w:rsidRPr="0016121A">
              <w:t xml:space="preserve">104,978,590 </w:t>
            </w:r>
          </w:p>
        </w:tc>
      </w:tr>
      <w:tr w:rsidR="0016121A" w:rsidRPr="0016121A" w14:paraId="50E55914" w14:textId="77777777" w:rsidTr="0016121A">
        <w:trPr>
          <w:divId w:val="2017539159"/>
          <w:trHeight w:val="300"/>
        </w:trPr>
        <w:tc>
          <w:tcPr>
            <w:tcW w:w="3480" w:type="dxa"/>
            <w:noWrap/>
            <w:hideMark/>
          </w:tcPr>
          <w:p w14:paraId="5BC701A0" w14:textId="77777777" w:rsidR="0016121A" w:rsidRPr="0016121A" w:rsidRDefault="0016121A" w:rsidP="0016121A">
            <w:r w:rsidRPr="0016121A">
              <w:t>Services &amp; Supplies</w:t>
            </w:r>
          </w:p>
        </w:tc>
        <w:tc>
          <w:tcPr>
            <w:tcW w:w="1240" w:type="dxa"/>
            <w:noWrap/>
            <w:hideMark/>
          </w:tcPr>
          <w:p w14:paraId="7C96450B" w14:textId="77777777" w:rsidR="0016121A" w:rsidRPr="0016121A" w:rsidRDefault="0016121A" w:rsidP="0016121A">
            <w:pPr>
              <w:jc w:val="right"/>
            </w:pPr>
            <w:r w:rsidRPr="0016121A">
              <w:t xml:space="preserve">36,472,671 </w:t>
            </w:r>
          </w:p>
        </w:tc>
        <w:tc>
          <w:tcPr>
            <w:tcW w:w="1240" w:type="dxa"/>
            <w:noWrap/>
            <w:hideMark/>
          </w:tcPr>
          <w:p w14:paraId="2BE3A2BF" w14:textId="77777777" w:rsidR="0016121A" w:rsidRPr="0016121A" w:rsidRDefault="0016121A" w:rsidP="0016121A">
            <w:pPr>
              <w:jc w:val="right"/>
            </w:pPr>
            <w:r w:rsidRPr="0016121A">
              <w:t xml:space="preserve">39,114,601 </w:t>
            </w:r>
          </w:p>
        </w:tc>
        <w:tc>
          <w:tcPr>
            <w:tcW w:w="1240" w:type="dxa"/>
            <w:noWrap/>
            <w:hideMark/>
          </w:tcPr>
          <w:p w14:paraId="56E734A7" w14:textId="77777777" w:rsidR="0016121A" w:rsidRPr="0016121A" w:rsidRDefault="0016121A" w:rsidP="0016121A">
            <w:pPr>
              <w:jc w:val="right"/>
            </w:pPr>
            <w:r w:rsidRPr="0016121A">
              <w:t xml:space="preserve">42,101,797 </w:t>
            </w:r>
          </w:p>
        </w:tc>
        <w:tc>
          <w:tcPr>
            <w:tcW w:w="1240" w:type="dxa"/>
            <w:noWrap/>
            <w:hideMark/>
          </w:tcPr>
          <w:p w14:paraId="7EDBDE81" w14:textId="77777777" w:rsidR="0016121A" w:rsidRPr="0016121A" w:rsidRDefault="0016121A" w:rsidP="0016121A">
            <w:pPr>
              <w:jc w:val="right"/>
            </w:pPr>
            <w:r w:rsidRPr="0016121A">
              <w:t xml:space="preserve">42,596,568 </w:t>
            </w:r>
          </w:p>
        </w:tc>
        <w:tc>
          <w:tcPr>
            <w:tcW w:w="1240" w:type="dxa"/>
            <w:noWrap/>
            <w:hideMark/>
          </w:tcPr>
          <w:p w14:paraId="53F3F405" w14:textId="77777777" w:rsidR="0016121A" w:rsidRPr="0016121A" w:rsidRDefault="0016121A" w:rsidP="0016121A">
            <w:pPr>
              <w:jc w:val="right"/>
            </w:pPr>
            <w:r w:rsidRPr="0016121A">
              <w:t xml:space="preserve">44,732,724 </w:t>
            </w:r>
          </w:p>
        </w:tc>
      </w:tr>
      <w:tr w:rsidR="0016121A" w:rsidRPr="0016121A" w14:paraId="3574B7EF" w14:textId="77777777" w:rsidTr="0016121A">
        <w:trPr>
          <w:divId w:val="2017539159"/>
          <w:trHeight w:val="300"/>
        </w:trPr>
        <w:tc>
          <w:tcPr>
            <w:tcW w:w="3480" w:type="dxa"/>
            <w:noWrap/>
            <w:hideMark/>
          </w:tcPr>
          <w:p w14:paraId="09973860" w14:textId="77777777" w:rsidR="0016121A" w:rsidRPr="0016121A" w:rsidRDefault="0016121A" w:rsidP="0016121A">
            <w:r w:rsidRPr="0016121A">
              <w:t>Contributions to non-GF depts</w:t>
            </w:r>
          </w:p>
        </w:tc>
        <w:tc>
          <w:tcPr>
            <w:tcW w:w="1240" w:type="dxa"/>
            <w:noWrap/>
            <w:hideMark/>
          </w:tcPr>
          <w:p w14:paraId="095A61C4" w14:textId="77777777" w:rsidR="0016121A" w:rsidRPr="0016121A" w:rsidRDefault="0016121A" w:rsidP="0016121A">
            <w:pPr>
              <w:jc w:val="right"/>
            </w:pPr>
            <w:r w:rsidRPr="0016121A">
              <w:t xml:space="preserve">30,894,002 </w:t>
            </w:r>
          </w:p>
        </w:tc>
        <w:tc>
          <w:tcPr>
            <w:tcW w:w="1240" w:type="dxa"/>
            <w:noWrap/>
            <w:hideMark/>
          </w:tcPr>
          <w:p w14:paraId="6B655A17" w14:textId="77777777" w:rsidR="0016121A" w:rsidRPr="0016121A" w:rsidRDefault="0016121A" w:rsidP="0016121A">
            <w:pPr>
              <w:jc w:val="right"/>
            </w:pPr>
            <w:r w:rsidRPr="0016121A">
              <w:t xml:space="preserve">26,373,278 </w:t>
            </w:r>
          </w:p>
        </w:tc>
        <w:tc>
          <w:tcPr>
            <w:tcW w:w="1240" w:type="dxa"/>
            <w:noWrap/>
            <w:hideMark/>
          </w:tcPr>
          <w:p w14:paraId="2A3E25E8" w14:textId="77777777" w:rsidR="0016121A" w:rsidRPr="0016121A" w:rsidRDefault="0016121A" w:rsidP="0016121A">
            <w:pPr>
              <w:jc w:val="right"/>
            </w:pPr>
            <w:r w:rsidRPr="0016121A">
              <w:t xml:space="preserve">25,325,547 </w:t>
            </w:r>
          </w:p>
        </w:tc>
        <w:tc>
          <w:tcPr>
            <w:tcW w:w="1240" w:type="dxa"/>
            <w:noWrap/>
            <w:hideMark/>
          </w:tcPr>
          <w:p w14:paraId="2D41115F" w14:textId="77777777" w:rsidR="0016121A" w:rsidRPr="0016121A" w:rsidRDefault="0016121A" w:rsidP="0016121A">
            <w:pPr>
              <w:jc w:val="right"/>
            </w:pPr>
            <w:r w:rsidRPr="0016121A">
              <w:t xml:space="preserve">25,405,491 </w:t>
            </w:r>
          </w:p>
        </w:tc>
        <w:tc>
          <w:tcPr>
            <w:tcW w:w="1240" w:type="dxa"/>
            <w:noWrap/>
            <w:hideMark/>
          </w:tcPr>
          <w:p w14:paraId="3444260E" w14:textId="77777777" w:rsidR="0016121A" w:rsidRPr="0016121A" w:rsidRDefault="0016121A" w:rsidP="0016121A">
            <w:pPr>
              <w:jc w:val="right"/>
            </w:pPr>
            <w:r w:rsidRPr="0016121A">
              <w:t xml:space="preserve">36,327,569 </w:t>
            </w:r>
          </w:p>
        </w:tc>
      </w:tr>
      <w:tr w:rsidR="0016121A" w:rsidRPr="0016121A" w14:paraId="0039D4E5" w14:textId="77777777" w:rsidTr="0016121A">
        <w:trPr>
          <w:divId w:val="2017539159"/>
          <w:trHeight w:val="300"/>
        </w:trPr>
        <w:tc>
          <w:tcPr>
            <w:tcW w:w="3480" w:type="dxa"/>
            <w:noWrap/>
            <w:hideMark/>
          </w:tcPr>
          <w:p w14:paraId="59C1254A" w14:textId="77777777" w:rsidR="0016121A" w:rsidRPr="0016121A" w:rsidRDefault="0016121A" w:rsidP="0016121A">
            <w:r w:rsidRPr="0016121A">
              <w:t>Accumulated Capital Outlay</w:t>
            </w:r>
          </w:p>
        </w:tc>
        <w:tc>
          <w:tcPr>
            <w:tcW w:w="1240" w:type="dxa"/>
            <w:noWrap/>
            <w:hideMark/>
          </w:tcPr>
          <w:p w14:paraId="61C05D13" w14:textId="77777777" w:rsidR="0016121A" w:rsidRPr="0016121A" w:rsidRDefault="0016121A" w:rsidP="0016121A">
            <w:pPr>
              <w:jc w:val="right"/>
            </w:pPr>
            <w:r w:rsidRPr="0016121A">
              <w:t xml:space="preserve">3,500,000 </w:t>
            </w:r>
          </w:p>
        </w:tc>
        <w:tc>
          <w:tcPr>
            <w:tcW w:w="1240" w:type="dxa"/>
            <w:noWrap/>
            <w:hideMark/>
          </w:tcPr>
          <w:p w14:paraId="2BBF8FE6" w14:textId="77777777" w:rsidR="0016121A" w:rsidRPr="0016121A" w:rsidRDefault="0016121A" w:rsidP="0016121A">
            <w:pPr>
              <w:jc w:val="right"/>
            </w:pPr>
            <w:r w:rsidRPr="0016121A">
              <w:t xml:space="preserve">13,096,895 </w:t>
            </w:r>
          </w:p>
        </w:tc>
        <w:tc>
          <w:tcPr>
            <w:tcW w:w="1240" w:type="dxa"/>
            <w:noWrap/>
            <w:hideMark/>
          </w:tcPr>
          <w:p w14:paraId="6F0036E7" w14:textId="77777777" w:rsidR="0016121A" w:rsidRPr="0016121A" w:rsidRDefault="0016121A" w:rsidP="0016121A">
            <w:pPr>
              <w:jc w:val="right"/>
            </w:pPr>
            <w:r w:rsidRPr="0016121A">
              <w:t xml:space="preserve">9,446,755 </w:t>
            </w:r>
          </w:p>
        </w:tc>
        <w:tc>
          <w:tcPr>
            <w:tcW w:w="1240" w:type="dxa"/>
            <w:noWrap/>
            <w:hideMark/>
          </w:tcPr>
          <w:p w14:paraId="76473FA4" w14:textId="77777777" w:rsidR="0016121A" w:rsidRPr="0016121A" w:rsidRDefault="0016121A" w:rsidP="0016121A">
            <w:pPr>
              <w:jc w:val="right"/>
            </w:pPr>
            <w:r w:rsidRPr="0016121A">
              <w:t xml:space="preserve">18,135,747 </w:t>
            </w:r>
          </w:p>
        </w:tc>
        <w:tc>
          <w:tcPr>
            <w:tcW w:w="1240" w:type="dxa"/>
            <w:noWrap/>
            <w:hideMark/>
          </w:tcPr>
          <w:p w14:paraId="26615D02" w14:textId="77777777" w:rsidR="0016121A" w:rsidRPr="0016121A" w:rsidRDefault="0016121A" w:rsidP="0016121A">
            <w:pPr>
              <w:jc w:val="right"/>
            </w:pPr>
            <w:r w:rsidRPr="0016121A">
              <w:t xml:space="preserve">28,549,259 </w:t>
            </w:r>
          </w:p>
        </w:tc>
      </w:tr>
      <w:tr w:rsidR="0016121A" w:rsidRPr="0016121A" w14:paraId="4008EACB" w14:textId="77777777" w:rsidTr="0016121A">
        <w:trPr>
          <w:divId w:val="2017539159"/>
          <w:trHeight w:val="300"/>
        </w:trPr>
        <w:tc>
          <w:tcPr>
            <w:tcW w:w="3480" w:type="dxa"/>
            <w:noWrap/>
            <w:hideMark/>
          </w:tcPr>
          <w:p w14:paraId="45A90D63" w14:textId="77777777" w:rsidR="0016121A" w:rsidRPr="0016121A" w:rsidRDefault="0016121A" w:rsidP="0016121A">
            <w:r w:rsidRPr="0016121A">
              <w:t>Other expenses</w:t>
            </w:r>
          </w:p>
        </w:tc>
        <w:tc>
          <w:tcPr>
            <w:tcW w:w="1240" w:type="dxa"/>
            <w:noWrap/>
            <w:hideMark/>
          </w:tcPr>
          <w:p w14:paraId="017371A7" w14:textId="77777777" w:rsidR="0016121A" w:rsidRPr="0016121A" w:rsidRDefault="0016121A" w:rsidP="0016121A">
            <w:pPr>
              <w:jc w:val="right"/>
            </w:pPr>
            <w:r w:rsidRPr="0016121A">
              <w:t xml:space="preserve">6,983,902 </w:t>
            </w:r>
          </w:p>
        </w:tc>
        <w:tc>
          <w:tcPr>
            <w:tcW w:w="1240" w:type="dxa"/>
            <w:noWrap/>
            <w:hideMark/>
          </w:tcPr>
          <w:p w14:paraId="44DBB7A2" w14:textId="77777777" w:rsidR="0016121A" w:rsidRPr="0016121A" w:rsidRDefault="0016121A" w:rsidP="0016121A">
            <w:pPr>
              <w:jc w:val="right"/>
            </w:pPr>
            <w:r w:rsidRPr="0016121A">
              <w:t xml:space="preserve">11,740,006 </w:t>
            </w:r>
          </w:p>
        </w:tc>
        <w:tc>
          <w:tcPr>
            <w:tcW w:w="1240" w:type="dxa"/>
            <w:noWrap/>
            <w:hideMark/>
          </w:tcPr>
          <w:p w14:paraId="3C20A2E3" w14:textId="77777777" w:rsidR="0016121A" w:rsidRPr="0016121A" w:rsidRDefault="0016121A" w:rsidP="0016121A">
            <w:pPr>
              <w:jc w:val="right"/>
            </w:pPr>
            <w:r w:rsidRPr="0016121A">
              <w:t xml:space="preserve">10,367,108 </w:t>
            </w:r>
          </w:p>
        </w:tc>
        <w:tc>
          <w:tcPr>
            <w:tcW w:w="1240" w:type="dxa"/>
            <w:noWrap/>
            <w:hideMark/>
          </w:tcPr>
          <w:p w14:paraId="4B15A605" w14:textId="77777777" w:rsidR="0016121A" w:rsidRPr="0016121A" w:rsidRDefault="0016121A" w:rsidP="0016121A">
            <w:pPr>
              <w:jc w:val="right"/>
            </w:pPr>
            <w:r w:rsidRPr="0016121A">
              <w:t xml:space="preserve">14,733,770 </w:t>
            </w:r>
          </w:p>
        </w:tc>
        <w:tc>
          <w:tcPr>
            <w:tcW w:w="1240" w:type="dxa"/>
            <w:noWrap/>
            <w:hideMark/>
          </w:tcPr>
          <w:p w14:paraId="188EF991" w14:textId="77777777" w:rsidR="0016121A" w:rsidRPr="0016121A" w:rsidRDefault="0016121A" w:rsidP="0016121A">
            <w:pPr>
              <w:jc w:val="right"/>
            </w:pPr>
            <w:r w:rsidRPr="0016121A">
              <w:t xml:space="preserve">17,866,094 </w:t>
            </w:r>
          </w:p>
        </w:tc>
      </w:tr>
      <w:tr w:rsidR="0016121A" w:rsidRPr="0016121A" w14:paraId="1382BEC4" w14:textId="77777777" w:rsidTr="0016121A">
        <w:trPr>
          <w:divId w:val="2017539159"/>
          <w:trHeight w:val="300"/>
        </w:trPr>
        <w:tc>
          <w:tcPr>
            <w:tcW w:w="3480" w:type="dxa"/>
            <w:noWrap/>
            <w:hideMark/>
          </w:tcPr>
          <w:p w14:paraId="312453A6" w14:textId="77777777" w:rsidR="0016121A" w:rsidRPr="0016121A" w:rsidRDefault="0016121A" w:rsidP="0016121A">
            <w:pPr>
              <w:rPr>
                <w:b/>
                <w:bCs/>
              </w:rPr>
            </w:pPr>
            <w:r w:rsidRPr="0016121A">
              <w:rPr>
                <w:b/>
                <w:bCs/>
              </w:rPr>
              <w:t>Total expenditures</w:t>
            </w:r>
          </w:p>
        </w:tc>
        <w:tc>
          <w:tcPr>
            <w:tcW w:w="1240" w:type="dxa"/>
            <w:noWrap/>
            <w:hideMark/>
          </w:tcPr>
          <w:p w14:paraId="59A9E257" w14:textId="77777777" w:rsidR="0016121A" w:rsidRPr="0016121A" w:rsidRDefault="0016121A" w:rsidP="0016121A">
            <w:pPr>
              <w:jc w:val="right"/>
              <w:rPr>
                <w:b/>
                <w:bCs/>
              </w:rPr>
            </w:pPr>
            <w:r w:rsidRPr="0016121A">
              <w:rPr>
                <w:b/>
                <w:bCs/>
              </w:rPr>
              <w:t xml:space="preserve">170,815,188 </w:t>
            </w:r>
          </w:p>
        </w:tc>
        <w:tc>
          <w:tcPr>
            <w:tcW w:w="1240" w:type="dxa"/>
            <w:noWrap/>
            <w:hideMark/>
          </w:tcPr>
          <w:p w14:paraId="655D180B" w14:textId="77777777" w:rsidR="0016121A" w:rsidRPr="0016121A" w:rsidRDefault="0016121A" w:rsidP="0016121A">
            <w:pPr>
              <w:jc w:val="right"/>
              <w:rPr>
                <w:b/>
                <w:bCs/>
              </w:rPr>
            </w:pPr>
            <w:r w:rsidRPr="0016121A">
              <w:rPr>
                <w:b/>
                <w:bCs/>
              </w:rPr>
              <w:t xml:space="preserve">185,380,570 </w:t>
            </w:r>
          </w:p>
        </w:tc>
        <w:tc>
          <w:tcPr>
            <w:tcW w:w="1240" w:type="dxa"/>
            <w:noWrap/>
            <w:hideMark/>
          </w:tcPr>
          <w:p w14:paraId="3F70422D" w14:textId="77777777" w:rsidR="0016121A" w:rsidRPr="0016121A" w:rsidRDefault="0016121A" w:rsidP="0016121A">
            <w:pPr>
              <w:jc w:val="right"/>
              <w:rPr>
                <w:b/>
                <w:bCs/>
              </w:rPr>
            </w:pPr>
            <w:r w:rsidRPr="0016121A">
              <w:rPr>
                <w:b/>
                <w:bCs/>
              </w:rPr>
              <w:t xml:space="preserve">186,735,400 </w:t>
            </w:r>
          </w:p>
        </w:tc>
        <w:tc>
          <w:tcPr>
            <w:tcW w:w="1240" w:type="dxa"/>
            <w:noWrap/>
            <w:hideMark/>
          </w:tcPr>
          <w:p w14:paraId="50A78C91" w14:textId="77777777" w:rsidR="0016121A" w:rsidRPr="0016121A" w:rsidRDefault="0016121A" w:rsidP="0016121A">
            <w:pPr>
              <w:jc w:val="right"/>
              <w:rPr>
                <w:b/>
                <w:bCs/>
              </w:rPr>
            </w:pPr>
            <w:r w:rsidRPr="0016121A">
              <w:rPr>
                <w:b/>
                <w:bCs/>
              </w:rPr>
              <w:t xml:space="preserve">199,740,803 </w:t>
            </w:r>
          </w:p>
        </w:tc>
        <w:tc>
          <w:tcPr>
            <w:tcW w:w="1240" w:type="dxa"/>
            <w:noWrap/>
            <w:hideMark/>
          </w:tcPr>
          <w:p w14:paraId="46C876CF" w14:textId="77777777" w:rsidR="0016121A" w:rsidRPr="0016121A" w:rsidRDefault="0016121A" w:rsidP="0016121A">
            <w:pPr>
              <w:jc w:val="right"/>
              <w:rPr>
                <w:b/>
                <w:bCs/>
              </w:rPr>
            </w:pPr>
            <w:r w:rsidRPr="0016121A">
              <w:rPr>
                <w:b/>
                <w:bCs/>
              </w:rPr>
              <w:t xml:space="preserve">232,454,235 </w:t>
            </w:r>
          </w:p>
        </w:tc>
      </w:tr>
      <w:tr w:rsidR="0016121A" w:rsidRPr="0016121A" w14:paraId="05F52264" w14:textId="77777777" w:rsidTr="0016121A">
        <w:trPr>
          <w:divId w:val="2017539159"/>
          <w:trHeight w:val="300"/>
        </w:trPr>
        <w:tc>
          <w:tcPr>
            <w:tcW w:w="3480" w:type="dxa"/>
            <w:noWrap/>
            <w:hideMark/>
          </w:tcPr>
          <w:p w14:paraId="19DD1755" w14:textId="77777777" w:rsidR="0016121A" w:rsidRPr="0016121A" w:rsidRDefault="0016121A" w:rsidP="0016121A">
            <w:pPr>
              <w:rPr>
                <w:b/>
                <w:bCs/>
              </w:rPr>
            </w:pPr>
            <w:r w:rsidRPr="0016121A">
              <w:rPr>
                <w:b/>
                <w:bCs/>
              </w:rPr>
              <w:t>increase (decrease) of fund balance</w:t>
            </w:r>
          </w:p>
        </w:tc>
        <w:tc>
          <w:tcPr>
            <w:tcW w:w="1240" w:type="dxa"/>
            <w:noWrap/>
            <w:hideMark/>
          </w:tcPr>
          <w:p w14:paraId="51D4DF36" w14:textId="77777777" w:rsidR="0016121A" w:rsidRPr="0016121A" w:rsidRDefault="0016121A" w:rsidP="0016121A">
            <w:pPr>
              <w:jc w:val="right"/>
              <w:rPr>
                <w:b/>
                <w:bCs/>
              </w:rPr>
            </w:pPr>
            <w:r w:rsidRPr="0016121A">
              <w:rPr>
                <w:b/>
                <w:bCs/>
              </w:rPr>
              <w:t xml:space="preserve">2,757,833 </w:t>
            </w:r>
          </w:p>
        </w:tc>
        <w:tc>
          <w:tcPr>
            <w:tcW w:w="1240" w:type="dxa"/>
            <w:noWrap/>
            <w:hideMark/>
          </w:tcPr>
          <w:p w14:paraId="6E83F175" w14:textId="77777777" w:rsidR="0016121A" w:rsidRPr="0016121A" w:rsidRDefault="0016121A" w:rsidP="0016121A">
            <w:pPr>
              <w:jc w:val="right"/>
              <w:rPr>
                <w:b/>
                <w:bCs/>
              </w:rPr>
            </w:pPr>
            <w:r w:rsidRPr="0016121A">
              <w:rPr>
                <w:b/>
                <w:bCs/>
              </w:rPr>
              <w:t xml:space="preserve">7,124,596 </w:t>
            </w:r>
          </w:p>
        </w:tc>
        <w:tc>
          <w:tcPr>
            <w:tcW w:w="1240" w:type="dxa"/>
            <w:noWrap/>
            <w:hideMark/>
          </w:tcPr>
          <w:p w14:paraId="56D30359" w14:textId="77777777" w:rsidR="0016121A" w:rsidRPr="0016121A" w:rsidRDefault="0016121A" w:rsidP="0016121A">
            <w:pPr>
              <w:jc w:val="right"/>
              <w:rPr>
                <w:b/>
                <w:bCs/>
              </w:rPr>
            </w:pPr>
            <w:r w:rsidRPr="0016121A">
              <w:rPr>
                <w:b/>
                <w:bCs/>
              </w:rPr>
              <w:t xml:space="preserve">11,833,942 </w:t>
            </w:r>
          </w:p>
        </w:tc>
        <w:tc>
          <w:tcPr>
            <w:tcW w:w="1240" w:type="dxa"/>
            <w:noWrap/>
            <w:hideMark/>
          </w:tcPr>
          <w:p w14:paraId="78345242" w14:textId="77777777" w:rsidR="0016121A" w:rsidRPr="0016121A" w:rsidRDefault="0016121A" w:rsidP="0016121A">
            <w:pPr>
              <w:jc w:val="right"/>
              <w:rPr>
                <w:b/>
                <w:bCs/>
              </w:rPr>
            </w:pPr>
            <w:r w:rsidRPr="0016121A">
              <w:rPr>
                <w:b/>
                <w:bCs/>
              </w:rPr>
              <w:t>(1,999,037)</w:t>
            </w:r>
          </w:p>
        </w:tc>
        <w:tc>
          <w:tcPr>
            <w:tcW w:w="1240" w:type="dxa"/>
            <w:noWrap/>
            <w:hideMark/>
          </w:tcPr>
          <w:p w14:paraId="0A44A185" w14:textId="77777777" w:rsidR="0016121A" w:rsidRPr="0016121A" w:rsidRDefault="0016121A" w:rsidP="0016121A">
            <w:pPr>
              <w:jc w:val="right"/>
              <w:rPr>
                <w:b/>
                <w:bCs/>
              </w:rPr>
            </w:pPr>
            <w:r w:rsidRPr="0016121A">
              <w:rPr>
                <w:b/>
                <w:bCs/>
              </w:rPr>
              <w:t>(137,766)</w:t>
            </w:r>
          </w:p>
        </w:tc>
      </w:tr>
    </w:tbl>
    <w:p w14:paraId="2716F0A1" w14:textId="26073040" w:rsidR="0042327E" w:rsidRDefault="0042327E" w:rsidP="0042327E">
      <w:r>
        <w:fldChar w:fldCharType="end"/>
      </w:r>
    </w:p>
    <w:p w14:paraId="02A8EB5A" w14:textId="2CB3B701" w:rsidR="00490C63" w:rsidRDefault="00515FFE">
      <w:r>
        <w:t>The Board adopts budget policies annually in January, which guides th</w:t>
      </w:r>
      <w:r w:rsidR="004C519A">
        <w:t xml:space="preserve">e development of the budget for </w:t>
      </w:r>
      <w:r>
        <w:t xml:space="preserve">the upcoming fiscal year, and reflect the changes in the financial resources, as well as the programming needs.  In addition, in January 2019, the Board adopted a 3-year Strategic Plan, and the proposed budget for FY 2019-20 will begin to match the resources with the priorities in that plan. </w:t>
      </w:r>
    </w:p>
    <w:p w14:paraId="25598056" w14:textId="77777777" w:rsidR="003375B8" w:rsidRDefault="003375B8">
      <w:r>
        <w:br w:type="page"/>
      </w:r>
    </w:p>
    <w:p w14:paraId="2B80B5ED" w14:textId="57129CC8" w:rsidR="0016121A" w:rsidRDefault="00CC1D35" w:rsidP="00CC1D35">
      <w:r>
        <w:lastRenderedPageBreak/>
        <w:t xml:space="preserve">Table </w:t>
      </w:r>
      <w:r w:rsidR="00F77411">
        <w:t>3</w:t>
      </w:r>
      <w:r>
        <w:t>: 5-Year Forecast General Fund Revenue and Expenses</w:t>
      </w:r>
      <w:r w:rsidR="0042327E">
        <w:fldChar w:fldCharType="begin"/>
      </w:r>
      <w:r w:rsidR="0042327E">
        <w:instrText xml:space="preserve"> LINK </w:instrText>
      </w:r>
      <w:r w:rsidR="000B3C04">
        <w:instrText xml:space="preserve">Excel.Sheet.12 "\\\\data2\\CAO\\!-SHARED\\BUDGET\\FY 2020 BUDGET\\5 year fiscal forecasts\\Report tables 2019 v2.xlsx" "Table 3 Projections!R1C1:R21C7" </w:instrText>
      </w:r>
      <w:r w:rsidR="0042327E">
        <w:instrText xml:space="preserve">\a \f 5 \h  \* MERGEFORMAT </w:instrText>
      </w:r>
      <w:r w:rsidR="0042327E">
        <w:fldChar w:fldCharType="separate"/>
      </w:r>
    </w:p>
    <w:tbl>
      <w:tblPr>
        <w:tblStyle w:val="TableGrid"/>
        <w:tblW w:w="11440" w:type="dxa"/>
        <w:tblInd w:w="-1048" w:type="dxa"/>
        <w:tblLook w:val="04A0" w:firstRow="1" w:lastRow="0" w:firstColumn="1" w:lastColumn="0" w:noHBand="0" w:noVBand="1"/>
      </w:tblPr>
      <w:tblGrid>
        <w:gridCol w:w="3416"/>
        <w:gridCol w:w="1333"/>
        <w:gridCol w:w="1359"/>
        <w:gridCol w:w="1333"/>
        <w:gridCol w:w="1333"/>
        <w:gridCol w:w="1333"/>
        <w:gridCol w:w="1333"/>
      </w:tblGrid>
      <w:tr w:rsidR="0016121A" w:rsidRPr="0016121A" w14:paraId="14AC3C5A" w14:textId="77777777" w:rsidTr="0016121A">
        <w:trPr>
          <w:divId w:val="714697741"/>
          <w:trHeight w:val="300"/>
        </w:trPr>
        <w:tc>
          <w:tcPr>
            <w:tcW w:w="3416" w:type="dxa"/>
            <w:hideMark/>
          </w:tcPr>
          <w:p w14:paraId="68E81280" w14:textId="6BFEDD67" w:rsidR="0016121A" w:rsidRPr="0016121A" w:rsidRDefault="0016121A" w:rsidP="0016121A"/>
        </w:tc>
        <w:tc>
          <w:tcPr>
            <w:tcW w:w="1333" w:type="dxa"/>
            <w:noWrap/>
            <w:hideMark/>
          </w:tcPr>
          <w:p w14:paraId="2A1AAE37" w14:textId="77777777" w:rsidR="0016121A" w:rsidRPr="0016121A" w:rsidRDefault="0016121A" w:rsidP="0016121A">
            <w:pPr>
              <w:jc w:val="center"/>
            </w:pPr>
            <w:r w:rsidRPr="0016121A">
              <w:t>FY 18-19</w:t>
            </w:r>
          </w:p>
        </w:tc>
        <w:tc>
          <w:tcPr>
            <w:tcW w:w="1359" w:type="dxa"/>
            <w:noWrap/>
            <w:hideMark/>
          </w:tcPr>
          <w:p w14:paraId="5C9A352B" w14:textId="77777777" w:rsidR="0016121A" w:rsidRPr="0016121A" w:rsidRDefault="0016121A" w:rsidP="0016121A">
            <w:pPr>
              <w:jc w:val="center"/>
            </w:pPr>
            <w:r w:rsidRPr="0016121A">
              <w:t>FY 19-20</w:t>
            </w:r>
          </w:p>
        </w:tc>
        <w:tc>
          <w:tcPr>
            <w:tcW w:w="1333" w:type="dxa"/>
            <w:noWrap/>
            <w:hideMark/>
          </w:tcPr>
          <w:p w14:paraId="22F68D83" w14:textId="77777777" w:rsidR="0016121A" w:rsidRPr="0016121A" w:rsidRDefault="0016121A" w:rsidP="0016121A">
            <w:pPr>
              <w:jc w:val="center"/>
            </w:pPr>
            <w:r w:rsidRPr="0016121A">
              <w:t>FY 20-21</w:t>
            </w:r>
          </w:p>
        </w:tc>
        <w:tc>
          <w:tcPr>
            <w:tcW w:w="1333" w:type="dxa"/>
            <w:noWrap/>
            <w:hideMark/>
          </w:tcPr>
          <w:p w14:paraId="679F9ABA" w14:textId="77777777" w:rsidR="0016121A" w:rsidRPr="0016121A" w:rsidRDefault="0016121A" w:rsidP="0016121A">
            <w:pPr>
              <w:jc w:val="center"/>
            </w:pPr>
            <w:r w:rsidRPr="0016121A">
              <w:t>FY 21-22</w:t>
            </w:r>
          </w:p>
        </w:tc>
        <w:tc>
          <w:tcPr>
            <w:tcW w:w="1333" w:type="dxa"/>
            <w:noWrap/>
            <w:hideMark/>
          </w:tcPr>
          <w:p w14:paraId="70FFBDFD" w14:textId="77777777" w:rsidR="0016121A" w:rsidRPr="0016121A" w:rsidRDefault="0016121A" w:rsidP="0016121A">
            <w:pPr>
              <w:jc w:val="center"/>
            </w:pPr>
            <w:r w:rsidRPr="0016121A">
              <w:t>FY 22-23</w:t>
            </w:r>
          </w:p>
        </w:tc>
        <w:tc>
          <w:tcPr>
            <w:tcW w:w="1333" w:type="dxa"/>
            <w:noWrap/>
            <w:hideMark/>
          </w:tcPr>
          <w:p w14:paraId="1E288CBF" w14:textId="77777777" w:rsidR="0016121A" w:rsidRPr="0016121A" w:rsidRDefault="0016121A" w:rsidP="0016121A">
            <w:pPr>
              <w:jc w:val="center"/>
            </w:pPr>
            <w:r w:rsidRPr="0016121A">
              <w:t>FY 23-24</w:t>
            </w:r>
          </w:p>
        </w:tc>
      </w:tr>
      <w:tr w:rsidR="0016121A" w:rsidRPr="0016121A" w14:paraId="566A9517" w14:textId="77777777" w:rsidTr="0016121A">
        <w:trPr>
          <w:divId w:val="714697741"/>
          <w:trHeight w:val="300"/>
        </w:trPr>
        <w:tc>
          <w:tcPr>
            <w:tcW w:w="3416" w:type="dxa"/>
            <w:hideMark/>
          </w:tcPr>
          <w:p w14:paraId="2E940EAE" w14:textId="77777777" w:rsidR="0016121A" w:rsidRPr="0016121A" w:rsidRDefault="0016121A" w:rsidP="0016121A">
            <w:pPr>
              <w:rPr>
                <w:b/>
                <w:bCs/>
              </w:rPr>
            </w:pPr>
            <w:r w:rsidRPr="0016121A">
              <w:rPr>
                <w:b/>
                <w:bCs/>
              </w:rPr>
              <w:t>Beginning Fund Balance Estimate</w:t>
            </w:r>
          </w:p>
        </w:tc>
        <w:tc>
          <w:tcPr>
            <w:tcW w:w="1333" w:type="dxa"/>
            <w:noWrap/>
            <w:hideMark/>
          </w:tcPr>
          <w:p w14:paraId="0103F5B8" w14:textId="77777777" w:rsidR="0016121A" w:rsidRPr="0016121A" w:rsidRDefault="0016121A" w:rsidP="0016121A">
            <w:pPr>
              <w:jc w:val="right"/>
            </w:pPr>
            <w:r w:rsidRPr="0016121A">
              <w:t xml:space="preserve">       5,774,626 </w:t>
            </w:r>
          </w:p>
        </w:tc>
        <w:tc>
          <w:tcPr>
            <w:tcW w:w="1359" w:type="dxa"/>
            <w:noWrap/>
            <w:hideMark/>
          </w:tcPr>
          <w:p w14:paraId="0FF6326B" w14:textId="77777777" w:rsidR="0016121A" w:rsidRPr="0016121A" w:rsidRDefault="0016121A" w:rsidP="0016121A">
            <w:pPr>
              <w:jc w:val="right"/>
            </w:pPr>
            <w:r w:rsidRPr="0016121A">
              <w:t xml:space="preserve">           11,874,982 </w:t>
            </w:r>
          </w:p>
        </w:tc>
        <w:tc>
          <w:tcPr>
            <w:tcW w:w="1333" w:type="dxa"/>
            <w:noWrap/>
            <w:hideMark/>
          </w:tcPr>
          <w:p w14:paraId="72F8EA8B" w14:textId="77777777" w:rsidR="0016121A" w:rsidRPr="0016121A" w:rsidRDefault="0016121A" w:rsidP="0016121A">
            <w:pPr>
              <w:jc w:val="right"/>
            </w:pPr>
            <w:r w:rsidRPr="0016121A">
              <w:t xml:space="preserve">                         - </w:t>
            </w:r>
          </w:p>
        </w:tc>
        <w:tc>
          <w:tcPr>
            <w:tcW w:w="1333" w:type="dxa"/>
            <w:noWrap/>
            <w:hideMark/>
          </w:tcPr>
          <w:p w14:paraId="524ABA43" w14:textId="77777777" w:rsidR="0016121A" w:rsidRPr="0016121A" w:rsidRDefault="0016121A" w:rsidP="0016121A">
            <w:pPr>
              <w:jc w:val="right"/>
            </w:pPr>
            <w:r w:rsidRPr="0016121A">
              <w:t xml:space="preserve">                         - </w:t>
            </w:r>
          </w:p>
        </w:tc>
        <w:tc>
          <w:tcPr>
            <w:tcW w:w="1333" w:type="dxa"/>
            <w:noWrap/>
            <w:hideMark/>
          </w:tcPr>
          <w:p w14:paraId="17D883D2" w14:textId="77777777" w:rsidR="0016121A" w:rsidRPr="0016121A" w:rsidRDefault="0016121A" w:rsidP="0016121A">
            <w:pPr>
              <w:jc w:val="right"/>
            </w:pPr>
            <w:r w:rsidRPr="0016121A">
              <w:t xml:space="preserve">                         - </w:t>
            </w:r>
          </w:p>
        </w:tc>
        <w:tc>
          <w:tcPr>
            <w:tcW w:w="1333" w:type="dxa"/>
            <w:noWrap/>
            <w:hideMark/>
          </w:tcPr>
          <w:p w14:paraId="6845BCD8" w14:textId="77777777" w:rsidR="0016121A" w:rsidRPr="0016121A" w:rsidRDefault="0016121A" w:rsidP="0016121A">
            <w:pPr>
              <w:jc w:val="right"/>
            </w:pPr>
            <w:r w:rsidRPr="0016121A">
              <w:t xml:space="preserve">                         - </w:t>
            </w:r>
          </w:p>
        </w:tc>
      </w:tr>
      <w:tr w:rsidR="0016121A" w:rsidRPr="0016121A" w14:paraId="64FA6879" w14:textId="77777777" w:rsidTr="0016121A">
        <w:trPr>
          <w:divId w:val="714697741"/>
          <w:trHeight w:val="300"/>
        </w:trPr>
        <w:tc>
          <w:tcPr>
            <w:tcW w:w="3416" w:type="dxa"/>
            <w:hideMark/>
          </w:tcPr>
          <w:p w14:paraId="51E67F67" w14:textId="77777777" w:rsidR="0016121A" w:rsidRPr="0016121A" w:rsidRDefault="0016121A" w:rsidP="0016121A">
            <w:pPr>
              <w:rPr>
                <w:b/>
                <w:bCs/>
              </w:rPr>
            </w:pPr>
            <w:r w:rsidRPr="0016121A">
              <w:rPr>
                <w:b/>
                <w:bCs/>
              </w:rPr>
              <w:t>Revenues</w:t>
            </w:r>
          </w:p>
        </w:tc>
        <w:tc>
          <w:tcPr>
            <w:tcW w:w="1333" w:type="dxa"/>
            <w:noWrap/>
            <w:hideMark/>
          </w:tcPr>
          <w:p w14:paraId="12B2696A" w14:textId="77777777" w:rsidR="0016121A" w:rsidRPr="0016121A" w:rsidRDefault="0016121A" w:rsidP="0016121A">
            <w:pPr>
              <w:jc w:val="right"/>
              <w:rPr>
                <w:b/>
                <w:bCs/>
              </w:rPr>
            </w:pPr>
          </w:p>
        </w:tc>
        <w:tc>
          <w:tcPr>
            <w:tcW w:w="1359" w:type="dxa"/>
            <w:noWrap/>
            <w:hideMark/>
          </w:tcPr>
          <w:p w14:paraId="6182B690" w14:textId="77777777" w:rsidR="0016121A" w:rsidRPr="0016121A" w:rsidRDefault="0016121A" w:rsidP="0016121A">
            <w:pPr>
              <w:jc w:val="right"/>
            </w:pPr>
          </w:p>
        </w:tc>
        <w:tc>
          <w:tcPr>
            <w:tcW w:w="1333" w:type="dxa"/>
            <w:noWrap/>
            <w:hideMark/>
          </w:tcPr>
          <w:p w14:paraId="6EA28ED9" w14:textId="77777777" w:rsidR="0016121A" w:rsidRPr="0016121A" w:rsidRDefault="0016121A" w:rsidP="0016121A">
            <w:pPr>
              <w:jc w:val="right"/>
            </w:pPr>
          </w:p>
        </w:tc>
        <w:tc>
          <w:tcPr>
            <w:tcW w:w="1333" w:type="dxa"/>
            <w:noWrap/>
            <w:hideMark/>
          </w:tcPr>
          <w:p w14:paraId="6D4F012F" w14:textId="77777777" w:rsidR="0016121A" w:rsidRPr="0016121A" w:rsidRDefault="0016121A" w:rsidP="0016121A">
            <w:pPr>
              <w:jc w:val="right"/>
            </w:pPr>
          </w:p>
        </w:tc>
        <w:tc>
          <w:tcPr>
            <w:tcW w:w="1333" w:type="dxa"/>
            <w:noWrap/>
            <w:hideMark/>
          </w:tcPr>
          <w:p w14:paraId="0AED46B6" w14:textId="77777777" w:rsidR="0016121A" w:rsidRPr="0016121A" w:rsidRDefault="0016121A" w:rsidP="0016121A">
            <w:pPr>
              <w:jc w:val="right"/>
            </w:pPr>
          </w:p>
        </w:tc>
        <w:tc>
          <w:tcPr>
            <w:tcW w:w="1333" w:type="dxa"/>
            <w:noWrap/>
            <w:hideMark/>
          </w:tcPr>
          <w:p w14:paraId="4BBE777A" w14:textId="77777777" w:rsidR="0016121A" w:rsidRPr="0016121A" w:rsidRDefault="0016121A" w:rsidP="0016121A">
            <w:pPr>
              <w:jc w:val="right"/>
            </w:pPr>
          </w:p>
        </w:tc>
      </w:tr>
      <w:tr w:rsidR="0016121A" w:rsidRPr="0016121A" w14:paraId="67267EAE" w14:textId="77777777" w:rsidTr="0016121A">
        <w:trPr>
          <w:divId w:val="714697741"/>
          <w:trHeight w:val="300"/>
        </w:trPr>
        <w:tc>
          <w:tcPr>
            <w:tcW w:w="3416" w:type="dxa"/>
            <w:hideMark/>
          </w:tcPr>
          <w:p w14:paraId="7586CC09" w14:textId="77777777" w:rsidR="0016121A" w:rsidRPr="0016121A" w:rsidRDefault="0016121A" w:rsidP="0016121A">
            <w:r w:rsidRPr="0016121A">
              <w:t>Property Taxes</w:t>
            </w:r>
          </w:p>
        </w:tc>
        <w:tc>
          <w:tcPr>
            <w:tcW w:w="1333" w:type="dxa"/>
            <w:noWrap/>
            <w:hideMark/>
          </w:tcPr>
          <w:p w14:paraId="4F4E6C8E" w14:textId="77777777" w:rsidR="0016121A" w:rsidRPr="0016121A" w:rsidRDefault="0016121A" w:rsidP="0016121A">
            <w:pPr>
              <w:jc w:val="right"/>
            </w:pPr>
            <w:r w:rsidRPr="0016121A">
              <w:t xml:space="preserve">     92,371,664 </w:t>
            </w:r>
          </w:p>
        </w:tc>
        <w:tc>
          <w:tcPr>
            <w:tcW w:w="1359" w:type="dxa"/>
            <w:noWrap/>
            <w:hideMark/>
          </w:tcPr>
          <w:p w14:paraId="0EA76406" w14:textId="77777777" w:rsidR="0016121A" w:rsidRPr="0016121A" w:rsidRDefault="0016121A" w:rsidP="0016121A">
            <w:pPr>
              <w:jc w:val="right"/>
            </w:pPr>
            <w:r w:rsidRPr="0016121A">
              <w:t xml:space="preserve">           95,893,250 </w:t>
            </w:r>
          </w:p>
        </w:tc>
        <w:tc>
          <w:tcPr>
            <w:tcW w:w="1333" w:type="dxa"/>
            <w:noWrap/>
            <w:hideMark/>
          </w:tcPr>
          <w:p w14:paraId="46B4E4E4" w14:textId="77777777" w:rsidR="0016121A" w:rsidRPr="0016121A" w:rsidRDefault="0016121A" w:rsidP="0016121A">
            <w:pPr>
              <w:jc w:val="right"/>
            </w:pPr>
            <w:r w:rsidRPr="0016121A">
              <w:t xml:space="preserve">   100,018,260 </w:t>
            </w:r>
          </w:p>
        </w:tc>
        <w:tc>
          <w:tcPr>
            <w:tcW w:w="1333" w:type="dxa"/>
            <w:noWrap/>
            <w:hideMark/>
          </w:tcPr>
          <w:p w14:paraId="24BDC6D6" w14:textId="77777777" w:rsidR="0016121A" w:rsidRPr="0016121A" w:rsidRDefault="0016121A" w:rsidP="0016121A">
            <w:pPr>
              <w:jc w:val="right"/>
            </w:pPr>
            <w:r w:rsidRPr="0016121A">
              <w:t xml:space="preserve">   103,881,584 </w:t>
            </w:r>
          </w:p>
        </w:tc>
        <w:tc>
          <w:tcPr>
            <w:tcW w:w="1333" w:type="dxa"/>
            <w:noWrap/>
            <w:hideMark/>
          </w:tcPr>
          <w:p w14:paraId="1F81C893" w14:textId="77777777" w:rsidR="0016121A" w:rsidRPr="0016121A" w:rsidRDefault="0016121A" w:rsidP="0016121A">
            <w:pPr>
              <w:jc w:val="right"/>
            </w:pPr>
            <w:r w:rsidRPr="0016121A">
              <w:t xml:space="preserve">   107,781,887 </w:t>
            </w:r>
          </w:p>
        </w:tc>
        <w:tc>
          <w:tcPr>
            <w:tcW w:w="1333" w:type="dxa"/>
            <w:noWrap/>
            <w:hideMark/>
          </w:tcPr>
          <w:p w14:paraId="50F87828" w14:textId="77777777" w:rsidR="0016121A" w:rsidRPr="0016121A" w:rsidRDefault="0016121A" w:rsidP="0016121A">
            <w:pPr>
              <w:jc w:val="right"/>
            </w:pPr>
            <w:r w:rsidRPr="0016121A">
              <w:t xml:space="preserve">   109,926,885 </w:t>
            </w:r>
          </w:p>
        </w:tc>
      </w:tr>
      <w:tr w:rsidR="0016121A" w:rsidRPr="0016121A" w14:paraId="7B5E0B8D" w14:textId="77777777" w:rsidTr="0016121A">
        <w:trPr>
          <w:divId w:val="714697741"/>
          <w:trHeight w:val="300"/>
        </w:trPr>
        <w:tc>
          <w:tcPr>
            <w:tcW w:w="3416" w:type="dxa"/>
            <w:hideMark/>
          </w:tcPr>
          <w:p w14:paraId="4AD6C57B" w14:textId="77777777" w:rsidR="0016121A" w:rsidRPr="0016121A" w:rsidRDefault="0016121A" w:rsidP="0016121A">
            <w:r w:rsidRPr="0016121A">
              <w:t>Sales Tax</w:t>
            </w:r>
          </w:p>
        </w:tc>
        <w:tc>
          <w:tcPr>
            <w:tcW w:w="1333" w:type="dxa"/>
            <w:noWrap/>
            <w:hideMark/>
          </w:tcPr>
          <w:p w14:paraId="2C62EB95" w14:textId="77777777" w:rsidR="0016121A" w:rsidRPr="0016121A" w:rsidRDefault="0016121A" w:rsidP="0016121A">
            <w:pPr>
              <w:jc w:val="right"/>
            </w:pPr>
            <w:r w:rsidRPr="0016121A">
              <w:t xml:space="preserve">     11,290,517 </w:t>
            </w:r>
          </w:p>
        </w:tc>
        <w:tc>
          <w:tcPr>
            <w:tcW w:w="1359" w:type="dxa"/>
            <w:noWrap/>
            <w:hideMark/>
          </w:tcPr>
          <w:p w14:paraId="69F47C2F" w14:textId="77777777" w:rsidR="0016121A" w:rsidRPr="0016121A" w:rsidRDefault="0016121A" w:rsidP="0016121A">
            <w:pPr>
              <w:jc w:val="right"/>
            </w:pPr>
            <w:r w:rsidRPr="0016121A">
              <w:t xml:space="preserve">           11,290,517 </w:t>
            </w:r>
          </w:p>
        </w:tc>
        <w:tc>
          <w:tcPr>
            <w:tcW w:w="1333" w:type="dxa"/>
            <w:noWrap/>
            <w:hideMark/>
          </w:tcPr>
          <w:p w14:paraId="634CF4BC" w14:textId="77777777" w:rsidR="0016121A" w:rsidRPr="0016121A" w:rsidRDefault="0016121A" w:rsidP="0016121A">
            <w:pPr>
              <w:jc w:val="right"/>
            </w:pPr>
            <w:r w:rsidRPr="0016121A">
              <w:t xml:space="preserve">     11,629,233 </w:t>
            </w:r>
          </w:p>
        </w:tc>
        <w:tc>
          <w:tcPr>
            <w:tcW w:w="1333" w:type="dxa"/>
            <w:noWrap/>
            <w:hideMark/>
          </w:tcPr>
          <w:p w14:paraId="1A55AC16" w14:textId="77777777" w:rsidR="0016121A" w:rsidRPr="0016121A" w:rsidRDefault="0016121A" w:rsidP="0016121A">
            <w:pPr>
              <w:jc w:val="right"/>
            </w:pPr>
            <w:r w:rsidRPr="0016121A">
              <w:t xml:space="preserve">     11,978,109 </w:t>
            </w:r>
          </w:p>
        </w:tc>
        <w:tc>
          <w:tcPr>
            <w:tcW w:w="1333" w:type="dxa"/>
            <w:noWrap/>
            <w:hideMark/>
          </w:tcPr>
          <w:p w14:paraId="63B78F06" w14:textId="77777777" w:rsidR="0016121A" w:rsidRPr="0016121A" w:rsidRDefault="0016121A" w:rsidP="0016121A">
            <w:pPr>
              <w:jc w:val="right"/>
            </w:pPr>
            <w:r w:rsidRPr="0016121A">
              <w:t xml:space="preserve">     12,337,453 </w:t>
            </w:r>
          </w:p>
        </w:tc>
        <w:tc>
          <w:tcPr>
            <w:tcW w:w="1333" w:type="dxa"/>
            <w:noWrap/>
            <w:hideMark/>
          </w:tcPr>
          <w:p w14:paraId="13F6BA84" w14:textId="77777777" w:rsidR="0016121A" w:rsidRPr="0016121A" w:rsidRDefault="0016121A" w:rsidP="0016121A">
            <w:pPr>
              <w:jc w:val="right"/>
            </w:pPr>
            <w:r w:rsidRPr="0016121A">
              <w:t xml:space="preserve">     12,707,576 </w:t>
            </w:r>
          </w:p>
        </w:tc>
      </w:tr>
      <w:tr w:rsidR="0016121A" w:rsidRPr="0016121A" w14:paraId="76C655CF" w14:textId="77777777" w:rsidTr="0016121A">
        <w:trPr>
          <w:divId w:val="714697741"/>
          <w:trHeight w:val="300"/>
        </w:trPr>
        <w:tc>
          <w:tcPr>
            <w:tcW w:w="3416" w:type="dxa"/>
            <w:hideMark/>
          </w:tcPr>
          <w:p w14:paraId="61EE29DD" w14:textId="77777777" w:rsidR="0016121A" w:rsidRPr="0016121A" w:rsidRDefault="0016121A" w:rsidP="0016121A">
            <w:r w:rsidRPr="0016121A">
              <w:t>Transient Occupancy Tax</w:t>
            </w:r>
          </w:p>
        </w:tc>
        <w:tc>
          <w:tcPr>
            <w:tcW w:w="1333" w:type="dxa"/>
            <w:noWrap/>
            <w:hideMark/>
          </w:tcPr>
          <w:p w14:paraId="08C8F70E" w14:textId="77777777" w:rsidR="0016121A" w:rsidRPr="0016121A" w:rsidRDefault="0016121A" w:rsidP="0016121A">
            <w:pPr>
              <w:jc w:val="right"/>
            </w:pPr>
            <w:r w:rsidRPr="0016121A">
              <w:t xml:space="preserve">     13,522,806 </w:t>
            </w:r>
          </w:p>
        </w:tc>
        <w:tc>
          <w:tcPr>
            <w:tcW w:w="1359" w:type="dxa"/>
            <w:noWrap/>
            <w:hideMark/>
          </w:tcPr>
          <w:p w14:paraId="20BA798D" w14:textId="77777777" w:rsidR="0016121A" w:rsidRPr="0016121A" w:rsidRDefault="0016121A" w:rsidP="0016121A">
            <w:pPr>
              <w:jc w:val="right"/>
            </w:pPr>
            <w:r w:rsidRPr="0016121A">
              <w:t xml:space="preserve">           13,793,460 </w:t>
            </w:r>
          </w:p>
        </w:tc>
        <w:tc>
          <w:tcPr>
            <w:tcW w:w="1333" w:type="dxa"/>
            <w:noWrap/>
            <w:hideMark/>
          </w:tcPr>
          <w:p w14:paraId="2CD5E92B" w14:textId="77777777" w:rsidR="0016121A" w:rsidRPr="0016121A" w:rsidRDefault="0016121A" w:rsidP="0016121A">
            <w:pPr>
              <w:jc w:val="right"/>
            </w:pPr>
            <w:r w:rsidRPr="0016121A">
              <w:t xml:space="preserve">     14,069,329 </w:t>
            </w:r>
          </w:p>
        </w:tc>
        <w:tc>
          <w:tcPr>
            <w:tcW w:w="1333" w:type="dxa"/>
            <w:noWrap/>
            <w:hideMark/>
          </w:tcPr>
          <w:p w14:paraId="255EF362" w14:textId="77777777" w:rsidR="0016121A" w:rsidRPr="0016121A" w:rsidRDefault="0016121A" w:rsidP="0016121A">
            <w:pPr>
              <w:jc w:val="right"/>
            </w:pPr>
            <w:r w:rsidRPr="0016121A">
              <w:t xml:space="preserve">     14,350,716 </w:t>
            </w:r>
          </w:p>
        </w:tc>
        <w:tc>
          <w:tcPr>
            <w:tcW w:w="1333" w:type="dxa"/>
            <w:noWrap/>
            <w:hideMark/>
          </w:tcPr>
          <w:p w14:paraId="46ABCB7F" w14:textId="77777777" w:rsidR="0016121A" w:rsidRPr="0016121A" w:rsidRDefault="0016121A" w:rsidP="0016121A">
            <w:pPr>
              <w:jc w:val="right"/>
            </w:pPr>
            <w:r w:rsidRPr="0016121A">
              <w:t xml:space="preserve">     14,637,730 </w:t>
            </w:r>
          </w:p>
        </w:tc>
        <w:tc>
          <w:tcPr>
            <w:tcW w:w="1333" w:type="dxa"/>
            <w:noWrap/>
            <w:hideMark/>
          </w:tcPr>
          <w:p w14:paraId="47AA9942" w14:textId="77777777" w:rsidR="0016121A" w:rsidRPr="0016121A" w:rsidRDefault="0016121A" w:rsidP="0016121A">
            <w:pPr>
              <w:jc w:val="right"/>
            </w:pPr>
            <w:r w:rsidRPr="0016121A">
              <w:t xml:space="preserve">     14,930,485 </w:t>
            </w:r>
          </w:p>
        </w:tc>
      </w:tr>
      <w:tr w:rsidR="0016121A" w:rsidRPr="0016121A" w14:paraId="54FB9A16" w14:textId="77777777" w:rsidTr="0016121A">
        <w:trPr>
          <w:divId w:val="714697741"/>
          <w:trHeight w:val="300"/>
        </w:trPr>
        <w:tc>
          <w:tcPr>
            <w:tcW w:w="3416" w:type="dxa"/>
            <w:hideMark/>
          </w:tcPr>
          <w:p w14:paraId="31D6E86D" w14:textId="77777777" w:rsidR="0016121A" w:rsidRPr="0016121A" w:rsidRDefault="0016121A" w:rsidP="0016121A">
            <w:r w:rsidRPr="0016121A">
              <w:t>Property Transfer Tax</w:t>
            </w:r>
          </w:p>
        </w:tc>
        <w:tc>
          <w:tcPr>
            <w:tcW w:w="1333" w:type="dxa"/>
            <w:noWrap/>
            <w:hideMark/>
          </w:tcPr>
          <w:p w14:paraId="1C9F6BC0" w14:textId="77777777" w:rsidR="0016121A" w:rsidRPr="0016121A" w:rsidRDefault="0016121A" w:rsidP="0016121A">
            <w:pPr>
              <w:jc w:val="right"/>
            </w:pPr>
            <w:r w:rsidRPr="0016121A">
              <w:t xml:space="preserve">       1,800,000 </w:t>
            </w:r>
          </w:p>
        </w:tc>
        <w:tc>
          <w:tcPr>
            <w:tcW w:w="1359" w:type="dxa"/>
            <w:noWrap/>
            <w:hideMark/>
          </w:tcPr>
          <w:p w14:paraId="2AF56989" w14:textId="77777777" w:rsidR="0016121A" w:rsidRPr="0016121A" w:rsidRDefault="0016121A" w:rsidP="0016121A">
            <w:pPr>
              <w:jc w:val="right"/>
            </w:pPr>
            <w:r w:rsidRPr="0016121A">
              <w:t xml:space="preserve">              1,764,000 </w:t>
            </w:r>
          </w:p>
        </w:tc>
        <w:tc>
          <w:tcPr>
            <w:tcW w:w="1333" w:type="dxa"/>
            <w:noWrap/>
            <w:hideMark/>
          </w:tcPr>
          <w:p w14:paraId="23DE7CDF" w14:textId="77777777" w:rsidR="0016121A" w:rsidRPr="0016121A" w:rsidRDefault="0016121A" w:rsidP="0016121A">
            <w:pPr>
              <w:jc w:val="right"/>
            </w:pPr>
            <w:r w:rsidRPr="0016121A">
              <w:t xml:space="preserve">       1,728,720 </w:t>
            </w:r>
          </w:p>
        </w:tc>
        <w:tc>
          <w:tcPr>
            <w:tcW w:w="1333" w:type="dxa"/>
            <w:noWrap/>
            <w:hideMark/>
          </w:tcPr>
          <w:p w14:paraId="29693128" w14:textId="77777777" w:rsidR="0016121A" w:rsidRPr="0016121A" w:rsidRDefault="0016121A" w:rsidP="0016121A">
            <w:pPr>
              <w:jc w:val="right"/>
            </w:pPr>
            <w:r w:rsidRPr="0016121A">
              <w:t xml:space="preserve">       1,728,720 </w:t>
            </w:r>
          </w:p>
        </w:tc>
        <w:tc>
          <w:tcPr>
            <w:tcW w:w="1333" w:type="dxa"/>
            <w:noWrap/>
            <w:hideMark/>
          </w:tcPr>
          <w:p w14:paraId="438FA392" w14:textId="77777777" w:rsidR="0016121A" w:rsidRPr="0016121A" w:rsidRDefault="0016121A" w:rsidP="0016121A">
            <w:pPr>
              <w:jc w:val="right"/>
            </w:pPr>
            <w:r w:rsidRPr="0016121A">
              <w:t xml:space="preserve">       1,728,720 </w:t>
            </w:r>
          </w:p>
        </w:tc>
        <w:tc>
          <w:tcPr>
            <w:tcW w:w="1333" w:type="dxa"/>
            <w:noWrap/>
            <w:hideMark/>
          </w:tcPr>
          <w:p w14:paraId="78830249" w14:textId="77777777" w:rsidR="0016121A" w:rsidRPr="0016121A" w:rsidRDefault="0016121A" w:rsidP="0016121A">
            <w:pPr>
              <w:jc w:val="right"/>
            </w:pPr>
            <w:r w:rsidRPr="0016121A">
              <w:t xml:space="preserve">       1,763,294 </w:t>
            </w:r>
          </w:p>
        </w:tc>
      </w:tr>
      <w:tr w:rsidR="0016121A" w:rsidRPr="0016121A" w14:paraId="242EA094" w14:textId="77777777" w:rsidTr="0016121A">
        <w:trPr>
          <w:divId w:val="714697741"/>
          <w:trHeight w:val="300"/>
        </w:trPr>
        <w:tc>
          <w:tcPr>
            <w:tcW w:w="3416" w:type="dxa"/>
            <w:hideMark/>
          </w:tcPr>
          <w:p w14:paraId="535329AA" w14:textId="77777777" w:rsidR="0016121A" w:rsidRPr="0016121A" w:rsidRDefault="0016121A" w:rsidP="0016121A">
            <w:r w:rsidRPr="0016121A">
              <w:t>Indirect Cost Allocation</w:t>
            </w:r>
          </w:p>
        </w:tc>
        <w:tc>
          <w:tcPr>
            <w:tcW w:w="1333" w:type="dxa"/>
            <w:noWrap/>
            <w:hideMark/>
          </w:tcPr>
          <w:p w14:paraId="38723946" w14:textId="77777777" w:rsidR="0016121A" w:rsidRPr="0016121A" w:rsidRDefault="0016121A" w:rsidP="0016121A">
            <w:pPr>
              <w:jc w:val="right"/>
            </w:pPr>
            <w:r w:rsidRPr="0016121A">
              <w:t xml:space="preserve">       2,433,362 </w:t>
            </w:r>
          </w:p>
        </w:tc>
        <w:tc>
          <w:tcPr>
            <w:tcW w:w="1359" w:type="dxa"/>
            <w:noWrap/>
            <w:hideMark/>
          </w:tcPr>
          <w:p w14:paraId="110BF618" w14:textId="77777777" w:rsidR="0016121A" w:rsidRPr="0016121A" w:rsidRDefault="0016121A" w:rsidP="0016121A">
            <w:pPr>
              <w:jc w:val="right"/>
            </w:pPr>
            <w:r w:rsidRPr="0016121A">
              <w:t xml:space="preserve">              5,958,788 </w:t>
            </w:r>
          </w:p>
        </w:tc>
        <w:tc>
          <w:tcPr>
            <w:tcW w:w="1333" w:type="dxa"/>
            <w:noWrap/>
            <w:hideMark/>
          </w:tcPr>
          <w:p w14:paraId="12ECAB06" w14:textId="77777777" w:rsidR="0016121A" w:rsidRPr="0016121A" w:rsidRDefault="0016121A" w:rsidP="0016121A">
            <w:pPr>
              <w:jc w:val="right"/>
            </w:pPr>
            <w:r w:rsidRPr="0016121A">
              <w:t xml:space="preserve">       6,256,727 </w:t>
            </w:r>
          </w:p>
        </w:tc>
        <w:tc>
          <w:tcPr>
            <w:tcW w:w="1333" w:type="dxa"/>
            <w:noWrap/>
            <w:hideMark/>
          </w:tcPr>
          <w:p w14:paraId="1C69B06A" w14:textId="77777777" w:rsidR="0016121A" w:rsidRPr="0016121A" w:rsidRDefault="0016121A" w:rsidP="0016121A">
            <w:pPr>
              <w:jc w:val="right"/>
            </w:pPr>
            <w:r w:rsidRPr="0016121A">
              <w:t xml:space="preserve">       6,569,564 </w:t>
            </w:r>
          </w:p>
        </w:tc>
        <w:tc>
          <w:tcPr>
            <w:tcW w:w="1333" w:type="dxa"/>
            <w:noWrap/>
            <w:hideMark/>
          </w:tcPr>
          <w:p w14:paraId="1DA1A4EE" w14:textId="77777777" w:rsidR="0016121A" w:rsidRPr="0016121A" w:rsidRDefault="0016121A" w:rsidP="0016121A">
            <w:pPr>
              <w:jc w:val="right"/>
            </w:pPr>
            <w:r w:rsidRPr="0016121A">
              <w:t xml:space="preserve">       6,898,042 </w:t>
            </w:r>
          </w:p>
        </w:tc>
        <w:tc>
          <w:tcPr>
            <w:tcW w:w="1333" w:type="dxa"/>
            <w:noWrap/>
            <w:hideMark/>
          </w:tcPr>
          <w:p w14:paraId="5D4110CE" w14:textId="77777777" w:rsidR="0016121A" w:rsidRPr="0016121A" w:rsidRDefault="0016121A" w:rsidP="0016121A">
            <w:pPr>
              <w:jc w:val="right"/>
            </w:pPr>
            <w:r w:rsidRPr="0016121A">
              <w:t xml:space="preserve">       7,242,944 </w:t>
            </w:r>
          </w:p>
        </w:tc>
      </w:tr>
      <w:tr w:rsidR="0016121A" w:rsidRPr="0016121A" w14:paraId="45880ABB" w14:textId="77777777" w:rsidTr="0016121A">
        <w:trPr>
          <w:divId w:val="714697741"/>
          <w:trHeight w:val="300"/>
        </w:trPr>
        <w:tc>
          <w:tcPr>
            <w:tcW w:w="3416" w:type="dxa"/>
            <w:hideMark/>
          </w:tcPr>
          <w:p w14:paraId="2BD31D44" w14:textId="77777777" w:rsidR="0016121A" w:rsidRPr="0016121A" w:rsidRDefault="0016121A" w:rsidP="0016121A">
            <w:r w:rsidRPr="0016121A">
              <w:t>Excess ERAF</w:t>
            </w:r>
          </w:p>
        </w:tc>
        <w:tc>
          <w:tcPr>
            <w:tcW w:w="1333" w:type="dxa"/>
            <w:noWrap/>
            <w:hideMark/>
          </w:tcPr>
          <w:p w14:paraId="5D1688D3" w14:textId="77777777" w:rsidR="0016121A" w:rsidRPr="0016121A" w:rsidRDefault="0016121A" w:rsidP="0016121A">
            <w:pPr>
              <w:jc w:val="right"/>
            </w:pPr>
            <w:r w:rsidRPr="0016121A">
              <w:t xml:space="preserve">     14,000,000 </w:t>
            </w:r>
          </w:p>
        </w:tc>
        <w:tc>
          <w:tcPr>
            <w:tcW w:w="1359" w:type="dxa"/>
            <w:noWrap/>
            <w:hideMark/>
          </w:tcPr>
          <w:p w14:paraId="448BFFA9" w14:textId="77777777" w:rsidR="0016121A" w:rsidRPr="0016121A" w:rsidRDefault="0016121A" w:rsidP="0016121A">
            <w:pPr>
              <w:jc w:val="right"/>
            </w:pPr>
            <w:r w:rsidRPr="0016121A">
              <w:t xml:space="preserve">           12,600,000 </w:t>
            </w:r>
          </w:p>
        </w:tc>
        <w:tc>
          <w:tcPr>
            <w:tcW w:w="1333" w:type="dxa"/>
            <w:noWrap/>
            <w:hideMark/>
          </w:tcPr>
          <w:p w14:paraId="49DBDDA5" w14:textId="77777777" w:rsidR="0016121A" w:rsidRPr="0016121A" w:rsidRDefault="0016121A" w:rsidP="0016121A">
            <w:pPr>
              <w:jc w:val="right"/>
            </w:pPr>
            <w:r w:rsidRPr="0016121A">
              <w:t xml:space="preserve">     11,340,000 </w:t>
            </w:r>
          </w:p>
        </w:tc>
        <w:tc>
          <w:tcPr>
            <w:tcW w:w="1333" w:type="dxa"/>
            <w:noWrap/>
            <w:hideMark/>
          </w:tcPr>
          <w:p w14:paraId="12D2E853" w14:textId="77777777" w:rsidR="0016121A" w:rsidRPr="0016121A" w:rsidRDefault="0016121A" w:rsidP="0016121A">
            <w:pPr>
              <w:jc w:val="right"/>
            </w:pPr>
            <w:r w:rsidRPr="0016121A">
              <w:t xml:space="preserve">     10,206,000 </w:t>
            </w:r>
          </w:p>
        </w:tc>
        <w:tc>
          <w:tcPr>
            <w:tcW w:w="1333" w:type="dxa"/>
            <w:noWrap/>
            <w:hideMark/>
          </w:tcPr>
          <w:p w14:paraId="4027626A" w14:textId="77777777" w:rsidR="0016121A" w:rsidRPr="0016121A" w:rsidRDefault="0016121A" w:rsidP="0016121A">
            <w:pPr>
              <w:jc w:val="right"/>
            </w:pPr>
            <w:r w:rsidRPr="0016121A">
              <w:t xml:space="preserve">       9,185,400 </w:t>
            </w:r>
          </w:p>
        </w:tc>
        <w:tc>
          <w:tcPr>
            <w:tcW w:w="1333" w:type="dxa"/>
            <w:noWrap/>
            <w:hideMark/>
          </w:tcPr>
          <w:p w14:paraId="41F74111" w14:textId="77777777" w:rsidR="0016121A" w:rsidRPr="0016121A" w:rsidRDefault="0016121A" w:rsidP="0016121A">
            <w:pPr>
              <w:jc w:val="right"/>
            </w:pPr>
            <w:r w:rsidRPr="0016121A">
              <w:t xml:space="preserve">       8,266,860 </w:t>
            </w:r>
          </w:p>
        </w:tc>
      </w:tr>
      <w:tr w:rsidR="0016121A" w:rsidRPr="0016121A" w14:paraId="477D1F86" w14:textId="77777777" w:rsidTr="0016121A">
        <w:trPr>
          <w:divId w:val="714697741"/>
          <w:trHeight w:val="300"/>
        </w:trPr>
        <w:tc>
          <w:tcPr>
            <w:tcW w:w="3416" w:type="dxa"/>
            <w:hideMark/>
          </w:tcPr>
          <w:p w14:paraId="0F1094CF" w14:textId="77777777" w:rsidR="0016121A" w:rsidRPr="0016121A" w:rsidRDefault="0016121A" w:rsidP="0016121A">
            <w:r w:rsidRPr="0016121A">
              <w:t>Other Revenues</w:t>
            </w:r>
          </w:p>
        </w:tc>
        <w:tc>
          <w:tcPr>
            <w:tcW w:w="1333" w:type="dxa"/>
            <w:noWrap/>
            <w:hideMark/>
          </w:tcPr>
          <w:p w14:paraId="0A2979C2" w14:textId="77777777" w:rsidR="0016121A" w:rsidRPr="0016121A" w:rsidRDefault="0016121A" w:rsidP="0016121A">
            <w:pPr>
              <w:jc w:val="right"/>
            </w:pPr>
            <w:r w:rsidRPr="0016121A">
              <w:t xml:space="preserve">     67,038,492 </w:t>
            </w:r>
          </w:p>
        </w:tc>
        <w:tc>
          <w:tcPr>
            <w:tcW w:w="1359" w:type="dxa"/>
            <w:noWrap/>
            <w:hideMark/>
          </w:tcPr>
          <w:p w14:paraId="7430AF8F" w14:textId="77777777" w:rsidR="0016121A" w:rsidRPr="0016121A" w:rsidRDefault="0016121A" w:rsidP="0016121A">
            <w:pPr>
              <w:jc w:val="right"/>
            </w:pPr>
            <w:r w:rsidRPr="0016121A">
              <w:t xml:space="preserve">           77,145,832 </w:t>
            </w:r>
          </w:p>
        </w:tc>
        <w:tc>
          <w:tcPr>
            <w:tcW w:w="1333" w:type="dxa"/>
            <w:noWrap/>
            <w:hideMark/>
          </w:tcPr>
          <w:p w14:paraId="0ACC07F9" w14:textId="77777777" w:rsidR="0016121A" w:rsidRPr="0016121A" w:rsidRDefault="0016121A" w:rsidP="0016121A">
            <w:pPr>
              <w:jc w:val="right"/>
            </w:pPr>
            <w:r w:rsidRPr="0016121A">
              <w:t xml:space="preserve">     78,688,749 </w:t>
            </w:r>
          </w:p>
        </w:tc>
        <w:tc>
          <w:tcPr>
            <w:tcW w:w="1333" w:type="dxa"/>
            <w:noWrap/>
            <w:hideMark/>
          </w:tcPr>
          <w:p w14:paraId="505A9B38" w14:textId="77777777" w:rsidR="0016121A" w:rsidRPr="0016121A" w:rsidRDefault="0016121A" w:rsidP="0016121A">
            <w:pPr>
              <w:jc w:val="right"/>
            </w:pPr>
            <w:r w:rsidRPr="0016121A">
              <w:t xml:space="preserve">     80,262,524 </w:t>
            </w:r>
          </w:p>
        </w:tc>
        <w:tc>
          <w:tcPr>
            <w:tcW w:w="1333" w:type="dxa"/>
            <w:noWrap/>
            <w:hideMark/>
          </w:tcPr>
          <w:p w14:paraId="3F01A349" w14:textId="77777777" w:rsidR="0016121A" w:rsidRPr="0016121A" w:rsidRDefault="0016121A" w:rsidP="0016121A">
            <w:pPr>
              <w:jc w:val="right"/>
            </w:pPr>
            <w:r w:rsidRPr="0016121A">
              <w:t xml:space="preserve">     81,867,774 </w:t>
            </w:r>
          </w:p>
        </w:tc>
        <w:tc>
          <w:tcPr>
            <w:tcW w:w="1333" w:type="dxa"/>
            <w:noWrap/>
            <w:hideMark/>
          </w:tcPr>
          <w:p w14:paraId="3CE20F98" w14:textId="77777777" w:rsidR="0016121A" w:rsidRPr="0016121A" w:rsidRDefault="0016121A" w:rsidP="0016121A">
            <w:pPr>
              <w:jc w:val="right"/>
            </w:pPr>
            <w:r w:rsidRPr="0016121A">
              <w:t xml:space="preserve">     83,505,130 </w:t>
            </w:r>
          </w:p>
        </w:tc>
      </w:tr>
      <w:tr w:rsidR="0016121A" w:rsidRPr="0016121A" w14:paraId="4CFE384B" w14:textId="77777777" w:rsidTr="0016121A">
        <w:trPr>
          <w:divId w:val="714697741"/>
          <w:trHeight w:val="300"/>
        </w:trPr>
        <w:tc>
          <w:tcPr>
            <w:tcW w:w="3416" w:type="dxa"/>
            <w:hideMark/>
          </w:tcPr>
          <w:p w14:paraId="262F2156" w14:textId="77777777" w:rsidR="0016121A" w:rsidRPr="0016121A" w:rsidRDefault="0016121A" w:rsidP="0016121A">
            <w:pPr>
              <w:rPr>
                <w:b/>
                <w:bCs/>
              </w:rPr>
            </w:pPr>
            <w:r w:rsidRPr="0016121A">
              <w:rPr>
                <w:b/>
                <w:bCs/>
              </w:rPr>
              <w:t>Total revenue</w:t>
            </w:r>
          </w:p>
        </w:tc>
        <w:tc>
          <w:tcPr>
            <w:tcW w:w="1333" w:type="dxa"/>
            <w:noWrap/>
            <w:hideMark/>
          </w:tcPr>
          <w:p w14:paraId="791EA8EB" w14:textId="77777777" w:rsidR="0016121A" w:rsidRPr="0016121A" w:rsidRDefault="0016121A" w:rsidP="0016121A">
            <w:pPr>
              <w:jc w:val="right"/>
              <w:rPr>
                <w:b/>
                <w:bCs/>
              </w:rPr>
            </w:pPr>
            <w:r w:rsidRPr="0016121A">
              <w:rPr>
                <w:b/>
                <w:bCs/>
              </w:rPr>
              <w:t xml:space="preserve">   202,456,841 </w:t>
            </w:r>
          </w:p>
        </w:tc>
        <w:tc>
          <w:tcPr>
            <w:tcW w:w="1359" w:type="dxa"/>
            <w:noWrap/>
            <w:hideMark/>
          </w:tcPr>
          <w:p w14:paraId="284346EB" w14:textId="77777777" w:rsidR="0016121A" w:rsidRPr="0016121A" w:rsidRDefault="0016121A" w:rsidP="0016121A">
            <w:pPr>
              <w:jc w:val="right"/>
              <w:rPr>
                <w:b/>
                <w:bCs/>
              </w:rPr>
            </w:pPr>
            <w:r w:rsidRPr="0016121A">
              <w:rPr>
                <w:b/>
                <w:bCs/>
              </w:rPr>
              <w:t xml:space="preserve">         218,445,847 </w:t>
            </w:r>
          </w:p>
        </w:tc>
        <w:tc>
          <w:tcPr>
            <w:tcW w:w="1333" w:type="dxa"/>
            <w:noWrap/>
            <w:hideMark/>
          </w:tcPr>
          <w:p w14:paraId="38046F7A" w14:textId="77777777" w:rsidR="0016121A" w:rsidRPr="0016121A" w:rsidRDefault="0016121A" w:rsidP="0016121A">
            <w:pPr>
              <w:jc w:val="right"/>
              <w:rPr>
                <w:b/>
                <w:bCs/>
              </w:rPr>
            </w:pPr>
            <w:r w:rsidRPr="0016121A">
              <w:rPr>
                <w:b/>
                <w:bCs/>
              </w:rPr>
              <w:t xml:space="preserve">   223,731,018 </w:t>
            </w:r>
          </w:p>
        </w:tc>
        <w:tc>
          <w:tcPr>
            <w:tcW w:w="1333" w:type="dxa"/>
            <w:noWrap/>
            <w:hideMark/>
          </w:tcPr>
          <w:p w14:paraId="1D356773" w14:textId="77777777" w:rsidR="0016121A" w:rsidRPr="0016121A" w:rsidRDefault="0016121A" w:rsidP="0016121A">
            <w:pPr>
              <w:jc w:val="right"/>
              <w:rPr>
                <w:b/>
                <w:bCs/>
              </w:rPr>
            </w:pPr>
            <w:r w:rsidRPr="0016121A">
              <w:rPr>
                <w:b/>
                <w:bCs/>
              </w:rPr>
              <w:t xml:space="preserve">   228,977,217 </w:t>
            </w:r>
          </w:p>
        </w:tc>
        <w:tc>
          <w:tcPr>
            <w:tcW w:w="1333" w:type="dxa"/>
            <w:noWrap/>
            <w:hideMark/>
          </w:tcPr>
          <w:p w14:paraId="24CE6F3C" w14:textId="77777777" w:rsidR="0016121A" w:rsidRPr="0016121A" w:rsidRDefault="0016121A" w:rsidP="0016121A">
            <w:pPr>
              <w:jc w:val="right"/>
              <w:rPr>
                <w:b/>
                <w:bCs/>
              </w:rPr>
            </w:pPr>
            <w:r w:rsidRPr="0016121A">
              <w:rPr>
                <w:b/>
                <w:bCs/>
              </w:rPr>
              <w:t xml:space="preserve">   234,437,006 </w:t>
            </w:r>
          </w:p>
        </w:tc>
        <w:tc>
          <w:tcPr>
            <w:tcW w:w="1333" w:type="dxa"/>
            <w:noWrap/>
            <w:hideMark/>
          </w:tcPr>
          <w:p w14:paraId="1E8E1D14" w14:textId="77777777" w:rsidR="0016121A" w:rsidRPr="0016121A" w:rsidRDefault="0016121A" w:rsidP="0016121A">
            <w:pPr>
              <w:jc w:val="right"/>
              <w:rPr>
                <w:b/>
                <w:bCs/>
              </w:rPr>
            </w:pPr>
            <w:r w:rsidRPr="0016121A">
              <w:rPr>
                <w:b/>
                <w:bCs/>
              </w:rPr>
              <w:t xml:space="preserve">   238,343,174 </w:t>
            </w:r>
          </w:p>
        </w:tc>
      </w:tr>
      <w:tr w:rsidR="0016121A" w:rsidRPr="0016121A" w14:paraId="4FF50AF4" w14:textId="77777777" w:rsidTr="0016121A">
        <w:trPr>
          <w:divId w:val="714697741"/>
          <w:trHeight w:val="300"/>
        </w:trPr>
        <w:tc>
          <w:tcPr>
            <w:tcW w:w="3416" w:type="dxa"/>
            <w:hideMark/>
          </w:tcPr>
          <w:p w14:paraId="4FC27FA5" w14:textId="77777777" w:rsidR="0016121A" w:rsidRPr="0016121A" w:rsidRDefault="0016121A" w:rsidP="0016121A">
            <w:pPr>
              <w:rPr>
                <w:b/>
                <w:bCs/>
              </w:rPr>
            </w:pPr>
            <w:r w:rsidRPr="0016121A">
              <w:rPr>
                <w:b/>
                <w:bCs/>
              </w:rPr>
              <w:t>Expenditures</w:t>
            </w:r>
          </w:p>
        </w:tc>
        <w:tc>
          <w:tcPr>
            <w:tcW w:w="1333" w:type="dxa"/>
            <w:noWrap/>
            <w:hideMark/>
          </w:tcPr>
          <w:p w14:paraId="73A7B415" w14:textId="77777777" w:rsidR="0016121A" w:rsidRPr="0016121A" w:rsidRDefault="0016121A" w:rsidP="0016121A">
            <w:pPr>
              <w:jc w:val="right"/>
              <w:rPr>
                <w:b/>
                <w:bCs/>
              </w:rPr>
            </w:pPr>
          </w:p>
        </w:tc>
        <w:tc>
          <w:tcPr>
            <w:tcW w:w="1359" w:type="dxa"/>
            <w:noWrap/>
            <w:hideMark/>
          </w:tcPr>
          <w:p w14:paraId="03B46CFD" w14:textId="77777777" w:rsidR="0016121A" w:rsidRPr="0016121A" w:rsidRDefault="0016121A" w:rsidP="0016121A">
            <w:pPr>
              <w:jc w:val="right"/>
            </w:pPr>
          </w:p>
        </w:tc>
        <w:tc>
          <w:tcPr>
            <w:tcW w:w="1333" w:type="dxa"/>
            <w:noWrap/>
            <w:hideMark/>
          </w:tcPr>
          <w:p w14:paraId="3BC5D3FE" w14:textId="77777777" w:rsidR="0016121A" w:rsidRPr="0016121A" w:rsidRDefault="0016121A" w:rsidP="0016121A">
            <w:pPr>
              <w:jc w:val="right"/>
            </w:pPr>
          </w:p>
        </w:tc>
        <w:tc>
          <w:tcPr>
            <w:tcW w:w="1333" w:type="dxa"/>
            <w:noWrap/>
            <w:hideMark/>
          </w:tcPr>
          <w:p w14:paraId="2F6285F3" w14:textId="77777777" w:rsidR="0016121A" w:rsidRPr="0016121A" w:rsidRDefault="0016121A" w:rsidP="0016121A">
            <w:pPr>
              <w:jc w:val="right"/>
            </w:pPr>
          </w:p>
        </w:tc>
        <w:tc>
          <w:tcPr>
            <w:tcW w:w="1333" w:type="dxa"/>
            <w:noWrap/>
            <w:hideMark/>
          </w:tcPr>
          <w:p w14:paraId="71B98A79" w14:textId="77777777" w:rsidR="0016121A" w:rsidRPr="0016121A" w:rsidRDefault="0016121A" w:rsidP="0016121A">
            <w:pPr>
              <w:jc w:val="right"/>
            </w:pPr>
          </w:p>
        </w:tc>
        <w:tc>
          <w:tcPr>
            <w:tcW w:w="1333" w:type="dxa"/>
            <w:noWrap/>
            <w:hideMark/>
          </w:tcPr>
          <w:p w14:paraId="760243EE" w14:textId="77777777" w:rsidR="0016121A" w:rsidRPr="0016121A" w:rsidRDefault="0016121A" w:rsidP="0016121A">
            <w:pPr>
              <w:jc w:val="right"/>
            </w:pPr>
          </w:p>
        </w:tc>
      </w:tr>
      <w:tr w:rsidR="0016121A" w:rsidRPr="0016121A" w14:paraId="39521390" w14:textId="77777777" w:rsidTr="0016121A">
        <w:trPr>
          <w:divId w:val="714697741"/>
          <w:trHeight w:val="300"/>
        </w:trPr>
        <w:tc>
          <w:tcPr>
            <w:tcW w:w="3416" w:type="dxa"/>
            <w:hideMark/>
          </w:tcPr>
          <w:p w14:paraId="06B21879" w14:textId="77777777" w:rsidR="0016121A" w:rsidRPr="0016121A" w:rsidRDefault="0016121A" w:rsidP="0016121A">
            <w:r w:rsidRPr="0016121A">
              <w:t>Salaries &amp; Benefits</w:t>
            </w:r>
          </w:p>
        </w:tc>
        <w:tc>
          <w:tcPr>
            <w:tcW w:w="1333" w:type="dxa"/>
            <w:noWrap/>
            <w:hideMark/>
          </w:tcPr>
          <w:p w14:paraId="796187A9" w14:textId="77777777" w:rsidR="0016121A" w:rsidRPr="0016121A" w:rsidRDefault="0016121A" w:rsidP="0016121A">
            <w:pPr>
              <w:jc w:val="right"/>
            </w:pPr>
            <w:r w:rsidRPr="0016121A">
              <w:t xml:space="preserve">   113,031,161 </w:t>
            </w:r>
          </w:p>
        </w:tc>
        <w:tc>
          <w:tcPr>
            <w:tcW w:w="1359" w:type="dxa"/>
            <w:noWrap/>
            <w:hideMark/>
          </w:tcPr>
          <w:p w14:paraId="2D9E56F5" w14:textId="77777777" w:rsidR="0016121A" w:rsidRPr="0016121A" w:rsidRDefault="0016121A" w:rsidP="0016121A">
            <w:pPr>
              <w:jc w:val="right"/>
            </w:pPr>
            <w:r w:rsidRPr="0016121A">
              <w:t xml:space="preserve">         125,332,727 </w:t>
            </w:r>
          </w:p>
        </w:tc>
        <w:tc>
          <w:tcPr>
            <w:tcW w:w="1333" w:type="dxa"/>
            <w:noWrap/>
            <w:hideMark/>
          </w:tcPr>
          <w:p w14:paraId="2E7AB285" w14:textId="77777777" w:rsidR="0016121A" w:rsidRPr="0016121A" w:rsidRDefault="0016121A" w:rsidP="0016121A">
            <w:pPr>
              <w:jc w:val="right"/>
            </w:pPr>
            <w:r w:rsidRPr="0016121A">
              <w:t xml:space="preserve">   132,192,709 </w:t>
            </w:r>
          </w:p>
        </w:tc>
        <w:tc>
          <w:tcPr>
            <w:tcW w:w="1333" w:type="dxa"/>
            <w:noWrap/>
            <w:hideMark/>
          </w:tcPr>
          <w:p w14:paraId="341F7707" w14:textId="77777777" w:rsidR="0016121A" w:rsidRPr="0016121A" w:rsidRDefault="0016121A" w:rsidP="0016121A">
            <w:pPr>
              <w:jc w:val="right"/>
            </w:pPr>
            <w:r w:rsidRPr="0016121A">
              <w:t xml:space="preserve">   136,158,490 </w:t>
            </w:r>
          </w:p>
        </w:tc>
        <w:tc>
          <w:tcPr>
            <w:tcW w:w="1333" w:type="dxa"/>
            <w:noWrap/>
            <w:hideMark/>
          </w:tcPr>
          <w:p w14:paraId="362611CC" w14:textId="77777777" w:rsidR="0016121A" w:rsidRPr="0016121A" w:rsidRDefault="0016121A" w:rsidP="0016121A">
            <w:pPr>
              <w:jc w:val="right"/>
            </w:pPr>
            <w:r w:rsidRPr="0016121A">
              <w:t xml:space="preserve">   140,243,245 </w:t>
            </w:r>
          </w:p>
        </w:tc>
        <w:tc>
          <w:tcPr>
            <w:tcW w:w="1333" w:type="dxa"/>
            <w:noWrap/>
            <w:hideMark/>
          </w:tcPr>
          <w:p w14:paraId="6D85992C" w14:textId="77777777" w:rsidR="0016121A" w:rsidRPr="0016121A" w:rsidRDefault="0016121A" w:rsidP="0016121A">
            <w:pPr>
              <w:jc w:val="right"/>
            </w:pPr>
            <w:r w:rsidRPr="0016121A">
              <w:t xml:space="preserve">   144,450,542 </w:t>
            </w:r>
          </w:p>
        </w:tc>
      </w:tr>
      <w:tr w:rsidR="0016121A" w:rsidRPr="0016121A" w14:paraId="157E5DAE" w14:textId="77777777" w:rsidTr="0016121A">
        <w:trPr>
          <w:divId w:val="714697741"/>
          <w:trHeight w:val="300"/>
        </w:trPr>
        <w:tc>
          <w:tcPr>
            <w:tcW w:w="3416" w:type="dxa"/>
            <w:hideMark/>
          </w:tcPr>
          <w:p w14:paraId="1CC5486B" w14:textId="77777777" w:rsidR="0016121A" w:rsidRPr="0016121A" w:rsidRDefault="0016121A" w:rsidP="0016121A">
            <w:r w:rsidRPr="0016121A">
              <w:t>Services &amp; Supplies</w:t>
            </w:r>
          </w:p>
        </w:tc>
        <w:tc>
          <w:tcPr>
            <w:tcW w:w="1333" w:type="dxa"/>
            <w:noWrap/>
            <w:hideMark/>
          </w:tcPr>
          <w:p w14:paraId="5777E0D3" w14:textId="77777777" w:rsidR="0016121A" w:rsidRPr="0016121A" w:rsidRDefault="0016121A" w:rsidP="0016121A">
            <w:pPr>
              <w:jc w:val="right"/>
            </w:pPr>
            <w:r w:rsidRPr="0016121A">
              <w:t xml:space="preserve">     43,831,204 </w:t>
            </w:r>
          </w:p>
        </w:tc>
        <w:tc>
          <w:tcPr>
            <w:tcW w:w="1359" w:type="dxa"/>
            <w:noWrap/>
            <w:hideMark/>
          </w:tcPr>
          <w:p w14:paraId="2CF8E215" w14:textId="77777777" w:rsidR="0016121A" w:rsidRPr="0016121A" w:rsidRDefault="0016121A" w:rsidP="0016121A">
            <w:pPr>
              <w:jc w:val="right"/>
            </w:pPr>
            <w:r w:rsidRPr="0016121A">
              <w:t xml:space="preserve">           49,003,491 </w:t>
            </w:r>
          </w:p>
        </w:tc>
        <w:tc>
          <w:tcPr>
            <w:tcW w:w="1333" w:type="dxa"/>
            <w:noWrap/>
            <w:hideMark/>
          </w:tcPr>
          <w:p w14:paraId="63061AE4" w14:textId="77777777" w:rsidR="0016121A" w:rsidRPr="0016121A" w:rsidRDefault="0016121A" w:rsidP="0016121A">
            <w:pPr>
              <w:jc w:val="right"/>
            </w:pPr>
            <w:r w:rsidRPr="0016121A">
              <w:t xml:space="preserve">     54,854,675 </w:t>
            </w:r>
          </w:p>
        </w:tc>
        <w:tc>
          <w:tcPr>
            <w:tcW w:w="1333" w:type="dxa"/>
            <w:noWrap/>
            <w:hideMark/>
          </w:tcPr>
          <w:p w14:paraId="7C427FCE" w14:textId="77777777" w:rsidR="0016121A" w:rsidRPr="0016121A" w:rsidRDefault="0016121A" w:rsidP="0016121A">
            <w:pPr>
              <w:jc w:val="right"/>
            </w:pPr>
            <w:r w:rsidRPr="0016121A">
              <w:t xml:space="preserve">     55,288,555 </w:t>
            </w:r>
          </w:p>
        </w:tc>
        <w:tc>
          <w:tcPr>
            <w:tcW w:w="1333" w:type="dxa"/>
            <w:noWrap/>
            <w:hideMark/>
          </w:tcPr>
          <w:p w14:paraId="1E2E0004" w14:textId="77777777" w:rsidR="0016121A" w:rsidRPr="0016121A" w:rsidRDefault="0016121A" w:rsidP="0016121A">
            <w:pPr>
              <w:jc w:val="right"/>
            </w:pPr>
            <w:r w:rsidRPr="0016121A">
              <w:t xml:space="preserve">     57,552,432 </w:t>
            </w:r>
          </w:p>
        </w:tc>
        <w:tc>
          <w:tcPr>
            <w:tcW w:w="1333" w:type="dxa"/>
            <w:noWrap/>
            <w:hideMark/>
          </w:tcPr>
          <w:p w14:paraId="65C36ECB" w14:textId="77777777" w:rsidR="0016121A" w:rsidRPr="0016121A" w:rsidRDefault="0016121A" w:rsidP="0016121A">
            <w:pPr>
              <w:jc w:val="right"/>
            </w:pPr>
            <w:r w:rsidRPr="0016121A">
              <w:t xml:space="preserve">     58,023,389 </w:t>
            </w:r>
          </w:p>
        </w:tc>
      </w:tr>
      <w:tr w:rsidR="0016121A" w:rsidRPr="0016121A" w14:paraId="22F73BC6" w14:textId="77777777" w:rsidTr="0016121A">
        <w:trPr>
          <w:divId w:val="714697741"/>
          <w:trHeight w:val="300"/>
        </w:trPr>
        <w:tc>
          <w:tcPr>
            <w:tcW w:w="3416" w:type="dxa"/>
            <w:hideMark/>
          </w:tcPr>
          <w:p w14:paraId="2BDCA053" w14:textId="77777777" w:rsidR="0016121A" w:rsidRPr="0016121A" w:rsidRDefault="0016121A" w:rsidP="0016121A">
            <w:r w:rsidRPr="0016121A">
              <w:t>Contributions to non-GF depts</w:t>
            </w:r>
          </w:p>
        </w:tc>
        <w:tc>
          <w:tcPr>
            <w:tcW w:w="1333" w:type="dxa"/>
            <w:noWrap/>
            <w:hideMark/>
          </w:tcPr>
          <w:p w14:paraId="49FF47E6" w14:textId="77777777" w:rsidR="0016121A" w:rsidRPr="0016121A" w:rsidRDefault="0016121A" w:rsidP="0016121A">
            <w:pPr>
              <w:jc w:val="right"/>
            </w:pPr>
            <w:r w:rsidRPr="0016121A">
              <w:t xml:space="preserve">     27,741,510 </w:t>
            </w:r>
          </w:p>
        </w:tc>
        <w:tc>
          <w:tcPr>
            <w:tcW w:w="1359" w:type="dxa"/>
            <w:noWrap/>
            <w:hideMark/>
          </w:tcPr>
          <w:p w14:paraId="617621C9" w14:textId="77777777" w:rsidR="0016121A" w:rsidRPr="0016121A" w:rsidRDefault="0016121A" w:rsidP="0016121A">
            <w:pPr>
              <w:jc w:val="right"/>
            </w:pPr>
            <w:r w:rsidRPr="0016121A">
              <w:t xml:space="preserve">           28,746,311 </w:t>
            </w:r>
          </w:p>
        </w:tc>
        <w:tc>
          <w:tcPr>
            <w:tcW w:w="1333" w:type="dxa"/>
            <w:noWrap/>
            <w:hideMark/>
          </w:tcPr>
          <w:p w14:paraId="0BFB170E" w14:textId="77777777" w:rsidR="0016121A" w:rsidRPr="0016121A" w:rsidRDefault="0016121A" w:rsidP="0016121A">
            <w:pPr>
              <w:jc w:val="right"/>
            </w:pPr>
            <w:r w:rsidRPr="0016121A">
              <w:t xml:space="preserve">     29,118,386 </w:t>
            </w:r>
          </w:p>
        </w:tc>
        <w:tc>
          <w:tcPr>
            <w:tcW w:w="1333" w:type="dxa"/>
            <w:noWrap/>
            <w:hideMark/>
          </w:tcPr>
          <w:p w14:paraId="3AB0314E" w14:textId="77777777" w:rsidR="0016121A" w:rsidRPr="0016121A" w:rsidRDefault="0016121A" w:rsidP="0016121A">
            <w:pPr>
              <w:jc w:val="right"/>
            </w:pPr>
            <w:r w:rsidRPr="0016121A">
              <w:t xml:space="preserve">     29,524,236 </w:t>
            </w:r>
          </w:p>
        </w:tc>
        <w:tc>
          <w:tcPr>
            <w:tcW w:w="1333" w:type="dxa"/>
            <w:noWrap/>
            <w:hideMark/>
          </w:tcPr>
          <w:p w14:paraId="1460402D" w14:textId="77777777" w:rsidR="0016121A" w:rsidRPr="0016121A" w:rsidRDefault="0016121A" w:rsidP="0016121A">
            <w:pPr>
              <w:jc w:val="right"/>
            </w:pPr>
            <w:r w:rsidRPr="0016121A">
              <w:t xml:space="preserve">     28,108,487 </w:t>
            </w:r>
          </w:p>
        </w:tc>
        <w:tc>
          <w:tcPr>
            <w:tcW w:w="1333" w:type="dxa"/>
            <w:noWrap/>
            <w:hideMark/>
          </w:tcPr>
          <w:p w14:paraId="4B8AB2B9" w14:textId="77777777" w:rsidR="0016121A" w:rsidRPr="0016121A" w:rsidRDefault="0016121A" w:rsidP="0016121A">
            <w:pPr>
              <w:jc w:val="right"/>
            </w:pPr>
            <w:r w:rsidRPr="0016121A">
              <w:t xml:space="preserve">     28,494,139 </w:t>
            </w:r>
          </w:p>
        </w:tc>
      </w:tr>
      <w:tr w:rsidR="0016121A" w:rsidRPr="0016121A" w14:paraId="08ED4CB2" w14:textId="77777777" w:rsidTr="0016121A">
        <w:trPr>
          <w:divId w:val="714697741"/>
          <w:trHeight w:val="300"/>
        </w:trPr>
        <w:tc>
          <w:tcPr>
            <w:tcW w:w="3416" w:type="dxa"/>
            <w:hideMark/>
          </w:tcPr>
          <w:p w14:paraId="01BCE93C" w14:textId="77777777" w:rsidR="0016121A" w:rsidRPr="0016121A" w:rsidRDefault="0016121A" w:rsidP="0016121A">
            <w:r w:rsidRPr="0016121A">
              <w:t>Accumulated Capital Outlay</w:t>
            </w:r>
          </w:p>
        </w:tc>
        <w:tc>
          <w:tcPr>
            <w:tcW w:w="1333" w:type="dxa"/>
            <w:noWrap/>
            <w:hideMark/>
          </w:tcPr>
          <w:p w14:paraId="474C4F28" w14:textId="77777777" w:rsidR="0016121A" w:rsidRPr="0016121A" w:rsidRDefault="0016121A" w:rsidP="0016121A">
            <w:pPr>
              <w:jc w:val="right"/>
            </w:pPr>
            <w:r w:rsidRPr="0016121A">
              <w:t xml:space="preserve">     14,000,000 </w:t>
            </w:r>
          </w:p>
        </w:tc>
        <w:tc>
          <w:tcPr>
            <w:tcW w:w="1359" w:type="dxa"/>
            <w:noWrap/>
            <w:hideMark/>
          </w:tcPr>
          <w:p w14:paraId="55857964" w14:textId="77777777" w:rsidR="0016121A" w:rsidRPr="0016121A" w:rsidRDefault="0016121A" w:rsidP="0016121A">
            <w:pPr>
              <w:jc w:val="right"/>
            </w:pPr>
            <w:r w:rsidRPr="0016121A">
              <w:t xml:space="preserve">           12,600,000 </w:t>
            </w:r>
          </w:p>
        </w:tc>
        <w:tc>
          <w:tcPr>
            <w:tcW w:w="1333" w:type="dxa"/>
            <w:noWrap/>
            <w:hideMark/>
          </w:tcPr>
          <w:p w14:paraId="7C8EC339" w14:textId="77777777" w:rsidR="0016121A" w:rsidRPr="0016121A" w:rsidRDefault="0016121A" w:rsidP="0016121A">
            <w:pPr>
              <w:jc w:val="right"/>
            </w:pPr>
            <w:r w:rsidRPr="0016121A">
              <w:t xml:space="preserve">     11,340,000 </w:t>
            </w:r>
          </w:p>
        </w:tc>
        <w:tc>
          <w:tcPr>
            <w:tcW w:w="1333" w:type="dxa"/>
            <w:noWrap/>
            <w:hideMark/>
          </w:tcPr>
          <w:p w14:paraId="0BE45001" w14:textId="77777777" w:rsidR="0016121A" w:rsidRPr="0016121A" w:rsidRDefault="0016121A" w:rsidP="0016121A">
            <w:pPr>
              <w:jc w:val="right"/>
            </w:pPr>
            <w:r w:rsidRPr="0016121A">
              <w:t xml:space="preserve">     10,206,000 </w:t>
            </w:r>
          </w:p>
        </w:tc>
        <w:tc>
          <w:tcPr>
            <w:tcW w:w="1333" w:type="dxa"/>
            <w:noWrap/>
            <w:hideMark/>
          </w:tcPr>
          <w:p w14:paraId="50DDF839" w14:textId="77777777" w:rsidR="0016121A" w:rsidRPr="0016121A" w:rsidRDefault="0016121A" w:rsidP="0016121A">
            <w:pPr>
              <w:jc w:val="right"/>
            </w:pPr>
            <w:r w:rsidRPr="0016121A">
              <w:t xml:space="preserve">       9,185,400 </w:t>
            </w:r>
          </w:p>
        </w:tc>
        <w:tc>
          <w:tcPr>
            <w:tcW w:w="1333" w:type="dxa"/>
            <w:noWrap/>
            <w:hideMark/>
          </w:tcPr>
          <w:p w14:paraId="6E8895F2" w14:textId="77777777" w:rsidR="0016121A" w:rsidRPr="0016121A" w:rsidRDefault="0016121A" w:rsidP="0016121A">
            <w:pPr>
              <w:jc w:val="right"/>
            </w:pPr>
            <w:r w:rsidRPr="0016121A">
              <w:t xml:space="preserve">       8,266,860 </w:t>
            </w:r>
          </w:p>
        </w:tc>
      </w:tr>
      <w:tr w:rsidR="0016121A" w:rsidRPr="0016121A" w14:paraId="70E4CFD3" w14:textId="77777777" w:rsidTr="0016121A">
        <w:trPr>
          <w:divId w:val="714697741"/>
          <w:trHeight w:val="300"/>
        </w:trPr>
        <w:tc>
          <w:tcPr>
            <w:tcW w:w="3416" w:type="dxa"/>
            <w:hideMark/>
          </w:tcPr>
          <w:p w14:paraId="12A3EBCF" w14:textId="77777777" w:rsidR="0016121A" w:rsidRPr="0016121A" w:rsidRDefault="0016121A" w:rsidP="0016121A">
            <w:r w:rsidRPr="0016121A">
              <w:t>Operational Contingency</w:t>
            </w:r>
          </w:p>
        </w:tc>
        <w:tc>
          <w:tcPr>
            <w:tcW w:w="1333" w:type="dxa"/>
            <w:noWrap/>
            <w:hideMark/>
          </w:tcPr>
          <w:p w14:paraId="359A1EF2" w14:textId="77777777" w:rsidR="0016121A" w:rsidRPr="0016121A" w:rsidRDefault="0016121A" w:rsidP="0016121A">
            <w:pPr>
              <w:jc w:val="right"/>
            </w:pPr>
            <w:r w:rsidRPr="0016121A">
              <w:t xml:space="preserve">       5,000,000 </w:t>
            </w:r>
          </w:p>
        </w:tc>
        <w:tc>
          <w:tcPr>
            <w:tcW w:w="1359" w:type="dxa"/>
            <w:noWrap/>
            <w:hideMark/>
          </w:tcPr>
          <w:p w14:paraId="74A1ECF9" w14:textId="77777777" w:rsidR="0016121A" w:rsidRPr="0016121A" w:rsidRDefault="0016121A" w:rsidP="0016121A">
            <w:pPr>
              <w:jc w:val="right"/>
            </w:pPr>
            <w:r w:rsidRPr="0016121A">
              <w:t xml:space="preserve">              5,391,842 </w:t>
            </w:r>
          </w:p>
        </w:tc>
        <w:tc>
          <w:tcPr>
            <w:tcW w:w="1333" w:type="dxa"/>
            <w:noWrap/>
            <w:hideMark/>
          </w:tcPr>
          <w:p w14:paraId="030CFC1B" w14:textId="77777777" w:rsidR="0016121A" w:rsidRPr="0016121A" w:rsidRDefault="0016121A" w:rsidP="0016121A">
            <w:pPr>
              <w:jc w:val="right"/>
            </w:pPr>
            <w:r w:rsidRPr="0016121A">
              <w:t xml:space="preserve">       5,611,422 </w:t>
            </w:r>
          </w:p>
        </w:tc>
        <w:tc>
          <w:tcPr>
            <w:tcW w:w="1333" w:type="dxa"/>
            <w:noWrap/>
            <w:hideMark/>
          </w:tcPr>
          <w:p w14:paraId="24303DCD" w14:textId="77777777" w:rsidR="0016121A" w:rsidRPr="0016121A" w:rsidRDefault="0016121A" w:rsidP="0016121A">
            <w:pPr>
              <w:jc w:val="right"/>
            </w:pPr>
            <w:r w:rsidRPr="0016121A">
              <w:t xml:space="preserve">       5,743,411 </w:t>
            </w:r>
          </w:p>
        </w:tc>
        <w:tc>
          <w:tcPr>
            <w:tcW w:w="1333" w:type="dxa"/>
            <w:noWrap/>
            <w:hideMark/>
          </w:tcPr>
          <w:p w14:paraId="69BF9878" w14:textId="77777777" w:rsidR="0016121A" w:rsidRPr="0016121A" w:rsidRDefault="0016121A" w:rsidP="0016121A">
            <w:pPr>
              <w:jc w:val="right"/>
            </w:pPr>
            <w:r w:rsidRPr="0016121A">
              <w:t xml:space="preserve">       5,933,870 </w:t>
            </w:r>
          </w:p>
        </w:tc>
        <w:tc>
          <w:tcPr>
            <w:tcW w:w="1333" w:type="dxa"/>
            <w:noWrap/>
            <w:hideMark/>
          </w:tcPr>
          <w:p w14:paraId="764930DF" w14:textId="77777777" w:rsidR="0016121A" w:rsidRPr="0016121A" w:rsidRDefault="0016121A" w:rsidP="0016121A">
            <w:pPr>
              <w:jc w:val="right"/>
            </w:pPr>
            <w:r w:rsidRPr="0016121A">
              <w:t xml:space="preserve">       6,074,218 </w:t>
            </w:r>
          </w:p>
        </w:tc>
      </w:tr>
      <w:tr w:rsidR="0016121A" w:rsidRPr="0016121A" w14:paraId="350CE5B2" w14:textId="77777777" w:rsidTr="0016121A">
        <w:trPr>
          <w:divId w:val="714697741"/>
          <w:trHeight w:val="300"/>
        </w:trPr>
        <w:tc>
          <w:tcPr>
            <w:tcW w:w="3416" w:type="dxa"/>
            <w:hideMark/>
          </w:tcPr>
          <w:p w14:paraId="1505B263" w14:textId="77777777" w:rsidR="0016121A" w:rsidRPr="0016121A" w:rsidRDefault="0016121A" w:rsidP="0016121A">
            <w:r w:rsidRPr="0016121A">
              <w:t>Increase to General Reserve</w:t>
            </w:r>
          </w:p>
        </w:tc>
        <w:tc>
          <w:tcPr>
            <w:tcW w:w="1333" w:type="dxa"/>
            <w:noWrap/>
            <w:hideMark/>
          </w:tcPr>
          <w:p w14:paraId="169946A0" w14:textId="77777777" w:rsidR="0016121A" w:rsidRPr="0016121A" w:rsidRDefault="0016121A" w:rsidP="0016121A">
            <w:pPr>
              <w:jc w:val="right"/>
            </w:pPr>
          </w:p>
        </w:tc>
        <w:tc>
          <w:tcPr>
            <w:tcW w:w="1359" w:type="dxa"/>
            <w:noWrap/>
            <w:hideMark/>
          </w:tcPr>
          <w:p w14:paraId="1137269E" w14:textId="77777777" w:rsidR="0016121A" w:rsidRPr="0016121A" w:rsidRDefault="0016121A" w:rsidP="0016121A">
            <w:pPr>
              <w:jc w:val="right"/>
            </w:pPr>
            <w:r w:rsidRPr="0016121A">
              <w:t xml:space="preserve">              1,074,422 </w:t>
            </w:r>
          </w:p>
        </w:tc>
        <w:tc>
          <w:tcPr>
            <w:tcW w:w="1333" w:type="dxa"/>
            <w:noWrap/>
            <w:hideMark/>
          </w:tcPr>
          <w:p w14:paraId="0BD1419C" w14:textId="77777777" w:rsidR="0016121A" w:rsidRPr="0016121A" w:rsidRDefault="0016121A" w:rsidP="0016121A">
            <w:pPr>
              <w:jc w:val="right"/>
            </w:pPr>
          </w:p>
        </w:tc>
        <w:tc>
          <w:tcPr>
            <w:tcW w:w="1333" w:type="dxa"/>
            <w:noWrap/>
            <w:hideMark/>
          </w:tcPr>
          <w:p w14:paraId="75CEB8B6" w14:textId="77777777" w:rsidR="0016121A" w:rsidRPr="0016121A" w:rsidRDefault="0016121A" w:rsidP="0016121A">
            <w:pPr>
              <w:jc w:val="right"/>
            </w:pPr>
          </w:p>
        </w:tc>
        <w:tc>
          <w:tcPr>
            <w:tcW w:w="1333" w:type="dxa"/>
            <w:noWrap/>
            <w:hideMark/>
          </w:tcPr>
          <w:p w14:paraId="1691236B" w14:textId="77777777" w:rsidR="0016121A" w:rsidRPr="0016121A" w:rsidRDefault="0016121A" w:rsidP="0016121A">
            <w:pPr>
              <w:jc w:val="right"/>
            </w:pPr>
          </w:p>
        </w:tc>
        <w:tc>
          <w:tcPr>
            <w:tcW w:w="1333" w:type="dxa"/>
            <w:noWrap/>
            <w:hideMark/>
          </w:tcPr>
          <w:p w14:paraId="590878BE" w14:textId="77777777" w:rsidR="0016121A" w:rsidRPr="0016121A" w:rsidRDefault="0016121A" w:rsidP="0016121A">
            <w:pPr>
              <w:jc w:val="right"/>
            </w:pPr>
          </w:p>
        </w:tc>
      </w:tr>
      <w:tr w:rsidR="0016121A" w:rsidRPr="0016121A" w14:paraId="0A20015E" w14:textId="77777777" w:rsidTr="0016121A">
        <w:trPr>
          <w:divId w:val="714697741"/>
          <w:trHeight w:val="300"/>
        </w:trPr>
        <w:tc>
          <w:tcPr>
            <w:tcW w:w="3416" w:type="dxa"/>
            <w:hideMark/>
          </w:tcPr>
          <w:p w14:paraId="4AD49AE1" w14:textId="77777777" w:rsidR="0016121A" w:rsidRPr="0016121A" w:rsidRDefault="0016121A" w:rsidP="0016121A">
            <w:r w:rsidRPr="0016121A">
              <w:t>Increase to Fiscal Uncertainty</w:t>
            </w:r>
          </w:p>
        </w:tc>
        <w:tc>
          <w:tcPr>
            <w:tcW w:w="1333" w:type="dxa"/>
            <w:noWrap/>
            <w:hideMark/>
          </w:tcPr>
          <w:p w14:paraId="594692F0" w14:textId="77777777" w:rsidR="0016121A" w:rsidRPr="0016121A" w:rsidRDefault="0016121A" w:rsidP="0016121A">
            <w:pPr>
              <w:jc w:val="right"/>
            </w:pPr>
            <w:r w:rsidRPr="0016121A">
              <w:t> </w:t>
            </w:r>
          </w:p>
        </w:tc>
        <w:tc>
          <w:tcPr>
            <w:tcW w:w="1359" w:type="dxa"/>
            <w:noWrap/>
            <w:hideMark/>
          </w:tcPr>
          <w:p w14:paraId="037FDBEE" w14:textId="77777777" w:rsidR="0016121A" w:rsidRPr="0016121A" w:rsidRDefault="0016121A" w:rsidP="0016121A">
            <w:pPr>
              <w:jc w:val="right"/>
            </w:pPr>
            <w:r w:rsidRPr="0016121A">
              <w:t xml:space="preserve">              2,143,802 </w:t>
            </w:r>
          </w:p>
        </w:tc>
        <w:tc>
          <w:tcPr>
            <w:tcW w:w="1333" w:type="dxa"/>
            <w:noWrap/>
            <w:hideMark/>
          </w:tcPr>
          <w:p w14:paraId="5B24EBA9" w14:textId="77777777" w:rsidR="0016121A" w:rsidRPr="0016121A" w:rsidRDefault="0016121A" w:rsidP="0016121A">
            <w:pPr>
              <w:jc w:val="right"/>
            </w:pPr>
            <w:r w:rsidRPr="0016121A">
              <w:t> </w:t>
            </w:r>
          </w:p>
        </w:tc>
        <w:tc>
          <w:tcPr>
            <w:tcW w:w="1333" w:type="dxa"/>
            <w:noWrap/>
            <w:hideMark/>
          </w:tcPr>
          <w:p w14:paraId="3271A70F" w14:textId="77777777" w:rsidR="0016121A" w:rsidRPr="0016121A" w:rsidRDefault="0016121A" w:rsidP="0016121A">
            <w:pPr>
              <w:jc w:val="right"/>
            </w:pPr>
            <w:r w:rsidRPr="0016121A">
              <w:t> </w:t>
            </w:r>
          </w:p>
        </w:tc>
        <w:tc>
          <w:tcPr>
            <w:tcW w:w="1333" w:type="dxa"/>
            <w:noWrap/>
            <w:hideMark/>
          </w:tcPr>
          <w:p w14:paraId="4D22BD2B" w14:textId="77777777" w:rsidR="0016121A" w:rsidRPr="0016121A" w:rsidRDefault="0016121A" w:rsidP="0016121A">
            <w:pPr>
              <w:jc w:val="right"/>
            </w:pPr>
            <w:r w:rsidRPr="0016121A">
              <w:t> </w:t>
            </w:r>
          </w:p>
        </w:tc>
        <w:tc>
          <w:tcPr>
            <w:tcW w:w="1333" w:type="dxa"/>
            <w:noWrap/>
            <w:hideMark/>
          </w:tcPr>
          <w:p w14:paraId="48C008D7" w14:textId="77777777" w:rsidR="0016121A" w:rsidRPr="0016121A" w:rsidRDefault="0016121A" w:rsidP="0016121A">
            <w:pPr>
              <w:jc w:val="right"/>
            </w:pPr>
            <w:r w:rsidRPr="0016121A">
              <w:t> </w:t>
            </w:r>
          </w:p>
        </w:tc>
      </w:tr>
      <w:tr w:rsidR="0016121A" w:rsidRPr="0016121A" w14:paraId="661A03AD" w14:textId="77777777" w:rsidTr="0016121A">
        <w:trPr>
          <w:divId w:val="714697741"/>
          <w:trHeight w:val="300"/>
        </w:trPr>
        <w:tc>
          <w:tcPr>
            <w:tcW w:w="3416" w:type="dxa"/>
            <w:hideMark/>
          </w:tcPr>
          <w:p w14:paraId="08E11DC9" w14:textId="77777777" w:rsidR="0016121A" w:rsidRPr="0016121A" w:rsidRDefault="0016121A" w:rsidP="0016121A">
            <w:pPr>
              <w:rPr>
                <w:b/>
                <w:bCs/>
              </w:rPr>
            </w:pPr>
            <w:r w:rsidRPr="0016121A">
              <w:rPr>
                <w:b/>
                <w:bCs/>
              </w:rPr>
              <w:t>Total on-going expenditures</w:t>
            </w:r>
          </w:p>
        </w:tc>
        <w:tc>
          <w:tcPr>
            <w:tcW w:w="1333" w:type="dxa"/>
            <w:noWrap/>
            <w:hideMark/>
          </w:tcPr>
          <w:p w14:paraId="3F40690F" w14:textId="77777777" w:rsidR="0016121A" w:rsidRPr="0016121A" w:rsidRDefault="0016121A" w:rsidP="0016121A">
            <w:pPr>
              <w:jc w:val="right"/>
              <w:rPr>
                <w:b/>
                <w:bCs/>
              </w:rPr>
            </w:pPr>
            <w:r w:rsidRPr="0016121A">
              <w:rPr>
                <w:b/>
                <w:bCs/>
              </w:rPr>
              <w:t xml:space="preserve">   203,603,875 </w:t>
            </w:r>
          </w:p>
        </w:tc>
        <w:tc>
          <w:tcPr>
            <w:tcW w:w="1359" w:type="dxa"/>
            <w:noWrap/>
            <w:hideMark/>
          </w:tcPr>
          <w:p w14:paraId="250B3167" w14:textId="77777777" w:rsidR="0016121A" w:rsidRPr="0016121A" w:rsidRDefault="0016121A" w:rsidP="0016121A">
            <w:pPr>
              <w:jc w:val="right"/>
              <w:rPr>
                <w:b/>
                <w:bCs/>
              </w:rPr>
            </w:pPr>
            <w:r w:rsidRPr="0016121A">
              <w:rPr>
                <w:b/>
                <w:bCs/>
              </w:rPr>
              <w:t xml:space="preserve">         224,292,595 </w:t>
            </w:r>
          </w:p>
        </w:tc>
        <w:tc>
          <w:tcPr>
            <w:tcW w:w="1333" w:type="dxa"/>
            <w:noWrap/>
            <w:hideMark/>
          </w:tcPr>
          <w:p w14:paraId="397304CD" w14:textId="77777777" w:rsidR="0016121A" w:rsidRPr="0016121A" w:rsidRDefault="0016121A" w:rsidP="0016121A">
            <w:pPr>
              <w:jc w:val="right"/>
              <w:rPr>
                <w:b/>
                <w:bCs/>
              </w:rPr>
            </w:pPr>
            <w:r w:rsidRPr="0016121A">
              <w:rPr>
                <w:b/>
                <w:bCs/>
              </w:rPr>
              <w:t xml:space="preserve">   233,117,191 </w:t>
            </w:r>
          </w:p>
        </w:tc>
        <w:tc>
          <w:tcPr>
            <w:tcW w:w="1333" w:type="dxa"/>
            <w:noWrap/>
            <w:hideMark/>
          </w:tcPr>
          <w:p w14:paraId="0C8BF1C9" w14:textId="77777777" w:rsidR="0016121A" w:rsidRPr="0016121A" w:rsidRDefault="0016121A" w:rsidP="0016121A">
            <w:pPr>
              <w:jc w:val="right"/>
              <w:rPr>
                <w:b/>
                <w:bCs/>
              </w:rPr>
            </w:pPr>
            <w:r w:rsidRPr="0016121A">
              <w:rPr>
                <w:b/>
                <w:bCs/>
              </w:rPr>
              <w:t xml:space="preserve">   236,920,692 </w:t>
            </w:r>
          </w:p>
        </w:tc>
        <w:tc>
          <w:tcPr>
            <w:tcW w:w="1333" w:type="dxa"/>
            <w:noWrap/>
            <w:hideMark/>
          </w:tcPr>
          <w:p w14:paraId="6FC7602B" w14:textId="77777777" w:rsidR="0016121A" w:rsidRPr="0016121A" w:rsidRDefault="0016121A" w:rsidP="0016121A">
            <w:pPr>
              <w:jc w:val="right"/>
              <w:rPr>
                <w:b/>
                <w:bCs/>
              </w:rPr>
            </w:pPr>
            <w:r w:rsidRPr="0016121A">
              <w:rPr>
                <w:b/>
                <w:bCs/>
              </w:rPr>
              <w:t xml:space="preserve">   241,023,434 </w:t>
            </w:r>
          </w:p>
        </w:tc>
        <w:tc>
          <w:tcPr>
            <w:tcW w:w="1333" w:type="dxa"/>
            <w:noWrap/>
            <w:hideMark/>
          </w:tcPr>
          <w:p w14:paraId="4EC13BA5" w14:textId="77777777" w:rsidR="0016121A" w:rsidRPr="0016121A" w:rsidRDefault="0016121A" w:rsidP="0016121A">
            <w:pPr>
              <w:jc w:val="right"/>
              <w:rPr>
                <w:b/>
                <w:bCs/>
              </w:rPr>
            </w:pPr>
            <w:r w:rsidRPr="0016121A">
              <w:rPr>
                <w:b/>
                <w:bCs/>
              </w:rPr>
              <w:t xml:space="preserve">   245,309,148 </w:t>
            </w:r>
          </w:p>
        </w:tc>
      </w:tr>
      <w:tr w:rsidR="0016121A" w:rsidRPr="0016121A" w14:paraId="6DEE59FB" w14:textId="77777777" w:rsidTr="0016121A">
        <w:trPr>
          <w:divId w:val="714697741"/>
          <w:trHeight w:val="300"/>
        </w:trPr>
        <w:tc>
          <w:tcPr>
            <w:tcW w:w="3416" w:type="dxa"/>
            <w:hideMark/>
          </w:tcPr>
          <w:p w14:paraId="0F0C02C8" w14:textId="77777777" w:rsidR="0016121A" w:rsidRPr="0016121A" w:rsidRDefault="0016121A" w:rsidP="0016121A">
            <w:pPr>
              <w:rPr>
                <w:b/>
                <w:bCs/>
              </w:rPr>
            </w:pPr>
            <w:r w:rsidRPr="0016121A">
              <w:rPr>
                <w:b/>
                <w:bCs/>
              </w:rPr>
              <w:t>increase (decrease) of fund balance</w:t>
            </w:r>
          </w:p>
        </w:tc>
        <w:tc>
          <w:tcPr>
            <w:tcW w:w="1333" w:type="dxa"/>
            <w:noWrap/>
            <w:hideMark/>
          </w:tcPr>
          <w:p w14:paraId="5AD35A97" w14:textId="77777777" w:rsidR="0016121A" w:rsidRPr="0016121A" w:rsidRDefault="0016121A" w:rsidP="0016121A">
            <w:pPr>
              <w:jc w:val="right"/>
              <w:rPr>
                <w:b/>
                <w:bCs/>
              </w:rPr>
            </w:pPr>
            <w:r w:rsidRPr="0016121A">
              <w:rPr>
                <w:b/>
                <w:bCs/>
              </w:rPr>
              <w:t xml:space="preserve">     (1,147,034)</w:t>
            </w:r>
          </w:p>
        </w:tc>
        <w:tc>
          <w:tcPr>
            <w:tcW w:w="1359" w:type="dxa"/>
            <w:noWrap/>
            <w:hideMark/>
          </w:tcPr>
          <w:p w14:paraId="79474BF0" w14:textId="77777777" w:rsidR="0016121A" w:rsidRPr="0016121A" w:rsidRDefault="0016121A" w:rsidP="0016121A">
            <w:pPr>
              <w:jc w:val="right"/>
              <w:rPr>
                <w:b/>
                <w:bCs/>
              </w:rPr>
            </w:pPr>
            <w:r w:rsidRPr="0016121A">
              <w:rPr>
                <w:b/>
                <w:bCs/>
              </w:rPr>
              <w:t xml:space="preserve">           (5,846,748)</w:t>
            </w:r>
          </w:p>
        </w:tc>
        <w:tc>
          <w:tcPr>
            <w:tcW w:w="1333" w:type="dxa"/>
            <w:noWrap/>
            <w:hideMark/>
          </w:tcPr>
          <w:p w14:paraId="3F392468" w14:textId="77777777" w:rsidR="0016121A" w:rsidRPr="0016121A" w:rsidRDefault="0016121A" w:rsidP="0016121A">
            <w:pPr>
              <w:jc w:val="right"/>
              <w:rPr>
                <w:b/>
                <w:bCs/>
              </w:rPr>
            </w:pPr>
            <w:r w:rsidRPr="0016121A">
              <w:rPr>
                <w:b/>
                <w:bCs/>
              </w:rPr>
              <w:t xml:space="preserve">     (9,386,173)</w:t>
            </w:r>
          </w:p>
        </w:tc>
        <w:tc>
          <w:tcPr>
            <w:tcW w:w="1333" w:type="dxa"/>
            <w:noWrap/>
            <w:hideMark/>
          </w:tcPr>
          <w:p w14:paraId="0E368B1E" w14:textId="77777777" w:rsidR="0016121A" w:rsidRPr="0016121A" w:rsidRDefault="0016121A" w:rsidP="0016121A">
            <w:pPr>
              <w:jc w:val="right"/>
              <w:rPr>
                <w:b/>
                <w:bCs/>
              </w:rPr>
            </w:pPr>
            <w:r w:rsidRPr="0016121A">
              <w:rPr>
                <w:b/>
                <w:bCs/>
              </w:rPr>
              <w:t xml:space="preserve">     (7,943,476)</w:t>
            </w:r>
          </w:p>
        </w:tc>
        <w:tc>
          <w:tcPr>
            <w:tcW w:w="1333" w:type="dxa"/>
            <w:noWrap/>
            <w:hideMark/>
          </w:tcPr>
          <w:p w14:paraId="5D83AF80" w14:textId="77777777" w:rsidR="0016121A" w:rsidRPr="0016121A" w:rsidRDefault="0016121A" w:rsidP="0016121A">
            <w:pPr>
              <w:jc w:val="right"/>
              <w:rPr>
                <w:b/>
                <w:bCs/>
              </w:rPr>
            </w:pPr>
            <w:r w:rsidRPr="0016121A">
              <w:rPr>
                <w:b/>
                <w:bCs/>
              </w:rPr>
              <w:t xml:space="preserve">     (6,586,428)</w:t>
            </w:r>
          </w:p>
        </w:tc>
        <w:tc>
          <w:tcPr>
            <w:tcW w:w="1333" w:type="dxa"/>
            <w:noWrap/>
            <w:hideMark/>
          </w:tcPr>
          <w:p w14:paraId="1FF0A4C8" w14:textId="77777777" w:rsidR="0016121A" w:rsidRPr="0016121A" w:rsidRDefault="0016121A" w:rsidP="0016121A">
            <w:pPr>
              <w:jc w:val="right"/>
              <w:rPr>
                <w:b/>
                <w:bCs/>
              </w:rPr>
            </w:pPr>
            <w:r w:rsidRPr="0016121A">
              <w:rPr>
                <w:b/>
                <w:bCs/>
              </w:rPr>
              <w:t xml:space="preserve">     (6,965,974)</w:t>
            </w:r>
          </w:p>
        </w:tc>
      </w:tr>
    </w:tbl>
    <w:p w14:paraId="64D2E5A1" w14:textId="4CC27222" w:rsidR="00CC1D35" w:rsidRDefault="0042327E" w:rsidP="00CC1D35">
      <w:r>
        <w:fldChar w:fldCharType="end"/>
      </w:r>
    </w:p>
    <w:p w14:paraId="09C02FE7" w14:textId="77777777" w:rsidR="00CC1D35" w:rsidRDefault="00CC1D35" w:rsidP="00CC1D35">
      <w:r>
        <w:t>The forecast above is based on the following assumptions:</w:t>
      </w:r>
    </w:p>
    <w:p w14:paraId="2CFA5F4D" w14:textId="77777777" w:rsidR="00CC1D35" w:rsidRDefault="00245CE8" w:rsidP="00CC1D35">
      <w:pPr>
        <w:pStyle w:val="ListParagraph"/>
        <w:numPr>
          <w:ilvl w:val="0"/>
          <w:numId w:val="31"/>
        </w:numPr>
      </w:pPr>
      <w:r>
        <w:t xml:space="preserve">Property tax growth of 4% per </w:t>
      </w:r>
      <w:r w:rsidR="00CC1D35">
        <w:t>year.</w:t>
      </w:r>
    </w:p>
    <w:p w14:paraId="1C26D129" w14:textId="77777777" w:rsidR="00CC1D35" w:rsidRDefault="00CC1D35" w:rsidP="00CC1D35">
      <w:pPr>
        <w:pStyle w:val="ListParagraph"/>
        <w:numPr>
          <w:ilvl w:val="0"/>
          <w:numId w:val="31"/>
        </w:numPr>
      </w:pPr>
      <w:r>
        <w:t>Sales tax growth of 3%</w:t>
      </w:r>
      <w:r w:rsidR="00245CE8">
        <w:t xml:space="preserve"> per </w:t>
      </w:r>
      <w:r>
        <w:t>year.</w:t>
      </w:r>
    </w:p>
    <w:p w14:paraId="1832D09D" w14:textId="77777777" w:rsidR="00CC1D35" w:rsidRDefault="00CC1D35" w:rsidP="00CC1D35">
      <w:pPr>
        <w:pStyle w:val="ListParagraph"/>
        <w:numPr>
          <w:ilvl w:val="0"/>
          <w:numId w:val="31"/>
        </w:numPr>
      </w:pPr>
      <w:r>
        <w:lastRenderedPageBreak/>
        <w:t>Transient Occ</w:t>
      </w:r>
      <w:r w:rsidR="00245CE8">
        <w:t xml:space="preserve">upancy Tax growth of 2% per </w:t>
      </w:r>
      <w:r>
        <w:t>year.</w:t>
      </w:r>
    </w:p>
    <w:p w14:paraId="7079CBC8" w14:textId="77777777" w:rsidR="00CC1D35" w:rsidRDefault="00CC1D35" w:rsidP="00CC1D35">
      <w:pPr>
        <w:pStyle w:val="ListParagraph"/>
        <w:numPr>
          <w:ilvl w:val="0"/>
          <w:numId w:val="31"/>
        </w:numPr>
      </w:pPr>
      <w:r>
        <w:t>Pro</w:t>
      </w:r>
      <w:r w:rsidR="00245CE8">
        <w:t xml:space="preserve">perty Transfer Tax growth of 4% per </w:t>
      </w:r>
      <w:r>
        <w:t>year.</w:t>
      </w:r>
    </w:p>
    <w:p w14:paraId="0B8BB311" w14:textId="4193422F" w:rsidR="00CC1D35" w:rsidRDefault="00CC1D35" w:rsidP="00CC1D35">
      <w:pPr>
        <w:pStyle w:val="ListParagraph"/>
        <w:numPr>
          <w:ilvl w:val="0"/>
          <w:numId w:val="31"/>
        </w:numPr>
      </w:pPr>
      <w:r>
        <w:t>Indirect Cost Allocation is assumed constant.</w:t>
      </w:r>
    </w:p>
    <w:p w14:paraId="495ECE47" w14:textId="396529D4" w:rsidR="00C26629" w:rsidRDefault="00C26629" w:rsidP="00CC1D35">
      <w:pPr>
        <w:pStyle w:val="ListParagraph"/>
        <w:numPr>
          <w:ilvl w:val="0"/>
          <w:numId w:val="31"/>
        </w:numPr>
      </w:pPr>
      <w:r>
        <w:t>Interest Income projections have been increased, based on the revised Investment Policy approved by the Board.</w:t>
      </w:r>
    </w:p>
    <w:p w14:paraId="09614CF3" w14:textId="77777777" w:rsidR="00CC1D35" w:rsidRDefault="00CC1D35" w:rsidP="00CC1D35">
      <w:pPr>
        <w:pStyle w:val="ListParagraph"/>
        <w:numPr>
          <w:ilvl w:val="0"/>
          <w:numId w:val="31"/>
        </w:numPr>
      </w:pPr>
      <w:r>
        <w:t xml:space="preserve">Other Revenues growth of </w:t>
      </w:r>
      <w:r w:rsidR="00C86DB8">
        <w:t>2</w:t>
      </w:r>
      <w:r w:rsidR="00245CE8">
        <w:t xml:space="preserve">% per </w:t>
      </w:r>
      <w:r>
        <w:t xml:space="preserve">year. This includes </w:t>
      </w:r>
      <w:r w:rsidR="00955C0E">
        <w:t xml:space="preserve">Proposition </w:t>
      </w:r>
      <w:r>
        <w:t>172, realignment revenues transferred into the General fund, state and federal program revenue received by departments, and charges for services.</w:t>
      </w:r>
    </w:p>
    <w:p w14:paraId="74D1BB79" w14:textId="77777777" w:rsidR="00CC1D35" w:rsidRDefault="00CC1D35" w:rsidP="00CC1D35">
      <w:pPr>
        <w:pStyle w:val="ListParagraph"/>
        <w:numPr>
          <w:ilvl w:val="0"/>
          <w:numId w:val="31"/>
        </w:numPr>
      </w:pPr>
      <w:r>
        <w:t>Salaries and Benefits</w:t>
      </w:r>
      <w:r w:rsidR="00C86DB8">
        <w:t>:</w:t>
      </w:r>
    </w:p>
    <w:p w14:paraId="2D120FD0" w14:textId="65D61148" w:rsidR="00CC1D35" w:rsidRDefault="00CC1D35" w:rsidP="00CC1D35">
      <w:pPr>
        <w:pStyle w:val="ListParagraph"/>
        <w:numPr>
          <w:ilvl w:val="1"/>
          <w:numId w:val="31"/>
        </w:numPr>
      </w:pPr>
      <w:r>
        <w:t>Salary assumptions based on approved ba</w:t>
      </w:r>
      <w:r w:rsidR="00C86DB8">
        <w:t xml:space="preserve">rgaining unit agreements </w:t>
      </w:r>
      <w:r w:rsidR="004A0CE8">
        <w:t>in FY 20</w:t>
      </w:r>
      <w:r w:rsidR="006B3454">
        <w:t>19-20</w:t>
      </w:r>
      <w:r>
        <w:t>.</w:t>
      </w:r>
    </w:p>
    <w:p w14:paraId="28F565F9" w14:textId="385BF8D3" w:rsidR="00CC1D35" w:rsidRDefault="00CC1D35" w:rsidP="00CC1D35">
      <w:pPr>
        <w:pStyle w:val="ListParagraph"/>
        <w:numPr>
          <w:ilvl w:val="1"/>
          <w:numId w:val="31"/>
        </w:numPr>
      </w:pPr>
      <w:r>
        <w:t>Health insurance increases of 7.5% for FY 20</w:t>
      </w:r>
      <w:r w:rsidR="005B62CF">
        <w:t>19-20</w:t>
      </w:r>
      <w:r>
        <w:t>.</w:t>
      </w:r>
    </w:p>
    <w:p w14:paraId="6955B8E7" w14:textId="4A13C7D6" w:rsidR="00CC1D35" w:rsidRDefault="00CC1D35" w:rsidP="00CC1D35">
      <w:pPr>
        <w:pStyle w:val="ListParagraph"/>
        <w:numPr>
          <w:ilvl w:val="1"/>
          <w:numId w:val="31"/>
        </w:numPr>
      </w:pPr>
      <w:r>
        <w:t>Retirement projections based on June 30, 201</w:t>
      </w:r>
      <w:r w:rsidR="006B3454">
        <w:t>8</w:t>
      </w:r>
      <w:r>
        <w:t xml:space="preserve"> valuation.</w:t>
      </w:r>
    </w:p>
    <w:p w14:paraId="18A35FA5" w14:textId="13FC148C" w:rsidR="00CC1D35" w:rsidRDefault="00CC1D35" w:rsidP="00CC1D35">
      <w:pPr>
        <w:pStyle w:val="ListParagraph"/>
        <w:numPr>
          <w:ilvl w:val="1"/>
          <w:numId w:val="31"/>
        </w:numPr>
      </w:pPr>
      <w:r>
        <w:t>Other Post-Employment Ben</w:t>
      </w:r>
      <w:r w:rsidR="00245CE8">
        <w:t xml:space="preserve">efits (OPEB) increases of 3.25% per </w:t>
      </w:r>
      <w:r>
        <w:t>year based on actuarial assumptions.</w:t>
      </w:r>
    </w:p>
    <w:p w14:paraId="48AD01FF" w14:textId="527F1540" w:rsidR="006B3454" w:rsidRDefault="006B3454" w:rsidP="00CC1D35">
      <w:pPr>
        <w:pStyle w:val="ListParagraph"/>
        <w:numPr>
          <w:ilvl w:val="1"/>
          <w:numId w:val="31"/>
        </w:numPr>
      </w:pPr>
      <w:r>
        <w:t xml:space="preserve">Salaries and benefits for years 2-5 are 3% overall/year, </w:t>
      </w:r>
      <w:r w:rsidR="004C519A">
        <w:t>to cover expected increases in insurance and pension costs, in addition to any salary increases associated with the upcoming</w:t>
      </w:r>
      <w:r>
        <w:t xml:space="preserve"> negotiation</w:t>
      </w:r>
      <w:r w:rsidR="004C519A">
        <w:t>s</w:t>
      </w:r>
      <w:r>
        <w:t xml:space="preserve"> of renewal bargaining unit agreements.</w:t>
      </w:r>
    </w:p>
    <w:p w14:paraId="4E98FBBB" w14:textId="798C0F5E" w:rsidR="00CC1D35" w:rsidRDefault="00CC1D35" w:rsidP="00CC1D35">
      <w:pPr>
        <w:pStyle w:val="ListParagraph"/>
        <w:numPr>
          <w:ilvl w:val="0"/>
          <w:numId w:val="31"/>
        </w:numPr>
      </w:pPr>
      <w:r>
        <w:t xml:space="preserve">Service and Supply increases of </w:t>
      </w:r>
      <w:r w:rsidR="006B3454">
        <w:t>1</w:t>
      </w:r>
      <w:r>
        <w:t>%/year.</w:t>
      </w:r>
    </w:p>
    <w:p w14:paraId="0EDBC7AB" w14:textId="77777777" w:rsidR="0042327E" w:rsidRDefault="00CC1D35" w:rsidP="0042327E">
      <w:pPr>
        <w:pStyle w:val="ListParagraph"/>
        <w:numPr>
          <w:ilvl w:val="0"/>
          <w:numId w:val="31"/>
        </w:numPr>
      </w:pPr>
      <w:r>
        <w:t>Increased operating costs</w:t>
      </w:r>
      <w:r w:rsidR="00C86DB8">
        <w:t xml:space="preserve"> of $3.2 million</w:t>
      </w:r>
      <w:r>
        <w:t xml:space="preserve"> for new jail are assumed beginning in FY 2020-21.</w:t>
      </w:r>
    </w:p>
    <w:p w14:paraId="12E94EE3" w14:textId="03A4F498" w:rsidR="00CC1D35" w:rsidRDefault="00CC1D35" w:rsidP="0042327E">
      <w:pPr>
        <w:pStyle w:val="ListParagraph"/>
        <w:numPr>
          <w:ilvl w:val="0"/>
          <w:numId w:val="31"/>
        </w:numPr>
      </w:pPr>
      <w:r>
        <w:t>All Excess ERAF being transferred into Accumulated Capital Outlay.</w:t>
      </w:r>
      <w:r w:rsidR="0042327E">
        <w:t xml:space="preserve"> It is anticipated that the Excess ERAF received in FY 2019-20 will meet the needs of the adopted Jail Financing Plan.  At that time, the funding in Accumulated Capital Outlay can be directed to other Capital Needs such as Road improvements, Facility improvements, or the upgrade to the</w:t>
      </w:r>
      <w:r w:rsidR="009E08DB">
        <w:t xml:space="preserve"> financial/Human Resources/Budget system.</w:t>
      </w:r>
      <w:r w:rsidR="0016121A">
        <w:t xml:space="preserve"> Excess ERAF revenue projections are based on projections from the Auditor’s Office, but are subject to legislative and market variables.  Because of this, they are considered one-time revenues.</w:t>
      </w:r>
    </w:p>
    <w:p w14:paraId="74AED0D9" w14:textId="2486E6E7" w:rsidR="0042327E" w:rsidRPr="00CC1D35" w:rsidRDefault="00CC1D35" w:rsidP="006B3454">
      <w:pPr>
        <w:pStyle w:val="ListParagraph"/>
        <w:numPr>
          <w:ilvl w:val="0"/>
          <w:numId w:val="32"/>
        </w:numPr>
      </w:pPr>
      <w:r>
        <w:t xml:space="preserve">FEMA Reimbursement/Disaster Response/Recovery is based on </w:t>
      </w:r>
      <w:r w:rsidR="00124036">
        <w:t>actuals received through April 2019</w:t>
      </w:r>
      <w:r>
        <w:t>.</w:t>
      </w:r>
    </w:p>
    <w:p w14:paraId="5FB71968" w14:textId="7956CF07" w:rsidR="00CC1D35" w:rsidRPr="00CC1D35" w:rsidRDefault="0042327E" w:rsidP="00CC1D35">
      <w:r>
        <w:t>These tables</w:t>
      </w:r>
      <w:r w:rsidR="00CC1D35" w:rsidRPr="00CC1D35">
        <w:t xml:space="preserve"> DO NOT reflect needs that have been identified by Department Heads as having potential impacts in the next one-five years, including:</w:t>
      </w:r>
    </w:p>
    <w:p w14:paraId="0E56A3CB" w14:textId="77777777" w:rsidR="003375B8" w:rsidRDefault="003375B8" w:rsidP="003375B8">
      <w:pPr>
        <w:pStyle w:val="ListParagraph"/>
        <w:numPr>
          <w:ilvl w:val="0"/>
          <w:numId w:val="30"/>
        </w:numPr>
      </w:pPr>
      <w:r>
        <w:t>One-time funding needs</w:t>
      </w:r>
    </w:p>
    <w:p w14:paraId="2CD663A3" w14:textId="77777777" w:rsidR="003375B8" w:rsidRDefault="003375B8" w:rsidP="003375B8">
      <w:pPr>
        <w:pStyle w:val="ListParagraph"/>
        <w:numPr>
          <w:ilvl w:val="1"/>
          <w:numId w:val="30"/>
        </w:numPr>
      </w:pPr>
      <w:r>
        <w:t>Emergency Alert System updates</w:t>
      </w:r>
    </w:p>
    <w:p w14:paraId="37B9233B" w14:textId="77777777" w:rsidR="003375B8" w:rsidRDefault="003375B8" w:rsidP="003375B8">
      <w:pPr>
        <w:pStyle w:val="ListParagraph"/>
        <w:numPr>
          <w:ilvl w:val="1"/>
          <w:numId w:val="30"/>
        </w:numPr>
      </w:pPr>
      <w:r>
        <w:t>Improvements (upgrades or replacement) of County financial and human resources system</w:t>
      </w:r>
    </w:p>
    <w:p w14:paraId="54895F0E" w14:textId="77777777" w:rsidR="003375B8" w:rsidRDefault="003375B8" w:rsidP="003375B8">
      <w:pPr>
        <w:pStyle w:val="ListParagraph"/>
        <w:numPr>
          <w:ilvl w:val="1"/>
          <w:numId w:val="30"/>
        </w:numPr>
      </w:pPr>
      <w:r>
        <w:t>Need for new residential stabilization facility or reconstruction at current location</w:t>
      </w:r>
    </w:p>
    <w:p w14:paraId="35108702" w14:textId="3358605B" w:rsidR="003375B8" w:rsidRPr="00C26629" w:rsidRDefault="003375B8" w:rsidP="003375B8">
      <w:pPr>
        <w:pStyle w:val="ListParagraph"/>
        <w:numPr>
          <w:ilvl w:val="1"/>
          <w:numId w:val="30"/>
        </w:numPr>
        <w:rPr>
          <w:b/>
        </w:rPr>
      </w:pPr>
      <w:r>
        <w:t>Circulation Element update</w:t>
      </w:r>
    </w:p>
    <w:p w14:paraId="6075539B" w14:textId="3118193B" w:rsidR="00C26629" w:rsidRPr="0021316F" w:rsidRDefault="00C26629" w:rsidP="003375B8">
      <w:pPr>
        <w:pStyle w:val="ListParagraph"/>
        <w:numPr>
          <w:ilvl w:val="1"/>
          <w:numId w:val="30"/>
        </w:numPr>
        <w:rPr>
          <w:b/>
        </w:rPr>
      </w:pPr>
      <w:r>
        <w:t>Housing Element update</w:t>
      </w:r>
      <w:bookmarkStart w:id="0" w:name="_GoBack"/>
      <w:bookmarkEnd w:id="0"/>
    </w:p>
    <w:p w14:paraId="56183948" w14:textId="77777777" w:rsidR="00CC1D35" w:rsidRPr="00CC1D35" w:rsidRDefault="00CC1D35" w:rsidP="00CC1D35">
      <w:pPr>
        <w:pStyle w:val="ListParagraph"/>
        <w:numPr>
          <w:ilvl w:val="0"/>
          <w:numId w:val="30"/>
        </w:numPr>
      </w:pPr>
      <w:r w:rsidRPr="00CC1D35">
        <w:t>On-going funding needs</w:t>
      </w:r>
    </w:p>
    <w:p w14:paraId="79EF1F75" w14:textId="275BD03A" w:rsidR="0021316F" w:rsidRDefault="0021316F" w:rsidP="009E08DB">
      <w:pPr>
        <w:pStyle w:val="ListParagraph"/>
        <w:numPr>
          <w:ilvl w:val="1"/>
          <w:numId w:val="30"/>
        </w:numPr>
      </w:pPr>
      <w:r>
        <w:t>Escalating pension costs</w:t>
      </w:r>
    </w:p>
    <w:p w14:paraId="6596C051" w14:textId="77777777" w:rsidR="003375B8" w:rsidRDefault="0021316F" w:rsidP="00CC1D35">
      <w:pPr>
        <w:pStyle w:val="ListParagraph"/>
        <w:numPr>
          <w:ilvl w:val="1"/>
          <w:numId w:val="30"/>
        </w:numPr>
      </w:pPr>
      <w:r>
        <w:t>Homeless services</w:t>
      </w:r>
    </w:p>
    <w:p w14:paraId="635CC428" w14:textId="77777777" w:rsidR="0021316F" w:rsidRDefault="003375B8" w:rsidP="00CC1D35">
      <w:pPr>
        <w:pStyle w:val="ListParagraph"/>
        <w:numPr>
          <w:ilvl w:val="1"/>
          <w:numId w:val="30"/>
        </w:numPr>
      </w:pPr>
      <w:r>
        <w:lastRenderedPageBreak/>
        <w:t>A</w:t>
      </w:r>
      <w:r w:rsidR="0021316F">
        <w:t>ffordable housing</w:t>
      </w:r>
      <w:r>
        <w:t>, including family farmworker housing</w:t>
      </w:r>
    </w:p>
    <w:p w14:paraId="78DE1F79" w14:textId="77777777" w:rsidR="0021316F" w:rsidRDefault="0021316F" w:rsidP="00CC1D35">
      <w:pPr>
        <w:pStyle w:val="ListParagraph"/>
        <w:numPr>
          <w:ilvl w:val="1"/>
          <w:numId w:val="30"/>
        </w:numPr>
      </w:pPr>
      <w:r>
        <w:t>Americans with Disabilities Act Transition Plan implementation</w:t>
      </w:r>
    </w:p>
    <w:p w14:paraId="7C6A6934" w14:textId="76E5AD8A" w:rsidR="003375B8" w:rsidRDefault="009E08DB" w:rsidP="00CC1D35">
      <w:pPr>
        <w:pStyle w:val="ListParagraph"/>
        <w:numPr>
          <w:ilvl w:val="1"/>
          <w:numId w:val="30"/>
        </w:numPr>
      </w:pPr>
      <w:r>
        <w:t>Emergency preparedness and response</w:t>
      </w:r>
    </w:p>
    <w:p w14:paraId="1952E0A9" w14:textId="77777777" w:rsidR="00CC1D35" w:rsidRDefault="00CC1D35" w:rsidP="00CC1D35">
      <w:pPr>
        <w:pStyle w:val="ListParagraph"/>
        <w:numPr>
          <w:ilvl w:val="1"/>
          <w:numId w:val="30"/>
        </w:numPr>
      </w:pPr>
      <w:r w:rsidRPr="006E1CFE">
        <w:t>Increasing number of felony cases, impacting both District Attorney and Public Defender</w:t>
      </w:r>
    </w:p>
    <w:p w14:paraId="1B81751C" w14:textId="04CA4A55" w:rsidR="00CC1D35" w:rsidRDefault="00A62AE4" w:rsidP="00CC1D35">
      <w:pPr>
        <w:pStyle w:val="ListParagraph"/>
        <w:numPr>
          <w:ilvl w:val="1"/>
          <w:numId w:val="30"/>
        </w:numPr>
      </w:pPr>
      <w:r>
        <w:t xml:space="preserve">Changing laws and </w:t>
      </w:r>
      <w:r w:rsidR="00CC1D35">
        <w:t>Increasing use of Body-worn cameras</w:t>
      </w:r>
      <w:r>
        <w:t>, increasing demands on law enforcement and justice partners</w:t>
      </w:r>
    </w:p>
    <w:p w14:paraId="5076721C" w14:textId="77777777" w:rsidR="003375B8" w:rsidRDefault="0021316F" w:rsidP="00CC1D35">
      <w:pPr>
        <w:pStyle w:val="ListParagraph"/>
        <w:numPr>
          <w:ilvl w:val="1"/>
          <w:numId w:val="30"/>
        </w:numPr>
      </w:pPr>
      <w:r w:rsidRPr="00CC1D35">
        <w:t>Sustainable Groundwater Management Plan impacts</w:t>
      </w:r>
      <w:r w:rsidR="003375B8">
        <w:t>, if state does not accept proposed plan</w:t>
      </w:r>
    </w:p>
    <w:p w14:paraId="6B048C30" w14:textId="77777777" w:rsidR="003375B8" w:rsidRDefault="003375B8" w:rsidP="00CC1D35">
      <w:pPr>
        <w:pStyle w:val="ListParagraph"/>
        <w:numPr>
          <w:ilvl w:val="1"/>
          <w:numId w:val="30"/>
        </w:numPr>
      </w:pPr>
      <w:r>
        <w:t>Deferred maintenance of county facilities</w:t>
      </w:r>
    </w:p>
    <w:p w14:paraId="2882FC7C" w14:textId="77777777" w:rsidR="003375B8" w:rsidRDefault="003375B8" w:rsidP="00CC1D35">
      <w:pPr>
        <w:pStyle w:val="ListParagraph"/>
        <w:numPr>
          <w:ilvl w:val="1"/>
          <w:numId w:val="30"/>
        </w:numPr>
      </w:pPr>
      <w:r>
        <w:t>Capital Improvement Plan implementation</w:t>
      </w:r>
    </w:p>
    <w:p w14:paraId="441CDC04" w14:textId="77777777" w:rsidR="003375B8" w:rsidRDefault="003375B8" w:rsidP="00CC1D35">
      <w:pPr>
        <w:pStyle w:val="ListParagraph"/>
        <w:numPr>
          <w:ilvl w:val="1"/>
          <w:numId w:val="30"/>
        </w:numPr>
      </w:pPr>
      <w:r>
        <w:t>Culvert and bridge maintenance</w:t>
      </w:r>
    </w:p>
    <w:p w14:paraId="5AD9B526" w14:textId="77777777" w:rsidR="003375B8" w:rsidRDefault="003375B8" w:rsidP="00CC1D35">
      <w:pPr>
        <w:pStyle w:val="ListParagraph"/>
        <w:numPr>
          <w:ilvl w:val="1"/>
          <w:numId w:val="30"/>
        </w:numPr>
      </w:pPr>
      <w:r>
        <w:t>Succession planning for county leadership positions</w:t>
      </w:r>
    </w:p>
    <w:p w14:paraId="6D07667E" w14:textId="77777777" w:rsidR="0021316F" w:rsidRDefault="003375B8" w:rsidP="003375B8">
      <w:pPr>
        <w:pStyle w:val="ListParagraph"/>
        <w:numPr>
          <w:ilvl w:val="1"/>
          <w:numId w:val="30"/>
        </w:numPr>
      </w:pPr>
      <w:r>
        <w:t>Watershed protection and monitoring</w:t>
      </w:r>
      <w:r w:rsidR="0021316F">
        <w:t xml:space="preserve"> </w:t>
      </w:r>
    </w:p>
    <w:p w14:paraId="4FF3DAFF" w14:textId="77777777" w:rsidR="00124036" w:rsidRDefault="00CC1D35" w:rsidP="00124036">
      <w:pPr>
        <w:pStyle w:val="ListParagraph"/>
        <w:numPr>
          <w:ilvl w:val="1"/>
          <w:numId w:val="30"/>
        </w:numPr>
      </w:pPr>
      <w:r>
        <w:t>Roads funding</w:t>
      </w:r>
    </w:p>
    <w:p w14:paraId="59253FC7" w14:textId="77777777" w:rsidR="00CC1D35" w:rsidRPr="006E1CFE" w:rsidRDefault="00CC1D35" w:rsidP="00124036">
      <w:pPr>
        <w:pStyle w:val="ListParagraph"/>
        <w:numPr>
          <w:ilvl w:val="1"/>
          <w:numId w:val="30"/>
        </w:numPr>
      </w:pPr>
      <w:r>
        <w:t>Code enforcement/compliance</w:t>
      </w:r>
    </w:p>
    <w:p w14:paraId="050C98A7" w14:textId="77777777" w:rsidR="00242118" w:rsidRPr="0021316F" w:rsidRDefault="00242118" w:rsidP="0021316F">
      <w:pPr>
        <w:rPr>
          <w:b/>
        </w:rPr>
      </w:pPr>
      <w:r w:rsidRPr="0021316F">
        <w:rPr>
          <w:b/>
        </w:rPr>
        <w:t>Changes to revenue/expense scenarios</w:t>
      </w:r>
    </w:p>
    <w:p w14:paraId="4F48EC99" w14:textId="77777777" w:rsidR="00DF24AC" w:rsidRDefault="00A51AB5">
      <w:r>
        <w:t xml:space="preserve">The County has been able to respond to natural disasters immediately and to legislative changes in a thoughtful and measured manner, because </w:t>
      </w:r>
      <w:r w:rsidR="00CC1D35">
        <w:t xml:space="preserve">the Board has </w:t>
      </w:r>
      <w:r w:rsidR="00EE1BE9">
        <w:t>maintained appropriate funding levels for the</w:t>
      </w:r>
      <w:r w:rsidR="00BA04AC">
        <w:t xml:space="preserve"> General Reserve and Fiscal Uncertainty </w:t>
      </w:r>
      <w:r w:rsidR="008205B3">
        <w:t>components of fund balance</w:t>
      </w:r>
      <w:r w:rsidR="00EE1BE9">
        <w:t>.  This fiscal prudence has also allowed the Board to direct staff towards constructing a new jail in one phase, instead of two, in order to achieve significant operational cost savings and avoid escalation of construction costs in the future.</w:t>
      </w:r>
    </w:p>
    <w:p w14:paraId="3BA990AF" w14:textId="77777777" w:rsidR="00B90FCA" w:rsidRDefault="002F3387">
      <w:r>
        <w:t xml:space="preserve">Using the actual revenues and expenditures from above as a starting </w:t>
      </w:r>
      <w:r w:rsidR="0007643E">
        <w:t>point</w:t>
      </w:r>
      <w:r>
        <w:t xml:space="preserve"> and applying the assumptions mentioned above</w:t>
      </w:r>
      <w:r w:rsidR="00551636">
        <w:t>,</w:t>
      </w:r>
      <w:r w:rsidR="00D90F81">
        <w:t xml:space="preserve"> as well as normal growth in revenues and expenditures</w:t>
      </w:r>
      <w:r>
        <w:t xml:space="preserve">, </w:t>
      </w:r>
      <w:r w:rsidR="00202919">
        <w:t>it is possible to</w:t>
      </w:r>
      <w:r>
        <w:t xml:space="preserve"> project scenarios that may affect the County’s financial health.</w:t>
      </w:r>
      <w:r w:rsidR="00202919">
        <w:t xml:space="preserve"> </w:t>
      </w:r>
      <w:r w:rsidR="006733DE">
        <w:t xml:space="preserve">Each of the scenarios below represents a feasible condition that may have to be addressed.  Potential solutions consistent with the Strategic Financial Plan are suggested, but would only </w:t>
      </w:r>
      <w:r w:rsidR="007C00D5">
        <w:t xml:space="preserve">need to </w:t>
      </w:r>
      <w:r w:rsidR="006733DE">
        <w:t xml:space="preserve">be considered if the scenario </w:t>
      </w:r>
      <w:r w:rsidR="003418B0">
        <w:t xml:space="preserve">(or a similar fiscal condition) </w:t>
      </w:r>
      <w:r w:rsidR="006733DE">
        <w:t>materialized.</w:t>
      </w:r>
    </w:p>
    <w:p w14:paraId="617F6C93" w14:textId="77777777" w:rsidR="009E08DB" w:rsidRDefault="00D2132A" w:rsidP="009E08DB">
      <w:pPr>
        <w:spacing w:after="0"/>
      </w:pPr>
      <w:r>
        <w:t xml:space="preserve">Based on the FY </w:t>
      </w:r>
      <w:r w:rsidR="003375B8">
        <w:t>20</w:t>
      </w:r>
      <w:r w:rsidR="00B44AD2">
        <w:t>18-19</w:t>
      </w:r>
      <w:r w:rsidR="003375B8">
        <w:t xml:space="preserve"> estimated year-end actuals</w:t>
      </w:r>
      <w:r>
        <w:t>, a 1% change in revenue is $</w:t>
      </w:r>
      <w:r w:rsidR="003375B8">
        <w:t>1.8</w:t>
      </w:r>
      <w:r w:rsidR="00B44AD2">
        <w:t>8</w:t>
      </w:r>
      <w:r>
        <w:t xml:space="preserve"> million and a 1% change in expenditures is $</w:t>
      </w:r>
      <w:r w:rsidR="003375B8">
        <w:t>1.</w:t>
      </w:r>
      <w:r w:rsidR="00B44AD2">
        <w:t>90</w:t>
      </w:r>
      <w:r>
        <w:t xml:space="preserve"> million.  </w:t>
      </w:r>
    </w:p>
    <w:p w14:paraId="5C86B950" w14:textId="77777777" w:rsidR="009E08DB" w:rsidRDefault="009E08DB" w:rsidP="009E08DB">
      <w:pPr>
        <w:spacing w:after="0"/>
      </w:pPr>
    </w:p>
    <w:p w14:paraId="18F0A0C0" w14:textId="03728C8D" w:rsidR="00D2132A" w:rsidRPr="00D2132A" w:rsidRDefault="00D2132A" w:rsidP="009E08DB">
      <w:pPr>
        <w:spacing w:after="0"/>
      </w:pPr>
      <w:r>
        <w:t>T</w:t>
      </w:r>
      <w:r w:rsidR="00650C26">
        <w:t xml:space="preserve">he Board has significantly more control over expenditures than revenues, and will continue to make expenditure decisions based on available revenue.  </w:t>
      </w:r>
    </w:p>
    <w:p w14:paraId="6253B5EC" w14:textId="77777777" w:rsidR="00D2132A" w:rsidRDefault="00D2132A">
      <w:pPr>
        <w:rPr>
          <w:sz w:val="28"/>
          <w:szCs w:val="28"/>
        </w:rPr>
      </w:pPr>
    </w:p>
    <w:p w14:paraId="40770636" w14:textId="77777777" w:rsidR="00D2132A" w:rsidRDefault="00D2132A">
      <w:pPr>
        <w:rPr>
          <w:sz w:val="28"/>
          <w:szCs w:val="28"/>
        </w:rPr>
      </w:pPr>
      <w:r>
        <w:rPr>
          <w:sz w:val="28"/>
          <w:szCs w:val="28"/>
        </w:rPr>
        <w:br w:type="page"/>
      </w:r>
    </w:p>
    <w:p w14:paraId="3136198A" w14:textId="77777777" w:rsidR="00F61627" w:rsidRDefault="00F61627">
      <w:pPr>
        <w:rPr>
          <w:sz w:val="28"/>
          <w:szCs w:val="28"/>
        </w:rPr>
      </w:pPr>
    </w:p>
    <w:p w14:paraId="037E8766" w14:textId="77777777" w:rsidR="00BC1172" w:rsidRPr="005137FA" w:rsidRDefault="000A4D01" w:rsidP="004C578C">
      <w:pPr>
        <w:pStyle w:val="ListParagraph"/>
        <w:numPr>
          <w:ilvl w:val="0"/>
          <w:numId w:val="1"/>
        </w:numPr>
        <w:pBdr>
          <w:bottom w:val="thinThickSmallGap" w:sz="24" w:space="1" w:color="5F497A" w:themeColor="accent4" w:themeShade="BF"/>
        </w:pBdr>
        <w:spacing w:after="0" w:line="240" w:lineRule="auto"/>
        <w:rPr>
          <w:sz w:val="28"/>
          <w:szCs w:val="28"/>
        </w:rPr>
      </w:pPr>
      <w:r w:rsidRPr="005137FA">
        <w:rPr>
          <w:sz w:val="28"/>
          <w:szCs w:val="28"/>
        </w:rPr>
        <w:t>Philosophy, Guiding Principles and Key Policies</w:t>
      </w:r>
    </w:p>
    <w:p w14:paraId="281CF360" w14:textId="77777777" w:rsidR="00D73F5A" w:rsidRDefault="00D73F5A" w:rsidP="0073092E">
      <w:pPr>
        <w:spacing w:after="0" w:line="240" w:lineRule="auto"/>
      </w:pPr>
    </w:p>
    <w:p w14:paraId="79B180DD" w14:textId="77777777" w:rsidR="000A4D01" w:rsidRDefault="000A4D01">
      <w:r>
        <w:t xml:space="preserve">As the only general purpose local government covering a geographic area that includes cities and special districts – and with responsibility for both countywide and municipal services and for administering various programs on behalf of the </w:t>
      </w:r>
      <w:r w:rsidR="000713FC">
        <w:t>s</w:t>
      </w:r>
      <w:r w:rsidR="00FC019C">
        <w:t>tate</w:t>
      </w:r>
      <w:r>
        <w:t xml:space="preserve"> – counties are under pressure to be the funder or service provider of last resort when it comes to local interest and needs.  At the same time, counties’ ability to raise revenue is limited and more constrained than many other local governments by </w:t>
      </w:r>
      <w:r w:rsidR="000713FC">
        <w:t>s</w:t>
      </w:r>
      <w:r w:rsidR="00FC019C">
        <w:t>tate</w:t>
      </w:r>
      <w:r>
        <w:t xml:space="preserve"> mandates and requirements.  Given this, a key premise of this Strategic Financial Plan is that:</w:t>
      </w:r>
    </w:p>
    <w:p w14:paraId="29A99A12" w14:textId="77777777" w:rsidR="000A4D01" w:rsidRPr="00546F6B" w:rsidRDefault="000A4D01">
      <w:pPr>
        <w:rPr>
          <w:b/>
        </w:rPr>
      </w:pPr>
      <w:r w:rsidRPr="00546F6B">
        <w:rPr>
          <w:b/>
        </w:rPr>
        <w:t xml:space="preserve">The County cannot be all things to all people nor can it be the “government of last resort.”  </w:t>
      </w:r>
      <w:r w:rsidR="00C14273" w:rsidRPr="00546F6B">
        <w:rPr>
          <w:b/>
        </w:rPr>
        <w:t xml:space="preserve">We recognize </w:t>
      </w:r>
      <w:r w:rsidR="00EA4F13" w:rsidRPr="00546F6B">
        <w:rPr>
          <w:b/>
        </w:rPr>
        <w:t xml:space="preserve">the County’s </w:t>
      </w:r>
      <w:r w:rsidR="00C14273" w:rsidRPr="00546F6B">
        <w:rPr>
          <w:b/>
        </w:rPr>
        <w:t>role as a provider of services in keeping with the</w:t>
      </w:r>
      <w:r w:rsidR="00EA4F13" w:rsidRPr="00546F6B">
        <w:rPr>
          <w:b/>
        </w:rPr>
        <w:t xml:space="preserve"> traditional county model.  Although the County is a significant threa</w:t>
      </w:r>
      <w:r w:rsidR="001C1BF1" w:rsidRPr="00546F6B">
        <w:rPr>
          <w:b/>
        </w:rPr>
        <w:t>d</w:t>
      </w:r>
      <w:r w:rsidR="000713FC">
        <w:rPr>
          <w:b/>
        </w:rPr>
        <w:t xml:space="preserve"> in a tapestry of federal, s</w:t>
      </w:r>
      <w:r w:rsidR="00EA4F13" w:rsidRPr="00546F6B">
        <w:rPr>
          <w:b/>
        </w:rPr>
        <w:t xml:space="preserve">tate and local government services, it must rely on other government organizations </w:t>
      </w:r>
      <w:r w:rsidR="001C1BF1" w:rsidRPr="00546F6B">
        <w:rPr>
          <w:b/>
        </w:rPr>
        <w:t xml:space="preserve">as </w:t>
      </w:r>
      <w:r w:rsidR="00EA4F13" w:rsidRPr="00546F6B">
        <w:rPr>
          <w:b/>
        </w:rPr>
        <w:t>well as not-for-profit agencies, faith-based and family institutions to provide the spectrum our community requires.</w:t>
      </w:r>
    </w:p>
    <w:p w14:paraId="6A885AB6" w14:textId="77777777" w:rsidR="00EA4F13" w:rsidRDefault="00EA4F13">
      <w:r>
        <w:t>Consequently, a major focus of this Plan is setting priorities for use of limited discretionary resources.</w:t>
      </w:r>
    </w:p>
    <w:p w14:paraId="0C0CDE79" w14:textId="77777777" w:rsidR="00EA4F13" w:rsidRDefault="00EA4F13">
      <w:r>
        <w:t>The following outlines the Guiding Principles and key Multi-Year Fiscal Policies that will guide the County in its efforts to ensure fiscal sustainability over the five-year period covered in the Plan.</w:t>
      </w:r>
    </w:p>
    <w:p w14:paraId="64BF8014" w14:textId="77777777" w:rsidR="00EA4F13" w:rsidRDefault="00EA4F13">
      <w:r>
        <w:t>Guiding Principles</w:t>
      </w:r>
    </w:p>
    <w:p w14:paraId="21A15AFB" w14:textId="77777777" w:rsidR="00EA4F13" w:rsidRDefault="00EA4F13" w:rsidP="00EA4F13">
      <w:pPr>
        <w:pStyle w:val="ListParagraph"/>
        <w:numPr>
          <w:ilvl w:val="0"/>
          <w:numId w:val="3"/>
        </w:numPr>
      </w:pPr>
      <w:r>
        <w:t>The County will maintain sufficient General Fund reserves and fund balance to provide for adequate cash fl</w:t>
      </w:r>
      <w:r w:rsidR="00A237EE">
        <w:t>ow and avoid the need for short-</w:t>
      </w:r>
      <w:r>
        <w:t>term borrowing and to provide a hedge against an unanticipated fiscal crisis.</w:t>
      </w:r>
    </w:p>
    <w:p w14:paraId="462C0F3F" w14:textId="77777777" w:rsidR="0092217B" w:rsidRDefault="0092217B" w:rsidP="0092217B">
      <w:pPr>
        <w:pStyle w:val="ListParagraph"/>
      </w:pPr>
    </w:p>
    <w:p w14:paraId="2351C957" w14:textId="77777777" w:rsidR="00EA4F13" w:rsidRDefault="00EA4F13" w:rsidP="00EA4F13">
      <w:pPr>
        <w:pStyle w:val="ListParagraph"/>
        <w:numPr>
          <w:ilvl w:val="0"/>
          <w:numId w:val="3"/>
        </w:numPr>
      </w:pPr>
      <w:r>
        <w:t xml:space="preserve">The County’s emphasis will be on using General Fund discretionary resources to finance “core” County programs.  These include traditional County programs or services that </w:t>
      </w:r>
      <w:r w:rsidR="00AC6396">
        <w:t>s</w:t>
      </w:r>
      <w:r>
        <w:t>tate law has made the responsibility of counties and that have historically been funded by local taxpayers.</w:t>
      </w:r>
    </w:p>
    <w:p w14:paraId="13A5E633" w14:textId="77777777" w:rsidR="0092217B" w:rsidRDefault="0092217B" w:rsidP="0092217B">
      <w:pPr>
        <w:pStyle w:val="ListParagraph"/>
      </w:pPr>
    </w:p>
    <w:p w14:paraId="5E7CF2F7" w14:textId="77777777" w:rsidR="00EA4F13" w:rsidRDefault="00EA4F13" w:rsidP="00EA4F13">
      <w:pPr>
        <w:pStyle w:val="ListParagraph"/>
        <w:numPr>
          <w:ilvl w:val="0"/>
          <w:numId w:val="3"/>
        </w:numPr>
      </w:pPr>
      <w:r>
        <w:t xml:space="preserve">In those cases where a significant need exists and Napa County has determined that </w:t>
      </w:r>
      <w:r w:rsidR="00060A14">
        <w:t>it</w:t>
      </w:r>
      <w:r>
        <w:t xml:space="preserve"> will not assume responsibility for funding or service delivery, the County may opt to provide advocacy, coordination, technical assistance and start-up financial assistance to aid others in the provision of those necessary services.</w:t>
      </w:r>
    </w:p>
    <w:p w14:paraId="7A81CFA9" w14:textId="77777777" w:rsidR="0092217B" w:rsidRDefault="0092217B" w:rsidP="0092217B">
      <w:pPr>
        <w:pStyle w:val="ListParagraph"/>
      </w:pPr>
    </w:p>
    <w:p w14:paraId="61086FBE" w14:textId="77777777" w:rsidR="00EA4F13" w:rsidRDefault="00FE387E" w:rsidP="00EA4F13">
      <w:pPr>
        <w:pStyle w:val="ListParagraph"/>
        <w:numPr>
          <w:ilvl w:val="0"/>
          <w:numId w:val="3"/>
        </w:numPr>
      </w:pPr>
      <w:r>
        <w:t>Except when necessary to respond to emergent or urgent situations</w:t>
      </w:r>
      <w:r w:rsidR="00EA4F13">
        <w:t xml:space="preserve">, the County will not use one-time or limited </w:t>
      </w:r>
      <w:r w:rsidR="006D0816">
        <w:t>duration</w:t>
      </w:r>
      <w:r w:rsidR="00EA4F13">
        <w:t xml:space="preserve"> revenue to fund ongoing operating costs.  Instead, one-time or limited duration revenue will be used to meet non-recurring needs, like capital projects or paying down unfunded liabilities.</w:t>
      </w:r>
    </w:p>
    <w:p w14:paraId="1BB3B4DA" w14:textId="77777777" w:rsidR="0092217B" w:rsidRDefault="0092217B" w:rsidP="0092217B">
      <w:pPr>
        <w:pStyle w:val="ListParagraph"/>
      </w:pPr>
    </w:p>
    <w:p w14:paraId="582DC717" w14:textId="77777777" w:rsidR="00650C26" w:rsidRDefault="00EA4F13" w:rsidP="00650C26">
      <w:pPr>
        <w:pStyle w:val="ListParagraph"/>
        <w:numPr>
          <w:ilvl w:val="0"/>
          <w:numId w:val="3"/>
        </w:numPr>
      </w:pPr>
      <w:r>
        <w:lastRenderedPageBreak/>
        <w:t xml:space="preserve">Over the five-year planning period, except in times of fiscal distress, the County’s goal is that, on average, actual annual General Fund operating expenditures </w:t>
      </w:r>
      <w:r w:rsidR="00A237EE">
        <w:t xml:space="preserve">will </w:t>
      </w:r>
      <w:r>
        <w:t>not exceed operating revenue.</w:t>
      </w:r>
    </w:p>
    <w:p w14:paraId="6F3BAA86" w14:textId="77777777" w:rsidR="00650C26" w:rsidRDefault="00650C26" w:rsidP="00650C26">
      <w:pPr>
        <w:pStyle w:val="ListParagraph"/>
      </w:pPr>
    </w:p>
    <w:p w14:paraId="5F09C978" w14:textId="77777777" w:rsidR="00EA4F13" w:rsidRDefault="006D0816" w:rsidP="00EA4F13">
      <w:pPr>
        <w:pStyle w:val="ListParagraph"/>
        <w:numPr>
          <w:ilvl w:val="0"/>
          <w:numId w:val="3"/>
        </w:numPr>
      </w:pPr>
      <w:r>
        <w:t>In periods of fiscal distress it is appropriate to temporarily use fund balance and/or reserves to help balance the General Fund  budget, but only if that is part of a plan to achieve long-term structural balance</w:t>
      </w:r>
      <w:r w:rsidR="00FE387E">
        <w:t>, with the goal of achieving structural balance within 24 months</w:t>
      </w:r>
      <w:r>
        <w:t>.</w:t>
      </w:r>
    </w:p>
    <w:p w14:paraId="1582E4ED" w14:textId="77777777" w:rsidR="0092217B" w:rsidRDefault="0092217B" w:rsidP="0092217B">
      <w:pPr>
        <w:pStyle w:val="ListParagraph"/>
      </w:pPr>
    </w:p>
    <w:p w14:paraId="599513E4" w14:textId="77777777" w:rsidR="006D0816" w:rsidRDefault="006D0816" w:rsidP="00EA4F13">
      <w:pPr>
        <w:pStyle w:val="ListParagraph"/>
        <w:numPr>
          <w:ilvl w:val="0"/>
          <w:numId w:val="3"/>
        </w:numPr>
      </w:pPr>
      <w:r>
        <w:t>Generally speaking, it is better to do a few things well than a lot of things poorly.  The County’s goal is to provide high priority services in a professional, effective and efficient manner, even if it means limiting the number or type of lower priority services provided.</w:t>
      </w:r>
    </w:p>
    <w:p w14:paraId="4728E9B8" w14:textId="77777777" w:rsidR="0092217B" w:rsidRDefault="0092217B" w:rsidP="0092217B">
      <w:pPr>
        <w:pStyle w:val="ListParagraph"/>
      </w:pPr>
    </w:p>
    <w:p w14:paraId="079B1429" w14:textId="77777777" w:rsidR="006D0816" w:rsidRDefault="006D0816" w:rsidP="00EA4F13">
      <w:pPr>
        <w:pStyle w:val="ListParagraph"/>
        <w:numPr>
          <w:ilvl w:val="0"/>
          <w:numId w:val="3"/>
        </w:numPr>
      </w:pPr>
      <w:r>
        <w:t xml:space="preserve">The County administers a number of costly </w:t>
      </w:r>
      <w:r w:rsidR="00223557">
        <w:t>s</w:t>
      </w:r>
      <w:r w:rsidR="00FC019C">
        <w:t>tate</w:t>
      </w:r>
      <w:r>
        <w:t xml:space="preserve"> programs that are primarily funded by </w:t>
      </w:r>
      <w:r w:rsidR="00D949EC">
        <w:t>s</w:t>
      </w:r>
      <w:r w:rsidR="00FC019C">
        <w:t>tate</w:t>
      </w:r>
      <w:r>
        <w:t xml:space="preserve"> and federal dollars.  Recognizing the limitations on the County’s ability to increase discretionary revenues, in the event of a reduction in resources for these programs, the County’s goal, to the extent legally possible</w:t>
      </w:r>
      <w:r w:rsidR="00AC6396">
        <w:t>,</w:t>
      </w:r>
      <w:r>
        <w:t xml:space="preserve"> is to avoid backfilling reductions in </w:t>
      </w:r>
      <w:r w:rsidR="00D949EC">
        <w:t>s</w:t>
      </w:r>
      <w:r w:rsidR="00FC019C">
        <w:t>tate</w:t>
      </w:r>
      <w:r>
        <w:t xml:space="preserve"> and federal dollars with discretionary dollars.</w:t>
      </w:r>
    </w:p>
    <w:p w14:paraId="636113FA" w14:textId="77777777" w:rsidR="0092217B" w:rsidRDefault="0092217B" w:rsidP="0092217B">
      <w:pPr>
        <w:pStyle w:val="ListParagraph"/>
      </w:pPr>
    </w:p>
    <w:p w14:paraId="1E4848AC" w14:textId="77777777" w:rsidR="006D0816" w:rsidRDefault="00ED2316" w:rsidP="00EA4F13">
      <w:pPr>
        <w:pStyle w:val="ListParagraph"/>
        <w:numPr>
          <w:ilvl w:val="0"/>
          <w:numId w:val="3"/>
        </w:numPr>
      </w:pPr>
      <w:r>
        <w:t>To maintain as much flexibility as possible to address priority needs and deal with exigent circumstances, wherever legally possible</w:t>
      </w:r>
      <w:r w:rsidR="001C1BF1">
        <w:t>,</w:t>
      </w:r>
      <w:r>
        <w:t xml:space="preserve"> revenues are to be treated as discretionary resources, rather than dedicated to a particular program.</w:t>
      </w:r>
    </w:p>
    <w:p w14:paraId="5618A2B5" w14:textId="77777777" w:rsidR="0092217B" w:rsidRDefault="0092217B" w:rsidP="0092217B">
      <w:pPr>
        <w:pStyle w:val="ListParagraph"/>
      </w:pPr>
    </w:p>
    <w:p w14:paraId="0A26EAC0" w14:textId="77777777" w:rsidR="00ED2316" w:rsidRDefault="00F11539" w:rsidP="00EA4F13">
      <w:pPr>
        <w:pStyle w:val="ListParagraph"/>
        <w:numPr>
          <w:ilvl w:val="0"/>
          <w:numId w:val="3"/>
        </w:numPr>
      </w:pPr>
      <w:r>
        <w:t xml:space="preserve">When charging for services or claiming federal or </w:t>
      </w:r>
      <w:r w:rsidR="00D949EC">
        <w:t>s</w:t>
      </w:r>
      <w:r>
        <w:t xml:space="preserve">tate revenues, the County’s goal is to recover the full cost of services provided, including departmental and </w:t>
      </w:r>
      <w:r w:rsidR="003375B8">
        <w:t>county</w:t>
      </w:r>
      <w:r>
        <w:t xml:space="preserve"> overhead.</w:t>
      </w:r>
    </w:p>
    <w:p w14:paraId="120877EF" w14:textId="77777777" w:rsidR="0092217B" w:rsidRDefault="0092217B" w:rsidP="0092217B">
      <w:pPr>
        <w:pStyle w:val="ListParagraph"/>
      </w:pPr>
    </w:p>
    <w:p w14:paraId="69EDB76E" w14:textId="77777777" w:rsidR="00F11539" w:rsidRDefault="00F11539" w:rsidP="00EA4F13">
      <w:pPr>
        <w:pStyle w:val="ListParagraph"/>
        <w:numPr>
          <w:ilvl w:val="0"/>
          <w:numId w:val="3"/>
        </w:numPr>
      </w:pPr>
      <w:r>
        <w:t>Generally, it is appropriate to use discretionary resources to fund programs or services that provide a broad public benefit.  To the extent legally possible, programs or services that primarily benefit a smaller sub-group should be paid for with user fees or assessments.</w:t>
      </w:r>
    </w:p>
    <w:p w14:paraId="5FA2EC39" w14:textId="77777777" w:rsidR="0092217B" w:rsidRDefault="0092217B" w:rsidP="0092217B">
      <w:pPr>
        <w:pStyle w:val="ListParagraph"/>
      </w:pPr>
    </w:p>
    <w:p w14:paraId="084D2AD1" w14:textId="77777777" w:rsidR="00F11539" w:rsidRDefault="00F11539" w:rsidP="00035DE3">
      <w:pPr>
        <w:pStyle w:val="ListParagraph"/>
        <w:numPr>
          <w:ilvl w:val="0"/>
          <w:numId w:val="3"/>
        </w:numPr>
      </w:pPr>
      <w:r>
        <w:t xml:space="preserve">The County provides countywide services to people who live in all areas of the County and municipal services to residents of the unincorporated area.  Because city residents already pay taxes </w:t>
      </w:r>
      <w:r w:rsidR="001C1BF1">
        <w:t xml:space="preserve">or fees </w:t>
      </w:r>
      <w:r>
        <w:t xml:space="preserve">to their cities for municipal services, it is important to </w:t>
      </w:r>
      <w:r w:rsidR="00A237EE">
        <w:t>e</w:t>
      </w:r>
      <w:r>
        <w:t xml:space="preserve">nsure that city residents </w:t>
      </w:r>
      <w:r w:rsidR="00A237EE">
        <w:t xml:space="preserve">do </w:t>
      </w:r>
      <w:r>
        <w:t>not subsidize the cost of providing services to residents of the unincorporated area.</w:t>
      </w:r>
    </w:p>
    <w:p w14:paraId="13703AD1" w14:textId="77777777" w:rsidR="0092217B" w:rsidRDefault="0092217B" w:rsidP="00035DE3">
      <w:pPr>
        <w:pStyle w:val="ListParagraph"/>
      </w:pPr>
    </w:p>
    <w:p w14:paraId="538D21D1" w14:textId="77777777" w:rsidR="00F11539" w:rsidRDefault="00F11539" w:rsidP="00035DE3">
      <w:pPr>
        <w:pStyle w:val="ListParagraph"/>
        <w:numPr>
          <w:ilvl w:val="0"/>
          <w:numId w:val="3"/>
        </w:numPr>
      </w:pPr>
      <w:r>
        <w:t xml:space="preserve">The County has a fiduciary responsibility to the taxpayers to </w:t>
      </w:r>
      <w:r w:rsidR="00A237EE">
        <w:t>e</w:t>
      </w:r>
      <w:r>
        <w:t xml:space="preserve">nsure that public funds are spent only to achieve an appropriate public purpose and that any expenditure of public funds </w:t>
      </w:r>
      <w:r w:rsidR="00AA7558">
        <w:t>incorporates</w:t>
      </w:r>
      <w:r>
        <w:t xml:space="preserve"> appropriate control and accountability measures to </w:t>
      </w:r>
      <w:r w:rsidR="00A237EE">
        <w:t>e</w:t>
      </w:r>
      <w:r>
        <w:t>nsure that the public purpose is being achieved.  In addition, the County will use appropriate performance measure</w:t>
      </w:r>
      <w:r w:rsidR="00AC6396">
        <w:t>s</w:t>
      </w:r>
      <w:r>
        <w:t xml:space="preserve"> to help evaluate the effectiveness and efficiency of County programs and services.</w:t>
      </w:r>
    </w:p>
    <w:p w14:paraId="68572A1D" w14:textId="77777777" w:rsidR="00955C0E" w:rsidRDefault="00955C0E">
      <w:pPr>
        <w:rPr>
          <w:sz w:val="24"/>
        </w:rPr>
      </w:pPr>
      <w:r>
        <w:rPr>
          <w:sz w:val="24"/>
        </w:rPr>
        <w:br w:type="page"/>
      </w:r>
    </w:p>
    <w:p w14:paraId="72F7768B" w14:textId="77777777" w:rsidR="00F11539" w:rsidRPr="00FE387E" w:rsidRDefault="00F11539" w:rsidP="00035DE3">
      <w:pPr>
        <w:rPr>
          <w:sz w:val="24"/>
        </w:rPr>
      </w:pPr>
      <w:r w:rsidRPr="00FE387E">
        <w:rPr>
          <w:sz w:val="24"/>
        </w:rPr>
        <w:lastRenderedPageBreak/>
        <w:t xml:space="preserve">Key Multi-Year Fiscal Policies – FY </w:t>
      </w:r>
      <w:r w:rsidR="00FE387E">
        <w:rPr>
          <w:sz w:val="24"/>
          <w:szCs w:val="24"/>
        </w:rPr>
        <w:t>20</w:t>
      </w:r>
      <w:r w:rsidR="00B44AD2">
        <w:rPr>
          <w:sz w:val="24"/>
          <w:szCs w:val="24"/>
        </w:rPr>
        <w:t>19-20</w:t>
      </w:r>
      <w:r w:rsidRPr="00FE387E">
        <w:rPr>
          <w:sz w:val="24"/>
        </w:rPr>
        <w:t xml:space="preserve"> through FY </w:t>
      </w:r>
      <w:r w:rsidR="00937F7E" w:rsidRPr="00CB6C67">
        <w:rPr>
          <w:sz w:val="24"/>
          <w:szCs w:val="24"/>
        </w:rPr>
        <w:t>20</w:t>
      </w:r>
      <w:r w:rsidR="00B44AD2">
        <w:rPr>
          <w:sz w:val="24"/>
          <w:szCs w:val="24"/>
        </w:rPr>
        <w:t>23-24</w:t>
      </w:r>
    </w:p>
    <w:p w14:paraId="1A8BB4CD" w14:textId="77777777" w:rsidR="003E54B4" w:rsidRDefault="00E531ED" w:rsidP="003E54B4">
      <w:pPr>
        <w:pStyle w:val="ListParagraph"/>
        <w:numPr>
          <w:ilvl w:val="0"/>
          <w:numId w:val="4"/>
        </w:numPr>
      </w:pPr>
      <w:r>
        <w:t>M</w:t>
      </w:r>
      <w:r w:rsidRPr="00193E36">
        <w:t xml:space="preserve">aintain </w:t>
      </w:r>
      <w:r>
        <w:t>a</w:t>
      </w:r>
      <w:r w:rsidRPr="00193E36">
        <w:t xml:space="preserve"> General Reserve </w:t>
      </w:r>
      <w:r>
        <w:t xml:space="preserve">balance </w:t>
      </w:r>
      <w:r w:rsidRPr="00193E36">
        <w:t>equ</w:t>
      </w:r>
      <w:r>
        <w:t>al</w:t>
      </w:r>
      <w:r w:rsidRPr="00193E36">
        <w:t xml:space="preserve"> to 10% of General Fund and Health </w:t>
      </w:r>
      <w:r>
        <w:t>and</w:t>
      </w:r>
      <w:r w:rsidRPr="00193E36">
        <w:t xml:space="preserve"> Human Services Fund appropriations (not including the </w:t>
      </w:r>
      <w:r>
        <w:t xml:space="preserve">General Fund </w:t>
      </w:r>
      <w:r w:rsidRPr="00193E36">
        <w:t>Appropriation for Contingenc</w:t>
      </w:r>
      <w:r>
        <w:t>ies</w:t>
      </w:r>
      <w:r w:rsidRPr="00193E36">
        <w:t xml:space="preserve"> and </w:t>
      </w:r>
      <w:r w:rsidR="003E54B4">
        <w:t>Disaster</w:t>
      </w:r>
      <w:r w:rsidRPr="00193E36">
        <w:t xml:space="preserve"> Response and Recovery, any transfer to the Accumulated Capital Outlay Fund</w:t>
      </w:r>
      <w:r>
        <w:t>,</w:t>
      </w:r>
      <w:r w:rsidRPr="00193E36">
        <w:t xml:space="preserve"> and the General Fund </w:t>
      </w:r>
      <w:r>
        <w:t>c</w:t>
      </w:r>
      <w:r w:rsidRPr="00193E36">
        <w:t xml:space="preserve">ontribution to the Health </w:t>
      </w:r>
      <w:r w:rsidR="00035DE3">
        <w:t>and</w:t>
      </w:r>
      <w:r w:rsidRPr="00193E36">
        <w:t xml:space="preserve"> Human Services Fund). The General Reserve is to be maintained at this level at all times, except in the case of a dire fiscal emergency or declared natural disaster.  </w:t>
      </w:r>
    </w:p>
    <w:p w14:paraId="7CA3CB26" w14:textId="77777777" w:rsidR="00B44AD2" w:rsidRDefault="00B44AD2" w:rsidP="00B44AD2">
      <w:pPr>
        <w:pStyle w:val="ListParagraph"/>
      </w:pPr>
    </w:p>
    <w:p w14:paraId="32B5773A" w14:textId="77777777" w:rsidR="00F11539" w:rsidRPr="00CB6C67" w:rsidRDefault="00F11539" w:rsidP="00E531ED">
      <w:pPr>
        <w:pStyle w:val="ListParagraph"/>
        <w:numPr>
          <w:ilvl w:val="0"/>
          <w:numId w:val="4"/>
        </w:numPr>
      </w:pPr>
      <w:r w:rsidRPr="00CB6C67">
        <w:t>Strive to maintain a</w:t>
      </w:r>
      <w:r w:rsidR="00CB6C67" w:rsidRPr="00CB6C67">
        <w:t>n Assignment</w:t>
      </w:r>
      <w:r w:rsidRPr="00CB6C67">
        <w:t xml:space="preserve"> for Fiscal Uncertaint</w:t>
      </w:r>
      <w:r w:rsidR="00E531ED">
        <w:t>y</w:t>
      </w:r>
      <w:r w:rsidRPr="00CB6C67">
        <w:t xml:space="preserve"> balance in the General Fund of 10% of General Fund</w:t>
      </w:r>
      <w:r w:rsidR="006E3644" w:rsidRPr="00CB6C67">
        <w:t xml:space="preserve"> appropriations</w:t>
      </w:r>
      <w:r w:rsidRPr="00CB6C67">
        <w:t xml:space="preserve">, not including the General Fund appropriation for Contingency, any budgeted transfer to the Accumulated Capital Outlay Fund and the General Fund contribution to the Health </w:t>
      </w:r>
      <w:r w:rsidR="00035DE3">
        <w:t>and</w:t>
      </w:r>
      <w:r w:rsidRPr="00CB6C67">
        <w:t xml:space="preserve"> Human Services Fund.  In times of fiscal distress, these funds can be used to help balance the General Fund budget as part of a plan to achieve long-term structural balance.  Any plan to achieve </w:t>
      </w:r>
      <w:r w:rsidR="006E3644" w:rsidRPr="00CB6C67">
        <w:t xml:space="preserve">long-term structural balance should include a provision to replenish the </w:t>
      </w:r>
      <w:r w:rsidR="00CB6C67" w:rsidRPr="00CB6C67">
        <w:t>Assignment</w:t>
      </w:r>
      <w:r w:rsidR="006E3644" w:rsidRPr="00CB6C67">
        <w:t xml:space="preserve"> for Fiscal Uncertaint</w:t>
      </w:r>
      <w:r w:rsidR="00E531ED">
        <w:t>y</w:t>
      </w:r>
      <w:r w:rsidR="006E3644" w:rsidRPr="00CB6C67">
        <w:t xml:space="preserve"> balance to the 10% level.</w:t>
      </w:r>
    </w:p>
    <w:p w14:paraId="76ABC0D0" w14:textId="77777777" w:rsidR="00AC6396" w:rsidRPr="00CB6C67" w:rsidRDefault="00AC6396" w:rsidP="00E531ED">
      <w:pPr>
        <w:pStyle w:val="ListParagraph"/>
      </w:pPr>
    </w:p>
    <w:p w14:paraId="3610D61D" w14:textId="77777777" w:rsidR="006E3644" w:rsidRPr="00CB6C67" w:rsidRDefault="006E3644" w:rsidP="00E531ED">
      <w:pPr>
        <w:pStyle w:val="ListParagraph"/>
      </w:pPr>
      <w:r w:rsidRPr="00CB6C67">
        <w:t>Strive to maintain a</w:t>
      </w:r>
      <w:r w:rsidR="00694E13">
        <w:t>n Assignment</w:t>
      </w:r>
      <w:r w:rsidRPr="00CB6C67">
        <w:t xml:space="preserve"> for Fiscal Uncertaint</w:t>
      </w:r>
      <w:r w:rsidR="00E531ED">
        <w:t>y</w:t>
      </w:r>
      <w:r w:rsidRPr="00CB6C67">
        <w:t xml:space="preserve"> in the Health </w:t>
      </w:r>
      <w:r w:rsidR="00035DE3">
        <w:t>and</w:t>
      </w:r>
      <w:r w:rsidRPr="00CB6C67">
        <w:t xml:space="preserve"> Human Services Fund of 10% of the Health </w:t>
      </w:r>
      <w:r w:rsidR="00035DE3">
        <w:t>and</w:t>
      </w:r>
      <w:r w:rsidRPr="00CB6C67">
        <w:t xml:space="preserve"> Human Services Fund appropriations.  In times of fiscal distress, including the loss of state and/or federal revenues for priority programs, these funds can be used to help balance the Health </w:t>
      </w:r>
      <w:r w:rsidR="00035DE3">
        <w:t>and</w:t>
      </w:r>
      <w:r w:rsidRPr="00CB6C67">
        <w:t xml:space="preserve"> Human Services Fund budget as part of a plan to achieve long-term structural balance in that fund.  Any plan to achieve long-term structural balance should include a provision to replenish the </w:t>
      </w:r>
      <w:r w:rsidR="00694E13">
        <w:t>Assignment</w:t>
      </w:r>
      <w:r w:rsidRPr="00CB6C67">
        <w:t xml:space="preserve"> for Fiscal Uncertaint</w:t>
      </w:r>
      <w:r w:rsidR="00E531ED">
        <w:t>y</w:t>
      </w:r>
      <w:r w:rsidRPr="00CB6C67">
        <w:t xml:space="preserve"> (HHS</w:t>
      </w:r>
      <w:r w:rsidR="00E531ED">
        <w:t>A</w:t>
      </w:r>
      <w:r w:rsidRPr="00CB6C67">
        <w:t xml:space="preserve"> Fund) balance to the 10% level.</w:t>
      </w:r>
    </w:p>
    <w:p w14:paraId="3EF2D566" w14:textId="77777777" w:rsidR="00CB6C67" w:rsidRPr="00CB6C67" w:rsidRDefault="00CB6C67" w:rsidP="00E531ED">
      <w:pPr>
        <w:pStyle w:val="ListParagraph"/>
      </w:pPr>
    </w:p>
    <w:p w14:paraId="04F1931C" w14:textId="1F9EB49B" w:rsidR="006E3644" w:rsidRDefault="006E3644" w:rsidP="00E531ED">
      <w:pPr>
        <w:pStyle w:val="ListParagraph"/>
        <w:numPr>
          <w:ilvl w:val="0"/>
          <w:numId w:val="4"/>
        </w:numPr>
      </w:pPr>
      <w:r>
        <w:t xml:space="preserve">Place a minimum of 3% of General Fund appropriations in an </w:t>
      </w:r>
      <w:r w:rsidR="00CB6C67">
        <w:t>A</w:t>
      </w:r>
      <w:r>
        <w:t>ppropriation for Contingenc</w:t>
      </w:r>
      <w:r w:rsidR="00CB6C67">
        <w:t>ies</w:t>
      </w:r>
      <w:r w:rsidR="00CA2BA3">
        <w:t xml:space="preserve"> </w:t>
      </w:r>
      <w:r w:rsidR="00650C26">
        <w:t>(not including the Declared Emergency Division or any transfers or contributions to other funds)</w:t>
      </w:r>
      <w:r>
        <w:t>, to be used during the fiscal year to address unanticipated expenditure increases or revenue decreases.</w:t>
      </w:r>
    </w:p>
    <w:p w14:paraId="42A53F9C" w14:textId="77777777" w:rsidR="00B44AD2" w:rsidRDefault="00E531ED" w:rsidP="00E531ED">
      <w:pPr>
        <w:numPr>
          <w:ilvl w:val="0"/>
          <w:numId w:val="4"/>
        </w:numPr>
      </w:pPr>
      <w:r w:rsidRPr="00193E36">
        <w:t xml:space="preserve">Once the General Reserve and </w:t>
      </w:r>
      <w:r w:rsidRPr="00F943D3">
        <w:t xml:space="preserve">the </w:t>
      </w:r>
      <w:r w:rsidRPr="00193E36">
        <w:t xml:space="preserve">General Fund </w:t>
      </w:r>
      <w:r>
        <w:t>Assignment</w:t>
      </w:r>
      <w:r w:rsidRPr="00193E36">
        <w:t xml:space="preserve"> for </w:t>
      </w:r>
      <w:r w:rsidRPr="00F943D3">
        <w:t>F</w:t>
      </w:r>
      <w:r w:rsidRPr="00193E36">
        <w:t xml:space="preserve">iscal </w:t>
      </w:r>
      <w:r w:rsidRPr="00F943D3">
        <w:t>U</w:t>
      </w:r>
      <w:r w:rsidRPr="00193E36">
        <w:t>ncertaint</w:t>
      </w:r>
      <w:r w:rsidRPr="00F943D3">
        <w:t>y</w:t>
      </w:r>
      <w:r w:rsidRPr="00193E36">
        <w:t xml:space="preserve"> </w:t>
      </w:r>
      <w:r>
        <w:t>requirements are met</w:t>
      </w:r>
      <w:r w:rsidRPr="00193E36">
        <w:t xml:space="preserve">, and after evaluating all existing and new Assignments, </w:t>
      </w:r>
      <w:r w:rsidR="00B44AD2">
        <w:t>evaluate any remaining General Fund sources to reduce long-term liabilities, as identified in the annual budget policies.</w:t>
      </w:r>
    </w:p>
    <w:p w14:paraId="5886247A" w14:textId="4853CAE3" w:rsidR="00E531ED" w:rsidRPr="00193E36" w:rsidRDefault="00B44AD2" w:rsidP="00E531ED">
      <w:pPr>
        <w:numPr>
          <w:ilvl w:val="0"/>
          <w:numId w:val="4"/>
        </w:numPr>
      </w:pPr>
      <w:r>
        <w:t xml:space="preserve">After addressing long-term liabilities, </w:t>
      </w:r>
      <w:r w:rsidR="00E531ED" w:rsidRPr="00193E36">
        <w:t xml:space="preserve">transfer any remaining unappropriated </w:t>
      </w:r>
      <w:r w:rsidR="00E531ED">
        <w:t xml:space="preserve">General Fund </w:t>
      </w:r>
      <w:r w:rsidR="00E531ED" w:rsidRPr="00193E36">
        <w:t xml:space="preserve">discretionary resources to the Accumulated Capital Outlay (ACO) Fund to be retained to address unmet capital needs.  Transfer monies from the ACO Fund as needed to cover the cost of </w:t>
      </w:r>
      <w:r w:rsidR="00264556">
        <w:t>m</w:t>
      </w:r>
      <w:r w:rsidR="00E531ED" w:rsidRPr="00193E36">
        <w:t xml:space="preserve">ajor </w:t>
      </w:r>
      <w:r w:rsidR="00264556">
        <w:t>c</w:t>
      </w:r>
      <w:r w:rsidR="00E531ED" w:rsidRPr="00193E36">
        <w:t xml:space="preserve">apital </w:t>
      </w:r>
      <w:r>
        <w:t>investment</w:t>
      </w:r>
      <w:r w:rsidR="00E531ED" w:rsidRPr="00193E36">
        <w:t xml:space="preserve"> as approv</w:t>
      </w:r>
      <w:r w:rsidR="00CA2BA3">
        <w:t>ed by the Board of Supervisors.</w:t>
      </w:r>
    </w:p>
    <w:p w14:paraId="2D32503C" w14:textId="77777777" w:rsidR="006E3644" w:rsidRDefault="006E3644" w:rsidP="00E531ED">
      <w:pPr>
        <w:pStyle w:val="ListParagraph"/>
        <w:numPr>
          <w:ilvl w:val="0"/>
          <w:numId w:val="4"/>
        </w:numPr>
      </w:pPr>
      <w:r>
        <w:t xml:space="preserve">To the extent that the General Fund Five-Year Forecast provides clear evidence that there is a significant structural surplus (that is, that discretionary revenues exceed the projected operating Net County Cost, General Reserve, </w:t>
      </w:r>
      <w:r w:rsidR="00E531ED">
        <w:t>Assignment</w:t>
      </w:r>
      <w:r>
        <w:t xml:space="preserve"> and Contingency requirements) during the five</w:t>
      </w:r>
      <w:r w:rsidR="00ED3EF1">
        <w:t>-</w:t>
      </w:r>
      <w:r>
        <w:t xml:space="preserve"> </w:t>
      </w:r>
      <w:r>
        <w:lastRenderedPageBreak/>
        <w:t>year projection period, any available resources may be invested in program enhancements as set forth in the Resource Allocation Strategy.</w:t>
      </w:r>
    </w:p>
    <w:p w14:paraId="7E3CE78F" w14:textId="77777777" w:rsidR="0092217B" w:rsidRDefault="0092217B" w:rsidP="00E531ED">
      <w:pPr>
        <w:pStyle w:val="ListParagraph"/>
      </w:pPr>
    </w:p>
    <w:p w14:paraId="018C4A05" w14:textId="77777777" w:rsidR="0092217B" w:rsidRDefault="006E3644" w:rsidP="00D0235E">
      <w:pPr>
        <w:pStyle w:val="ListParagraph"/>
        <w:numPr>
          <w:ilvl w:val="0"/>
          <w:numId w:val="4"/>
        </w:numPr>
      </w:pPr>
      <w:r>
        <w:t>To the extent that the annual General Fund Five-Year Forecast shows that there is a structural deficit (that is, that discretionary revenues are less than projected opera</w:t>
      </w:r>
      <w:r w:rsidR="001C1BF1">
        <w:t>ting</w:t>
      </w:r>
      <w:r>
        <w:t xml:space="preserve"> Net County Cost, General Reserve, </w:t>
      </w:r>
      <w:r w:rsidR="00694E13">
        <w:t>Assignment</w:t>
      </w:r>
      <w:r>
        <w:t xml:space="preserve"> and Contingency requirements) during the five-year projection period, expenditure reductions or other actions may be taken, if needed, to address a significant reduction in resources, as set forth in the Resource Reduction Strategy.</w:t>
      </w:r>
    </w:p>
    <w:p w14:paraId="7E005909" w14:textId="77777777" w:rsidR="00650C26" w:rsidRDefault="00650C26" w:rsidP="00650C26">
      <w:pPr>
        <w:pStyle w:val="ListParagraph"/>
      </w:pPr>
    </w:p>
    <w:p w14:paraId="6E64A973" w14:textId="77777777" w:rsidR="006E3644" w:rsidRDefault="006E3644" w:rsidP="006E3644">
      <w:pPr>
        <w:pStyle w:val="ListParagraph"/>
        <w:numPr>
          <w:ilvl w:val="0"/>
          <w:numId w:val="4"/>
        </w:numPr>
      </w:pPr>
      <w:r>
        <w:t>Generally, one-time or limited-duration resources (including fund balance) will be spent on one-time or non-recurring obligations.</w:t>
      </w:r>
    </w:p>
    <w:p w14:paraId="26C59DD6" w14:textId="77777777" w:rsidR="00D949EC" w:rsidRDefault="00D949EC" w:rsidP="003365AA">
      <w:pPr>
        <w:pStyle w:val="ListParagraph"/>
        <w:spacing w:after="0" w:line="240" w:lineRule="auto"/>
      </w:pPr>
    </w:p>
    <w:p w14:paraId="0644D45E" w14:textId="77777777" w:rsidR="006E3644" w:rsidRDefault="003573BA" w:rsidP="006E3644">
      <w:pPr>
        <w:pStyle w:val="ListParagraph"/>
        <w:numPr>
          <w:ilvl w:val="1"/>
          <w:numId w:val="4"/>
        </w:numPr>
      </w:pPr>
      <w:r>
        <w:t>One-time or non-recurring obligations include:</w:t>
      </w:r>
    </w:p>
    <w:p w14:paraId="1993C16A" w14:textId="77777777" w:rsidR="003573BA" w:rsidRDefault="002C3883" w:rsidP="003573BA">
      <w:pPr>
        <w:pStyle w:val="ListParagraph"/>
        <w:numPr>
          <w:ilvl w:val="2"/>
          <w:numId w:val="4"/>
        </w:numPr>
      </w:pPr>
      <w:r>
        <w:t>a</w:t>
      </w:r>
      <w:r w:rsidR="003573BA">
        <w:t xml:space="preserve">dding to Reserves and </w:t>
      </w:r>
      <w:r w:rsidR="00694E13">
        <w:t>Assignments</w:t>
      </w:r>
      <w:r w:rsidR="003573BA">
        <w:t>;</w:t>
      </w:r>
    </w:p>
    <w:p w14:paraId="546FB9E0" w14:textId="77777777" w:rsidR="003573BA" w:rsidRDefault="002C3883" w:rsidP="003573BA">
      <w:pPr>
        <w:pStyle w:val="ListParagraph"/>
        <w:numPr>
          <w:ilvl w:val="2"/>
          <w:numId w:val="4"/>
        </w:numPr>
      </w:pPr>
      <w:r>
        <w:t>i</w:t>
      </w:r>
      <w:r w:rsidR="00801581">
        <w:t>nfrastructure, c</w:t>
      </w:r>
      <w:r w:rsidR="003573BA">
        <w:t>apital and technology improvements;</w:t>
      </w:r>
    </w:p>
    <w:p w14:paraId="5D3AB352" w14:textId="77777777" w:rsidR="003573BA" w:rsidRDefault="002C3883" w:rsidP="003573BA">
      <w:pPr>
        <w:pStyle w:val="ListParagraph"/>
        <w:numPr>
          <w:ilvl w:val="2"/>
          <w:numId w:val="4"/>
        </w:numPr>
      </w:pPr>
      <w:r>
        <w:t>r</w:t>
      </w:r>
      <w:r w:rsidR="003573BA">
        <w:t>eduction of unfunded liabilities, including Retirement and Retiree Health obligations;</w:t>
      </w:r>
    </w:p>
    <w:p w14:paraId="2FFE2EAD" w14:textId="77777777" w:rsidR="003573BA" w:rsidRDefault="002C3883" w:rsidP="003573BA">
      <w:pPr>
        <w:pStyle w:val="ListParagraph"/>
        <w:numPr>
          <w:ilvl w:val="2"/>
          <w:numId w:val="4"/>
        </w:numPr>
      </w:pPr>
      <w:r>
        <w:t>c</w:t>
      </w:r>
      <w:r w:rsidR="003573BA">
        <w:t>ost-avoidance projects;</w:t>
      </w:r>
    </w:p>
    <w:p w14:paraId="45516D2D" w14:textId="77777777" w:rsidR="003573BA" w:rsidRDefault="002C3883" w:rsidP="003573BA">
      <w:pPr>
        <w:pStyle w:val="ListParagraph"/>
        <w:numPr>
          <w:ilvl w:val="2"/>
          <w:numId w:val="4"/>
        </w:numPr>
      </w:pPr>
      <w:r>
        <w:t>o</w:t>
      </w:r>
      <w:r w:rsidR="003573BA">
        <w:t>ther non-recurring needs, in accordance with Board Budget Policies.</w:t>
      </w:r>
    </w:p>
    <w:p w14:paraId="5FD63861" w14:textId="77777777" w:rsidR="0092217B" w:rsidRDefault="0092217B" w:rsidP="0092217B">
      <w:pPr>
        <w:pStyle w:val="ListParagraph"/>
        <w:ind w:left="2160"/>
      </w:pPr>
    </w:p>
    <w:p w14:paraId="79C66033" w14:textId="05D2B527" w:rsidR="00EA4F13" w:rsidRDefault="00EA4F13"/>
    <w:p w14:paraId="4A6586C1" w14:textId="77777777" w:rsidR="00BC1172" w:rsidRDefault="00BC1172">
      <w:r>
        <w:br w:type="page"/>
      </w:r>
    </w:p>
    <w:p w14:paraId="33EF6844" w14:textId="77777777" w:rsidR="00BC1172" w:rsidRPr="005137FA" w:rsidRDefault="003573BA" w:rsidP="004C578C">
      <w:pPr>
        <w:pStyle w:val="ListParagraph"/>
        <w:numPr>
          <w:ilvl w:val="0"/>
          <w:numId w:val="1"/>
        </w:numPr>
        <w:pBdr>
          <w:bottom w:val="thinThickSmallGap" w:sz="24" w:space="1" w:color="5F497A" w:themeColor="accent4" w:themeShade="BF"/>
        </w:pBdr>
        <w:spacing w:after="0" w:line="240" w:lineRule="auto"/>
        <w:rPr>
          <w:sz w:val="28"/>
          <w:szCs w:val="28"/>
        </w:rPr>
      </w:pPr>
      <w:r w:rsidRPr="005137FA">
        <w:rPr>
          <w:sz w:val="28"/>
          <w:szCs w:val="28"/>
        </w:rPr>
        <w:lastRenderedPageBreak/>
        <w:t>Resource Allocation Strategy</w:t>
      </w:r>
    </w:p>
    <w:p w14:paraId="027FBD7E" w14:textId="77777777" w:rsidR="00BC1172" w:rsidRDefault="00BC1172" w:rsidP="0073092E">
      <w:pPr>
        <w:spacing w:after="0" w:line="240" w:lineRule="auto"/>
      </w:pPr>
    </w:p>
    <w:p w14:paraId="79953481" w14:textId="77777777" w:rsidR="004C578C" w:rsidRPr="004C578C" w:rsidRDefault="004C578C" w:rsidP="003E3B3A">
      <w:pPr>
        <w:rPr>
          <w:rFonts w:ascii="Calibri" w:eastAsia="Calibri" w:hAnsi="Calibri" w:cs="Times New Roman"/>
        </w:rPr>
      </w:pPr>
      <w:r w:rsidRPr="004C578C">
        <w:rPr>
          <w:rFonts w:ascii="Calibri" w:eastAsia="Calibri" w:hAnsi="Calibri" w:cs="Times New Roman"/>
        </w:rPr>
        <w:t xml:space="preserve">This Resource Allocation strategy essentially describes the method </w:t>
      </w:r>
      <w:r w:rsidR="001C1BF1">
        <w:rPr>
          <w:rFonts w:ascii="Calibri" w:eastAsia="Calibri" w:hAnsi="Calibri" w:cs="Times New Roman"/>
        </w:rPr>
        <w:t>used</w:t>
      </w:r>
      <w:r w:rsidR="001C1BF1" w:rsidRPr="004C578C">
        <w:rPr>
          <w:rFonts w:ascii="Calibri" w:eastAsia="Calibri" w:hAnsi="Calibri" w:cs="Times New Roman"/>
        </w:rPr>
        <w:t xml:space="preserve"> </w:t>
      </w:r>
      <w:r w:rsidR="001C1BF1">
        <w:rPr>
          <w:rFonts w:ascii="Calibri" w:eastAsia="Calibri" w:hAnsi="Calibri" w:cs="Times New Roman"/>
        </w:rPr>
        <w:t>to</w:t>
      </w:r>
      <w:r w:rsidR="001C1BF1" w:rsidRPr="004C578C">
        <w:rPr>
          <w:rFonts w:ascii="Calibri" w:eastAsia="Calibri" w:hAnsi="Calibri" w:cs="Times New Roman"/>
        </w:rPr>
        <w:t xml:space="preserve"> determin</w:t>
      </w:r>
      <w:r w:rsidR="001C1BF1">
        <w:rPr>
          <w:rFonts w:ascii="Calibri" w:eastAsia="Calibri" w:hAnsi="Calibri" w:cs="Times New Roman"/>
        </w:rPr>
        <w:t>e</w:t>
      </w:r>
      <w:r w:rsidR="001C1BF1" w:rsidRPr="004C578C">
        <w:rPr>
          <w:rFonts w:ascii="Calibri" w:eastAsia="Calibri" w:hAnsi="Calibri" w:cs="Times New Roman"/>
        </w:rPr>
        <w:t xml:space="preserve"> </w:t>
      </w:r>
      <w:r w:rsidRPr="004C578C">
        <w:rPr>
          <w:rFonts w:ascii="Calibri" w:eastAsia="Calibri" w:hAnsi="Calibri" w:cs="Times New Roman"/>
        </w:rPr>
        <w:t xml:space="preserve">how the various types of County services are to be prioritized over the </w:t>
      </w:r>
      <w:r w:rsidR="001C1BF1">
        <w:rPr>
          <w:rFonts w:ascii="Calibri" w:eastAsia="Calibri" w:hAnsi="Calibri" w:cs="Times New Roman"/>
        </w:rPr>
        <w:t>P</w:t>
      </w:r>
      <w:r w:rsidR="005137FA">
        <w:rPr>
          <w:rFonts w:ascii="Calibri" w:eastAsia="Calibri" w:hAnsi="Calibri" w:cs="Times New Roman"/>
        </w:rPr>
        <w:t>lan</w:t>
      </w:r>
      <w:r w:rsidRPr="004C578C">
        <w:rPr>
          <w:rFonts w:ascii="Calibri" w:eastAsia="Calibri" w:hAnsi="Calibri" w:cs="Times New Roman"/>
        </w:rPr>
        <w:t xml:space="preserve"> period and, subsequently, how they are to be funded.  The Strategy first makes a distinction between those services that are to be funded primarily by the General Fund (and discretionary resources) and those services that are to be funded primarily by special revenue funds or other funding mechanism.  The following lists identify the services that fall into these two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4C578C" w:rsidRPr="004C578C" w14:paraId="742E10BB" w14:textId="77777777" w:rsidTr="0007643E">
        <w:tc>
          <w:tcPr>
            <w:tcW w:w="4788" w:type="dxa"/>
          </w:tcPr>
          <w:p w14:paraId="6C0C3FBC" w14:textId="77777777" w:rsidR="004C578C" w:rsidRPr="004C578C" w:rsidRDefault="004C578C" w:rsidP="004C578C">
            <w:pPr>
              <w:numPr>
                <w:ilvl w:val="0"/>
                <w:numId w:val="5"/>
              </w:numPr>
              <w:spacing w:after="0" w:line="240" w:lineRule="auto"/>
              <w:jc w:val="center"/>
              <w:rPr>
                <w:rFonts w:ascii="Calibri" w:eastAsia="Calibri" w:hAnsi="Calibri" w:cs="Times New Roman"/>
                <w:b/>
                <w:sz w:val="16"/>
                <w:szCs w:val="16"/>
              </w:rPr>
            </w:pPr>
            <w:r w:rsidRPr="004C578C">
              <w:rPr>
                <w:rFonts w:ascii="Calibri" w:eastAsia="Calibri" w:hAnsi="Calibri" w:cs="Times New Roman"/>
                <w:b/>
                <w:sz w:val="16"/>
                <w:szCs w:val="16"/>
              </w:rPr>
              <w:t>Services Appropriately Funded by the General Fund (Discretionary Resources)</w:t>
            </w:r>
          </w:p>
        </w:tc>
        <w:tc>
          <w:tcPr>
            <w:tcW w:w="4788" w:type="dxa"/>
          </w:tcPr>
          <w:p w14:paraId="2CF5FE6B" w14:textId="77777777" w:rsidR="004C578C" w:rsidRPr="004C578C" w:rsidRDefault="004C578C" w:rsidP="004C578C">
            <w:pPr>
              <w:numPr>
                <w:ilvl w:val="0"/>
                <w:numId w:val="5"/>
              </w:numPr>
              <w:spacing w:after="0" w:line="240" w:lineRule="auto"/>
              <w:jc w:val="center"/>
              <w:rPr>
                <w:rFonts w:ascii="Calibri" w:eastAsia="Calibri" w:hAnsi="Calibri" w:cs="Times New Roman"/>
                <w:b/>
                <w:sz w:val="16"/>
                <w:szCs w:val="16"/>
              </w:rPr>
            </w:pPr>
            <w:r w:rsidRPr="004C578C">
              <w:rPr>
                <w:rFonts w:ascii="Calibri" w:eastAsia="Calibri" w:hAnsi="Calibri" w:cs="Times New Roman"/>
                <w:b/>
                <w:sz w:val="16"/>
                <w:szCs w:val="16"/>
              </w:rPr>
              <w:t xml:space="preserve">Services Appropriately Funded by Dedicated Resources </w:t>
            </w:r>
          </w:p>
        </w:tc>
      </w:tr>
      <w:tr w:rsidR="004C578C" w:rsidRPr="004C578C" w14:paraId="6B09E56D" w14:textId="77777777" w:rsidTr="0007643E">
        <w:tc>
          <w:tcPr>
            <w:tcW w:w="4788" w:type="dxa"/>
          </w:tcPr>
          <w:p w14:paraId="2644C92D"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Law, Justice and Public Safety</w:t>
            </w:r>
          </w:p>
          <w:p w14:paraId="37E684E9" w14:textId="77777777" w:rsidR="004C578C" w:rsidRPr="004C578C" w:rsidRDefault="004C578C" w:rsidP="004C578C">
            <w:pPr>
              <w:numPr>
                <w:ilvl w:val="0"/>
                <w:numId w:val="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Criminal Prosecution (District Attorney)</w:t>
            </w:r>
          </w:p>
          <w:p w14:paraId="2185B603" w14:textId="77777777" w:rsidR="004C578C" w:rsidRPr="004C578C" w:rsidRDefault="004C578C" w:rsidP="004C578C">
            <w:pPr>
              <w:numPr>
                <w:ilvl w:val="0"/>
                <w:numId w:val="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Public Defender</w:t>
            </w:r>
          </w:p>
          <w:p w14:paraId="21A462FD" w14:textId="77777777" w:rsidR="004C578C" w:rsidRPr="004C578C" w:rsidRDefault="004C578C" w:rsidP="004C578C">
            <w:pPr>
              <w:numPr>
                <w:ilvl w:val="0"/>
                <w:numId w:val="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Corrections</w:t>
            </w:r>
          </w:p>
          <w:p w14:paraId="3A764BD8" w14:textId="77777777" w:rsidR="004C578C" w:rsidRPr="004C578C" w:rsidRDefault="004C578C" w:rsidP="004C578C">
            <w:pPr>
              <w:numPr>
                <w:ilvl w:val="0"/>
                <w:numId w:val="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Probation</w:t>
            </w:r>
          </w:p>
          <w:p w14:paraId="67485F54" w14:textId="77777777" w:rsidR="004C578C" w:rsidRPr="004C578C" w:rsidRDefault="004C578C" w:rsidP="004C578C">
            <w:pPr>
              <w:numPr>
                <w:ilvl w:val="0"/>
                <w:numId w:val="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Coroner (Sheriff)</w:t>
            </w:r>
          </w:p>
          <w:p w14:paraId="5E7E0CC1" w14:textId="77777777" w:rsidR="004C578C" w:rsidRPr="004C578C" w:rsidRDefault="004C578C" w:rsidP="004C578C">
            <w:pPr>
              <w:numPr>
                <w:ilvl w:val="0"/>
                <w:numId w:val="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Patrol and Investigations in Unincorporated Area (Sheriff)</w:t>
            </w:r>
          </w:p>
          <w:p w14:paraId="24BC2FE4" w14:textId="656BBDED" w:rsidR="004C578C" w:rsidRDefault="004C578C" w:rsidP="004C578C">
            <w:pPr>
              <w:numPr>
                <w:ilvl w:val="0"/>
                <w:numId w:val="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Animal Control Services (Unincorporated Area)</w:t>
            </w:r>
          </w:p>
          <w:p w14:paraId="7162291A" w14:textId="27F5B1CF" w:rsidR="009E08DB" w:rsidRPr="004C578C" w:rsidRDefault="009E08DB" w:rsidP="004C578C">
            <w:pPr>
              <w:numPr>
                <w:ilvl w:val="0"/>
                <w:numId w:val="6"/>
              </w:numPr>
              <w:spacing w:after="0" w:line="240" w:lineRule="auto"/>
              <w:rPr>
                <w:rFonts w:ascii="Calibri" w:eastAsia="Calibri" w:hAnsi="Calibri" w:cs="Times New Roman"/>
                <w:sz w:val="16"/>
                <w:szCs w:val="16"/>
              </w:rPr>
            </w:pPr>
            <w:r>
              <w:rPr>
                <w:rFonts w:ascii="Calibri" w:eastAsia="Calibri" w:hAnsi="Calibri" w:cs="Times New Roman"/>
                <w:sz w:val="16"/>
                <w:szCs w:val="16"/>
              </w:rPr>
              <w:t>Emergency Preparedness and Response</w:t>
            </w:r>
          </w:p>
          <w:p w14:paraId="62860742" w14:textId="77777777" w:rsidR="004C578C" w:rsidRPr="004C578C" w:rsidRDefault="004C578C" w:rsidP="004C578C">
            <w:pPr>
              <w:spacing w:after="0" w:line="240" w:lineRule="auto"/>
              <w:rPr>
                <w:rFonts w:ascii="Calibri" w:eastAsia="Calibri" w:hAnsi="Calibri" w:cs="Times New Roman"/>
                <w:sz w:val="16"/>
                <w:szCs w:val="16"/>
              </w:rPr>
            </w:pPr>
          </w:p>
          <w:p w14:paraId="4AD1491D" w14:textId="77777777" w:rsidR="004C578C" w:rsidRPr="004C578C" w:rsidRDefault="004C578C" w:rsidP="004C578C">
            <w:pPr>
              <w:spacing w:after="0" w:line="240" w:lineRule="auto"/>
              <w:rPr>
                <w:rFonts w:ascii="Calibri" w:eastAsia="Calibri" w:hAnsi="Calibri" w:cs="Times New Roman"/>
                <w:sz w:val="16"/>
                <w:szCs w:val="16"/>
                <w:u w:val="single"/>
              </w:rPr>
            </w:pPr>
            <w:r w:rsidRPr="004C578C">
              <w:rPr>
                <w:rFonts w:ascii="Calibri" w:eastAsia="Calibri" w:hAnsi="Calibri" w:cs="Times New Roman"/>
                <w:sz w:val="16"/>
                <w:szCs w:val="16"/>
                <w:u w:val="single"/>
              </w:rPr>
              <w:t>Health &amp; Human Services</w:t>
            </w:r>
          </w:p>
          <w:p w14:paraId="59EECB14" w14:textId="77777777" w:rsidR="004C578C" w:rsidRPr="004C578C" w:rsidRDefault="004C578C" w:rsidP="004C578C">
            <w:pPr>
              <w:numPr>
                <w:ilvl w:val="0"/>
                <w:numId w:val="8"/>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 Public Health (communicable &amp; sexually transmitted disease control, epidemiology)</w:t>
            </w:r>
          </w:p>
          <w:p w14:paraId="38F1AD89" w14:textId="77777777" w:rsidR="004C578C" w:rsidRPr="004C578C" w:rsidRDefault="004C578C" w:rsidP="004C578C">
            <w:pPr>
              <w:numPr>
                <w:ilvl w:val="0"/>
                <w:numId w:val="8"/>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Indigent Healthcare for Non-</w:t>
            </w:r>
            <w:r w:rsidR="00AA5395" w:rsidRPr="004C578C">
              <w:rPr>
                <w:rFonts w:ascii="Calibri" w:eastAsia="Calibri" w:hAnsi="Calibri" w:cs="Times New Roman"/>
                <w:sz w:val="16"/>
                <w:szCs w:val="16"/>
              </w:rPr>
              <w:t>Medi</w:t>
            </w:r>
            <w:r w:rsidR="00AA5395">
              <w:rPr>
                <w:rFonts w:ascii="Calibri" w:eastAsia="Calibri" w:hAnsi="Calibri" w:cs="Times New Roman"/>
                <w:sz w:val="16"/>
                <w:szCs w:val="16"/>
              </w:rPr>
              <w:t>-</w:t>
            </w:r>
            <w:r w:rsidR="00AA5395" w:rsidRPr="004C578C">
              <w:rPr>
                <w:rFonts w:ascii="Calibri" w:eastAsia="Calibri" w:hAnsi="Calibri" w:cs="Times New Roman"/>
                <w:sz w:val="16"/>
                <w:szCs w:val="16"/>
              </w:rPr>
              <w:t>Cal</w:t>
            </w:r>
            <w:r w:rsidRPr="004C578C">
              <w:rPr>
                <w:rFonts w:ascii="Calibri" w:eastAsia="Calibri" w:hAnsi="Calibri" w:cs="Times New Roman"/>
                <w:sz w:val="16"/>
                <w:szCs w:val="16"/>
              </w:rPr>
              <w:t xml:space="preserve"> eligible population</w:t>
            </w:r>
          </w:p>
          <w:p w14:paraId="2A9B307F" w14:textId="77777777" w:rsidR="004C578C" w:rsidRPr="004C578C" w:rsidRDefault="004C578C" w:rsidP="004C578C">
            <w:pPr>
              <w:numPr>
                <w:ilvl w:val="0"/>
                <w:numId w:val="8"/>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General Assistance</w:t>
            </w:r>
          </w:p>
          <w:p w14:paraId="1EA035CE" w14:textId="77777777" w:rsidR="004C578C" w:rsidRPr="004C578C" w:rsidRDefault="004C578C" w:rsidP="004C578C">
            <w:pPr>
              <w:numPr>
                <w:ilvl w:val="0"/>
                <w:numId w:val="8"/>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Homeless Assistance</w:t>
            </w:r>
          </w:p>
          <w:p w14:paraId="033CE61F" w14:textId="77777777" w:rsidR="004C578C" w:rsidRPr="004C578C" w:rsidRDefault="004C578C" w:rsidP="004C578C">
            <w:pPr>
              <w:spacing w:after="0" w:line="240" w:lineRule="auto"/>
              <w:rPr>
                <w:rFonts w:ascii="Calibri" w:eastAsia="Calibri" w:hAnsi="Calibri" w:cs="Times New Roman"/>
                <w:sz w:val="16"/>
                <w:szCs w:val="16"/>
              </w:rPr>
            </w:pPr>
          </w:p>
          <w:p w14:paraId="5254F546" w14:textId="77777777" w:rsidR="004C578C" w:rsidRPr="004C578C" w:rsidRDefault="004C578C" w:rsidP="004C578C">
            <w:pPr>
              <w:spacing w:after="0" w:line="240" w:lineRule="auto"/>
              <w:rPr>
                <w:rFonts w:ascii="Calibri" w:eastAsia="Calibri" w:hAnsi="Calibri" w:cs="Times New Roman"/>
                <w:sz w:val="16"/>
                <w:szCs w:val="16"/>
              </w:rPr>
            </w:pPr>
          </w:p>
          <w:p w14:paraId="2052593F" w14:textId="77777777" w:rsidR="004C578C" w:rsidRPr="004C578C" w:rsidRDefault="004C578C" w:rsidP="004C578C">
            <w:pPr>
              <w:spacing w:after="0" w:line="240" w:lineRule="auto"/>
              <w:rPr>
                <w:rFonts w:ascii="Calibri" w:eastAsia="Calibri" w:hAnsi="Calibri" w:cs="Times New Roman"/>
                <w:sz w:val="16"/>
                <w:szCs w:val="16"/>
              </w:rPr>
            </w:pPr>
          </w:p>
          <w:p w14:paraId="12369610"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Community Resources/Infrastructure</w:t>
            </w:r>
          </w:p>
          <w:p w14:paraId="5327A4ED" w14:textId="77777777" w:rsidR="004C578C" w:rsidRPr="004C578C" w:rsidRDefault="004C578C" w:rsidP="004C578C">
            <w:pPr>
              <w:numPr>
                <w:ilvl w:val="0"/>
                <w:numId w:val="10"/>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County Surveyor (Public Works)</w:t>
            </w:r>
          </w:p>
          <w:p w14:paraId="32EEEC05" w14:textId="77777777" w:rsidR="004C578C" w:rsidRPr="004C578C" w:rsidRDefault="004C578C" w:rsidP="004C578C">
            <w:pPr>
              <w:numPr>
                <w:ilvl w:val="0"/>
                <w:numId w:val="10"/>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Agricultural Commissioner (Pesticide Use Enforcement; Plant Protection/Commodity Regulation  except for contracted services; Weights and Measures except for device regulation and Price Verification programs; Wildlife Services)</w:t>
            </w:r>
          </w:p>
          <w:p w14:paraId="12E14014" w14:textId="77777777" w:rsidR="004C578C" w:rsidRPr="004C578C" w:rsidRDefault="004C578C" w:rsidP="004C578C">
            <w:pPr>
              <w:numPr>
                <w:ilvl w:val="0"/>
                <w:numId w:val="10"/>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Environmental Management  (Green Business Program; Abandoned Vehicle Program)</w:t>
            </w:r>
          </w:p>
          <w:p w14:paraId="666404F2" w14:textId="77777777" w:rsidR="004C578C" w:rsidRPr="004C578C" w:rsidRDefault="004C578C" w:rsidP="004C578C">
            <w:pPr>
              <w:numPr>
                <w:ilvl w:val="0"/>
                <w:numId w:val="10"/>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Watershed Information Center and Conservancy (Conservation, Development &amp; Planning)</w:t>
            </w:r>
          </w:p>
          <w:p w14:paraId="261EB545" w14:textId="77777777" w:rsidR="004C578C" w:rsidRPr="004C578C" w:rsidRDefault="004C578C" w:rsidP="004C578C">
            <w:pPr>
              <w:numPr>
                <w:ilvl w:val="0"/>
                <w:numId w:val="10"/>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Conservation, Development &amp; Planning (long-range )</w:t>
            </w:r>
          </w:p>
          <w:p w14:paraId="031CED7D" w14:textId="77777777" w:rsidR="004C578C" w:rsidRPr="004C578C" w:rsidRDefault="00801581" w:rsidP="004C578C">
            <w:pPr>
              <w:numPr>
                <w:ilvl w:val="0"/>
                <w:numId w:val="18"/>
              </w:numPr>
              <w:spacing w:after="0" w:line="240" w:lineRule="auto"/>
              <w:rPr>
                <w:rFonts w:ascii="Calibri" w:eastAsia="Calibri" w:hAnsi="Calibri" w:cs="Times New Roman"/>
                <w:sz w:val="16"/>
                <w:szCs w:val="16"/>
              </w:rPr>
            </w:pPr>
            <w:r>
              <w:rPr>
                <w:rFonts w:ascii="Calibri" w:eastAsia="Calibri" w:hAnsi="Calibri" w:cs="Times New Roman"/>
                <w:sz w:val="16"/>
                <w:szCs w:val="16"/>
              </w:rPr>
              <w:t>P</w:t>
            </w:r>
            <w:r w:rsidRPr="004C578C">
              <w:rPr>
                <w:rFonts w:ascii="Calibri" w:eastAsia="Calibri" w:hAnsi="Calibri" w:cs="Times New Roman"/>
                <w:sz w:val="16"/>
                <w:szCs w:val="16"/>
              </w:rPr>
              <w:t>lanning</w:t>
            </w:r>
            <w:r w:rsidR="004C578C" w:rsidRPr="004C578C">
              <w:rPr>
                <w:rFonts w:ascii="Calibri" w:eastAsia="Calibri" w:hAnsi="Calibri" w:cs="Times New Roman"/>
                <w:sz w:val="16"/>
                <w:szCs w:val="16"/>
              </w:rPr>
              <w:t>; code enforcement</w:t>
            </w:r>
          </w:p>
          <w:p w14:paraId="07CF8A96" w14:textId="77777777" w:rsidR="004C578C" w:rsidRPr="004C578C" w:rsidRDefault="004C578C" w:rsidP="004C578C">
            <w:pPr>
              <w:numPr>
                <w:ilvl w:val="0"/>
                <w:numId w:val="18"/>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Roads Fund (Public Works)</w:t>
            </w:r>
          </w:p>
          <w:p w14:paraId="40045C7C" w14:textId="77777777" w:rsidR="001C1BF1" w:rsidRPr="004C578C" w:rsidRDefault="001C1BF1" w:rsidP="004C578C">
            <w:pPr>
              <w:spacing w:after="0" w:line="240" w:lineRule="auto"/>
              <w:ind w:left="720"/>
              <w:rPr>
                <w:rFonts w:ascii="Calibri" w:eastAsia="Calibri" w:hAnsi="Calibri" w:cs="Times New Roman"/>
                <w:sz w:val="16"/>
                <w:szCs w:val="16"/>
              </w:rPr>
            </w:pPr>
          </w:p>
          <w:p w14:paraId="025CD02A" w14:textId="77777777" w:rsidR="003E3B3A" w:rsidRDefault="003E3B3A" w:rsidP="004C578C">
            <w:pPr>
              <w:spacing w:after="0" w:line="240" w:lineRule="auto"/>
              <w:rPr>
                <w:rFonts w:ascii="Calibri" w:eastAsia="Calibri" w:hAnsi="Calibri" w:cs="Times New Roman"/>
                <w:sz w:val="16"/>
                <w:szCs w:val="16"/>
                <w:u w:val="single"/>
              </w:rPr>
            </w:pPr>
          </w:p>
          <w:p w14:paraId="3DAA9E9E"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General Government  - Civic Services</w:t>
            </w:r>
          </w:p>
          <w:p w14:paraId="5593F88E" w14:textId="77777777" w:rsidR="004C578C" w:rsidRPr="004C578C" w:rsidRDefault="004C578C" w:rsidP="004C578C">
            <w:pPr>
              <w:numPr>
                <w:ilvl w:val="0"/>
                <w:numId w:val="12"/>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Treasurer-Tax Collector</w:t>
            </w:r>
          </w:p>
          <w:p w14:paraId="28B3324F" w14:textId="77777777" w:rsidR="004C578C" w:rsidRPr="004C578C" w:rsidRDefault="004C578C" w:rsidP="004C578C">
            <w:pPr>
              <w:numPr>
                <w:ilvl w:val="0"/>
                <w:numId w:val="12"/>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Assessor (Assessor-Recorder-County Clerk)</w:t>
            </w:r>
          </w:p>
          <w:p w14:paraId="7D9DC88D" w14:textId="77777777" w:rsidR="004C578C" w:rsidRPr="004C578C" w:rsidRDefault="004C578C" w:rsidP="004C578C">
            <w:pPr>
              <w:numPr>
                <w:ilvl w:val="0"/>
                <w:numId w:val="12"/>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Elections (Assessor-Recorder)</w:t>
            </w:r>
          </w:p>
          <w:p w14:paraId="2923D0D8" w14:textId="77777777" w:rsidR="003E3B3A" w:rsidRDefault="003E3B3A" w:rsidP="004C578C">
            <w:pPr>
              <w:spacing w:after="0" w:line="240" w:lineRule="auto"/>
              <w:rPr>
                <w:rFonts w:ascii="Calibri" w:eastAsia="Calibri" w:hAnsi="Calibri" w:cs="Times New Roman"/>
                <w:sz w:val="16"/>
                <w:szCs w:val="16"/>
              </w:rPr>
            </w:pPr>
          </w:p>
          <w:p w14:paraId="5E0FBF9D"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General Government – Overhead</w:t>
            </w:r>
          </w:p>
          <w:p w14:paraId="1D36DF60" w14:textId="77777777" w:rsidR="004C578C" w:rsidRPr="004C578C" w:rsidRDefault="004C578C" w:rsidP="004C578C">
            <w:pPr>
              <w:numPr>
                <w:ilvl w:val="0"/>
                <w:numId w:val="14"/>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Board of Supervisors</w:t>
            </w:r>
          </w:p>
          <w:p w14:paraId="5D242A95" w14:textId="77777777" w:rsidR="004C578C" w:rsidRPr="004C578C" w:rsidRDefault="004C578C" w:rsidP="004C578C">
            <w:pPr>
              <w:numPr>
                <w:ilvl w:val="0"/>
                <w:numId w:val="14"/>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County Executive Officer</w:t>
            </w:r>
          </w:p>
          <w:p w14:paraId="4F82859F" w14:textId="77777777" w:rsidR="004C578C" w:rsidRPr="004C578C" w:rsidRDefault="004C578C" w:rsidP="004C578C">
            <w:pPr>
              <w:numPr>
                <w:ilvl w:val="0"/>
                <w:numId w:val="14"/>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Auditor-Controller</w:t>
            </w:r>
          </w:p>
          <w:p w14:paraId="5D4D0964" w14:textId="77777777" w:rsidR="004C578C" w:rsidRPr="004C578C" w:rsidRDefault="004C578C" w:rsidP="004C578C">
            <w:pPr>
              <w:numPr>
                <w:ilvl w:val="0"/>
                <w:numId w:val="14"/>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County Counsel (except services to outside agencies)</w:t>
            </w:r>
          </w:p>
          <w:p w14:paraId="6F6E18FE" w14:textId="77777777" w:rsidR="004C578C" w:rsidRPr="004C578C" w:rsidRDefault="004C578C" w:rsidP="004C578C">
            <w:pPr>
              <w:numPr>
                <w:ilvl w:val="0"/>
                <w:numId w:val="14"/>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Purchasing (</w:t>
            </w:r>
            <w:r w:rsidR="001C1BF1">
              <w:rPr>
                <w:rFonts w:ascii="Calibri" w:eastAsia="Calibri" w:hAnsi="Calibri" w:cs="Times New Roman"/>
                <w:sz w:val="16"/>
                <w:szCs w:val="16"/>
              </w:rPr>
              <w:t>Public Works</w:t>
            </w:r>
            <w:r w:rsidRPr="004C578C">
              <w:rPr>
                <w:rFonts w:ascii="Calibri" w:eastAsia="Calibri" w:hAnsi="Calibri" w:cs="Times New Roman"/>
                <w:sz w:val="16"/>
                <w:szCs w:val="16"/>
              </w:rPr>
              <w:t>)</w:t>
            </w:r>
          </w:p>
          <w:p w14:paraId="6DC1B60A" w14:textId="77777777" w:rsidR="004C578C" w:rsidRPr="004C578C" w:rsidRDefault="004C578C" w:rsidP="004C578C">
            <w:pPr>
              <w:numPr>
                <w:ilvl w:val="0"/>
                <w:numId w:val="14"/>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Property Management (Public Works)</w:t>
            </w:r>
          </w:p>
          <w:p w14:paraId="3B71A1E2" w14:textId="77777777" w:rsidR="004C578C" w:rsidRPr="004C578C" w:rsidRDefault="004C578C" w:rsidP="004C578C">
            <w:pPr>
              <w:spacing w:after="0" w:line="240" w:lineRule="auto"/>
              <w:rPr>
                <w:rFonts w:ascii="Calibri" w:eastAsia="Calibri" w:hAnsi="Calibri" w:cs="Times New Roman"/>
                <w:sz w:val="16"/>
                <w:szCs w:val="16"/>
              </w:rPr>
            </w:pPr>
          </w:p>
          <w:p w14:paraId="115C2582" w14:textId="77777777" w:rsidR="005137FA" w:rsidRDefault="005137FA" w:rsidP="004C578C">
            <w:pPr>
              <w:spacing w:after="0" w:line="240" w:lineRule="auto"/>
              <w:rPr>
                <w:rFonts w:ascii="Calibri" w:eastAsia="Calibri" w:hAnsi="Calibri" w:cs="Times New Roman"/>
                <w:sz w:val="16"/>
                <w:szCs w:val="16"/>
                <w:u w:val="single"/>
              </w:rPr>
            </w:pPr>
          </w:p>
          <w:p w14:paraId="1717ADDE" w14:textId="77777777" w:rsidR="004C578C" w:rsidRPr="004C578C" w:rsidRDefault="004C578C" w:rsidP="004C578C">
            <w:pPr>
              <w:spacing w:after="0" w:line="240" w:lineRule="auto"/>
              <w:rPr>
                <w:rFonts w:ascii="Calibri" w:eastAsia="Calibri" w:hAnsi="Calibri" w:cs="Times New Roman"/>
                <w:sz w:val="16"/>
                <w:szCs w:val="16"/>
                <w:u w:val="single"/>
              </w:rPr>
            </w:pPr>
            <w:r w:rsidRPr="004C578C">
              <w:rPr>
                <w:rFonts w:ascii="Calibri" w:eastAsia="Calibri" w:hAnsi="Calibri" w:cs="Times New Roman"/>
                <w:sz w:val="16"/>
                <w:szCs w:val="16"/>
                <w:u w:val="single"/>
              </w:rPr>
              <w:t>Capital Improvement Program (CIP)</w:t>
            </w:r>
          </w:p>
          <w:p w14:paraId="0275D5A0" w14:textId="77777777" w:rsidR="004C578C" w:rsidRPr="004C578C" w:rsidRDefault="004C578C" w:rsidP="004C578C">
            <w:pPr>
              <w:numPr>
                <w:ilvl w:val="0"/>
                <w:numId w:val="15"/>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General Fund building projects</w:t>
            </w:r>
          </w:p>
        </w:tc>
        <w:tc>
          <w:tcPr>
            <w:tcW w:w="4788" w:type="dxa"/>
          </w:tcPr>
          <w:p w14:paraId="7D910289"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lastRenderedPageBreak/>
              <w:t>Law Justice and Public Safety</w:t>
            </w:r>
          </w:p>
          <w:p w14:paraId="3F1B3071" w14:textId="77777777" w:rsidR="004C578C" w:rsidRPr="004C578C" w:rsidRDefault="004C578C" w:rsidP="004C578C">
            <w:pPr>
              <w:numPr>
                <w:ilvl w:val="0"/>
                <w:numId w:val="7"/>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District Attorney – Grant Programs and Consumer Fraud</w:t>
            </w:r>
          </w:p>
          <w:p w14:paraId="111E3466" w14:textId="77777777" w:rsidR="004C578C" w:rsidRPr="004C578C" w:rsidRDefault="004C578C" w:rsidP="004C578C">
            <w:pPr>
              <w:numPr>
                <w:ilvl w:val="0"/>
                <w:numId w:val="7"/>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Special Investigations Unit (Sheriff)</w:t>
            </w:r>
          </w:p>
          <w:p w14:paraId="4ECCDC42" w14:textId="77777777" w:rsidR="004C578C" w:rsidRPr="004C578C" w:rsidRDefault="004C578C" w:rsidP="004C578C">
            <w:pPr>
              <w:numPr>
                <w:ilvl w:val="0"/>
                <w:numId w:val="7"/>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Child Support Services</w:t>
            </w:r>
          </w:p>
          <w:p w14:paraId="242ABA74" w14:textId="77777777" w:rsidR="004C578C" w:rsidRPr="004C578C" w:rsidRDefault="004C578C" w:rsidP="004C578C">
            <w:pPr>
              <w:numPr>
                <w:ilvl w:val="0"/>
                <w:numId w:val="7"/>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Patrol and Investigations in cities (Sheriff)</w:t>
            </w:r>
          </w:p>
          <w:p w14:paraId="163FABE4" w14:textId="77777777" w:rsidR="004C578C" w:rsidRPr="004C578C" w:rsidRDefault="004C578C" w:rsidP="004C578C">
            <w:pPr>
              <w:numPr>
                <w:ilvl w:val="0"/>
                <w:numId w:val="7"/>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Animal Control Services in cities (Sheriff)</w:t>
            </w:r>
          </w:p>
          <w:p w14:paraId="23B202B3" w14:textId="77777777" w:rsidR="004C578C" w:rsidRPr="004C578C" w:rsidRDefault="004C578C" w:rsidP="004C578C">
            <w:pPr>
              <w:spacing w:after="0" w:line="240" w:lineRule="auto"/>
              <w:rPr>
                <w:rFonts w:ascii="Calibri" w:eastAsia="Calibri" w:hAnsi="Calibri" w:cs="Times New Roman"/>
                <w:sz w:val="16"/>
                <w:szCs w:val="16"/>
              </w:rPr>
            </w:pPr>
          </w:p>
          <w:p w14:paraId="7F1E61B1" w14:textId="77777777" w:rsidR="004C578C" w:rsidRPr="004C578C" w:rsidRDefault="004C578C" w:rsidP="004C578C">
            <w:pPr>
              <w:spacing w:after="0" w:line="240" w:lineRule="auto"/>
              <w:rPr>
                <w:rFonts w:ascii="Calibri" w:eastAsia="Calibri" w:hAnsi="Calibri" w:cs="Times New Roman"/>
                <w:sz w:val="16"/>
                <w:szCs w:val="16"/>
              </w:rPr>
            </w:pPr>
          </w:p>
          <w:p w14:paraId="4B96CD3E" w14:textId="77777777" w:rsidR="004C578C" w:rsidRPr="004C578C" w:rsidRDefault="004C578C" w:rsidP="004C578C">
            <w:pPr>
              <w:spacing w:after="0" w:line="240" w:lineRule="auto"/>
              <w:rPr>
                <w:rFonts w:ascii="Calibri" w:eastAsia="Calibri" w:hAnsi="Calibri" w:cs="Times New Roman"/>
                <w:sz w:val="16"/>
                <w:szCs w:val="16"/>
              </w:rPr>
            </w:pPr>
          </w:p>
          <w:p w14:paraId="734CACCB"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Health &amp; Human Services</w:t>
            </w:r>
          </w:p>
          <w:p w14:paraId="5F8DEFD0" w14:textId="77777777" w:rsidR="004C578C" w:rsidRPr="004C578C" w:rsidRDefault="004C578C" w:rsidP="004C578C">
            <w:pPr>
              <w:numPr>
                <w:ilvl w:val="0"/>
                <w:numId w:val="9"/>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Mental Health</w:t>
            </w:r>
          </w:p>
          <w:p w14:paraId="6335F95E" w14:textId="77777777" w:rsidR="004C578C" w:rsidRPr="004C578C" w:rsidRDefault="004C578C" w:rsidP="004C578C">
            <w:pPr>
              <w:numPr>
                <w:ilvl w:val="0"/>
                <w:numId w:val="9"/>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Substance Abuse Services</w:t>
            </w:r>
          </w:p>
          <w:p w14:paraId="28AC8030" w14:textId="77777777" w:rsidR="004C578C" w:rsidRPr="004C578C" w:rsidRDefault="004C578C" w:rsidP="004C578C">
            <w:pPr>
              <w:numPr>
                <w:ilvl w:val="0"/>
                <w:numId w:val="9"/>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Public Guardian-Administrator</w:t>
            </w:r>
          </w:p>
          <w:p w14:paraId="7CBE80A2" w14:textId="77777777" w:rsidR="004C578C" w:rsidRPr="004C578C" w:rsidRDefault="004C578C" w:rsidP="004C578C">
            <w:pPr>
              <w:numPr>
                <w:ilvl w:val="0"/>
                <w:numId w:val="9"/>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 xml:space="preserve">HHS Social Services (including </w:t>
            </w:r>
            <w:r w:rsidR="00AA5395" w:rsidRPr="004C578C">
              <w:rPr>
                <w:rFonts w:ascii="Calibri" w:eastAsia="Calibri" w:hAnsi="Calibri" w:cs="Times New Roman"/>
                <w:sz w:val="16"/>
                <w:szCs w:val="16"/>
              </w:rPr>
              <w:t>CalWORKs</w:t>
            </w:r>
            <w:r w:rsidRPr="004C578C">
              <w:rPr>
                <w:rFonts w:ascii="Calibri" w:eastAsia="Calibri" w:hAnsi="Calibri" w:cs="Times New Roman"/>
                <w:sz w:val="16"/>
                <w:szCs w:val="16"/>
              </w:rPr>
              <w:t>, Child Welfare Services, Adult Protective Services, IHSS, Workforce Investment Act, etc.)</w:t>
            </w:r>
          </w:p>
          <w:p w14:paraId="3359C6D5" w14:textId="77777777" w:rsidR="004C578C" w:rsidRPr="004C578C" w:rsidRDefault="004C578C" w:rsidP="004C578C">
            <w:pPr>
              <w:numPr>
                <w:ilvl w:val="0"/>
                <w:numId w:val="9"/>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HHS: Public Health (WIC, Maternal &amp; Child Health programs, CHDC, other state/federal programs))</w:t>
            </w:r>
          </w:p>
          <w:p w14:paraId="162D9626" w14:textId="77777777" w:rsidR="004C578C" w:rsidRDefault="004C578C" w:rsidP="004C578C">
            <w:pPr>
              <w:spacing w:after="0" w:line="240" w:lineRule="auto"/>
              <w:rPr>
                <w:rFonts w:ascii="Calibri" w:eastAsia="Calibri" w:hAnsi="Calibri" w:cs="Times New Roman"/>
                <w:sz w:val="16"/>
                <w:szCs w:val="16"/>
              </w:rPr>
            </w:pPr>
          </w:p>
          <w:p w14:paraId="6DE5EF31"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Community Resources/Infrastructure</w:t>
            </w:r>
          </w:p>
          <w:p w14:paraId="29161E44" w14:textId="77777777" w:rsidR="004C578C" w:rsidRPr="004C578C" w:rsidRDefault="004C578C" w:rsidP="004C578C">
            <w:pPr>
              <w:numPr>
                <w:ilvl w:val="0"/>
                <w:numId w:val="11"/>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Airport (Public Works)</w:t>
            </w:r>
          </w:p>
          <w:p w14:paraId="5093ED18" w14:textId="77777777" w:rsidR="004C578C" w:rsidRPr="004C578C" w:rsidRDefault="004C578C" w:rsidP="004C578C">
            <w:pPr>
              <w:numPr>
                <w:ilvl w:val="0"/>
                <w:numId w:val="11"/>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Public Works (Contract Services for other agencies)</w:t>
            </w:r>
          </w:p>
          <w:p w14:paraId="55FB9C1E" w14:textId="77777777" w:rsidR="004C578C" w:rsidRDefault="004C578C" w:rsidP="004C578C">
            <w:pPr>
              <w:numPr>
                <w:ilvl w:val="0"/>
                <w:numId w:val="11"/>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Public Works (Permitting services)</w:t>
            </w:r>
          </w:p>
          <w:p w14:paraId="30A1020B" w14:textId="77777777" w:rsidR="001F1F37" w:rsidRPr="004C578C" w:rsidRDefault="001F1F37" w:rsidP="004C578C">
            <w:pPr>
              <w:numPr>
                <w:ilvl w:val="0"/>
                <w:numId w:val="11"/>
              </w:numPr>
              <w:spacing w:after="0" w:line="240" w:lineRule="auto"/>
              <w:rPr>
                <w:rFonts w:ascii="Calibri" w:eastAsia="Calibri" w:hAnsi="Calibri" w:cs="Times New Roman"/>
                <w:sz w:val="16"/>
                <w:szCs w:val="16"/>
              </w:rPr>
            </w:pPr>
            <w:r>
              <w:rPr>
                <w:rFonts w:ascii="Calibri" w:eastAsia="Calibri" w:hAnsi="Calibri" w:cs="Times New Roman"/>
                <w:sz w:val="16"/>
                <w:szCs w:val="16"/>
              </w:rPr>
              <w:t>Public Works (Animal Shelter)</w:t>
            </w:r>
          </w:p>
          <w:p w14:paraId="2BD81CFD" w14:textId="77777777" w:rsidR="004C578C" w:rsidRPr="001F1F37" w:rsidRDefault="00AC6396" w:rsidP="001F1F37">
            <w:pPr>
              <w:numPr>
                <w:ilvl w:val="0"/>
                <w:numId w:val="11"/>
              </w:numPr>
              <w:spacing w:after="0" w:line="240" w:lineRule="auto"/>
              <w:rPr>
                <w:rFonts w:ascii="Calibri" w:eastAsia="Calibri" w:hAnsi="Calibri" w:cs="Times New Roman"/>
                <w:sz w:val="16"/>
                <w:szCs w:val="16"/>
              </w:rPr>
            </w:pPr>
            <w:r>
              <w:rPr>
                <w:rFonts w:ascii="Calibri" w:eastAsia="Calibri" w:hAnsi="Calibri" w:cs="Times New Roman"/>
                <w:sz w:val="16"/>
                <w:szCs w:val="16"/>
              </w:rPr>
              <w:t>Planning, Building &amp; Environ. Services</w:t>
            </w:r>
            <w:r w:rsidR="004C578C" w:rsidRPr="004C578C">
              <w:rPr>
                <w:rFonts w:ascii="Calibri" w:eastAsia="Calibri" w:hAnsi="Calibri" w:cs="Times New Roman"/>
                <w:sz w:val="16"/>
                <w:szCs w:val="16"/>
              </w:rPr>
              <w:t xml:space="preserve"> (development review; Building Inspection</w:t>
            </w:r>
            <w:r>
              <w:rPr>
                <w:rFonts w:ascii="Calibri" w:eastAsia="Calibri" w:hAnsi="Calibri" w:cs="Times New Roman"/>
                <w:sz w:val="16"/>
                <w:szCs w:val="16"/>
              </w:rPr>
              <w:t>; Environ. Health; Local Enforcement Agency</w:t>
            </w:r>
            <w:r w:rsidR="004C578C" w:rsidRPr="004C578C">
              <w:rPr>
                <w:rFonts w:ascii="Calibri" w:eastAsia="Calibri" w:hAnsi="Calibri" w:cs="Times New Roman"/>
                <w:sz w:val="16"/>
                <w:szCs w:val="16"/>
              </w:rPr>
              <w:t>)</w:t>
            </w:r>
          </w:p>
          <w:p w14:paraId="1CDCEA35" w14:textId="77777777" w:rsidR="004C578C" w:rsidRPr="004C578C" w:rsidRDefault="004C578C" w:rsidP="004C578C">
            <w:pPr>
              <w:numPr>
                <w:ilvl w:val="0"/>
                <w:numId w:val="11"/>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Agricultural Commissioner/Sealer (Glassy Winged Sharpshooter and Vine Mealybug programs; contract plant protection and commodity regulation programs; Wine Grape Inspection program; Device Regulation and Price Verification Programs)</w:t>
            </w:r>
          </w:p>
          <w:p w14:paraId="6211B3FD" w14:textId="77777777" w:rsidR="004C578C" w:rsidRDefault="004C578C" w:rsidP="004C578C">
            <w:pPr>
              <w:numPr>
                <w:ilvl w:val="0"/>
                <w:numId w:val="11"/>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Library</w:t>
            </w:r>
          </w:p>
          <w:p w14:paraId="5C32EEB7" w14:textId="77777777" w:rsidR="00801581" w:rsidRPr="004C578C" w:rsidRDefault="00801581" w:rsidP="004C578C">
            <w:pPr>
              <w:numPr>
                <w:ilvl w:val="0"/>
                <w:numId w:val="11"/>
              </w:numPr>
              <w:spacing w:after="0" w:line="240" w:lineRule="auto"/>
              <w:rPr>
                <w:rFonts w:ascii="Calibri" w:eastAsia="Calibri" w:hAnsi="Calibri" w:cs="Times New Roman"/>
                <w:sz w:val="16"/>
                <w:szCs w:val="16"/>
              </w:rPr>
            </w:pPr>
            <w:r>
              <w:rPr>
                <w:rFonts w:ascii="Calibri" w:eastAsia="Calibri" w:hAnsi="Calibri" w:cs="Times New Roman"/>
                <w:sz w:val="16"/>
                <w:szCs w:val="16"/>
              </w:rPr>
              <w:t>Water Programs and climate change activities</w:t>
            </w:r>
          </w:p>
          <w:p w14:paraId="28FCBB59" w14:textId="77777777" w:rsidR="004C578C" w:rsidRPr="004C578C" w:rsidRDefault="004C578C" w:rsidP="004C578C">
            <w:pPr>
              <w:spacing w:after="0" w:line="240" w:lineRule="auto"/>
              <w:rPr>
                <w:rFonts w:ascii="Calibri" w:eastAsia="Calibri" w:hAnsi="Calibri" w:cs="Times New Roman"/>
                <w:sz w:val="16"/>
                <w:szCs w:val="16"/>
              </w:rPr>
            </w:pPr>
          </w:p>
          <w:p w14:paraId="02AC0925"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General Government – Civic Services</w:t>
            </w:r>
          </w:p>
          <w:p w14:paraId="1CE792AE" w14:textId="77777777" w:rsidR="004C578C" w:rsidRPr="004C578C" w:rsidRDefault="004C578C" w:rsidP="004C578C">
            <w:pPr>
              <w:numPr>
                <w:ilvl w:val="0"/>
                <w:numId w:val="13"/>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Recorder-County Clerk (Assessor-Recorder-County Clerk)</w:t>
            </w:r>
          </w:p>
          <w:p w14:paraId="7AF2E691" w14:textId="77777777" w:rsidR="004C578C" w:rsidRPr="004C578C" w:rsidRDefault="004C578C" w:rsidP="004C578C">
            <w:pPr>
              <w:spacing w:after="0" w:line="240" w:lineRule="auto"/>
              <w:rPr>
                <w:rFonts w:ascii="Calibri" w:eastAsia="Calibri" w:hAnsi="Calibri" w:cs="Times New Roman"/>
                <w:sz w:val="16"/>
                <w:szCs w:val="16"/>
              </w:rPr>
            </w:pPr>
          </w:p>
          <w:p w14:paraId="538432D9" w14:textId="77777777" w:rsidR="003E3B3A" w:rsidRDefault="003E3B3A" w:rsidP="004C578C">
            <w:pPr>
              <w:spacing w:after="0" w:line="240" w:lineRule="auto"/>
              <w:rPr>
                <w:rFonts w:ascii="Calibri" w:eastAsia="Calibri" w:hAnsi="Calibri" w:cs="Times New Roman"/>
                <w:sz w:val="16"/>
                <w:szCs w:val="16"/>
                <w:u w:val="single"/>
              </w:rPr>
            </w:pPr>
          </w:p>
          <w:p w14:paraId="119F9783" w14:textId="77777777" w:rsidR="0092217B" w:rsidRDefault="0092217B" w:rsidP="004C578C">
            <w:pPr>
              <w:spacing w:after="0" w:line="240" w:lineRule="auto"/>
              <w:rPr>
                <w:rFonts w:ascii="Calibri" w:eastAsia="Calibri" w:hAnsi="Calibri" w:cs="Times New Roman"/>
                <w:sz w:val="16"/>
                <w:szCs w:val="16"/>
                <w:u w:val="single"/>
              </w:rPr>
            </w:pPr>
          </w:p>
          <w:p w14:paraId="3284268D"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General Government – Overhead</w:t>
            </w:r>
          </w:p>
          <w:p w14:paraId="12C7BE46" w14:textId="77777777" w:rsidR="004C578C" w:rsidRPr="004C578C" w:rsidRDefault="00E003D4" w:rsidP="004C578C">
            <w:pPr>
              <w:numPr>
                <w:ilvl w:val="0"/>
                <w:numId w:val="13"/>
              </w:numPr>
              <w:spacing w:after="0" w:line="240" w:lineRule="auto"/>
              <w:rPr>
                <w:rFonts w:ascii="Calibri" w:eastAsia="Calibri" w:hAnsi="Calibri" w:cs="Times New Roman"/>
                <w:sz w:val="16"/>
                <w:szCs w:val="16"/>
              </w:rPr>
            </w:pPr>
            <w:r>
              <w:rPr>
                <w:rFonts w:ascii="Calibri" w:eastAsia="Calibri" w:hAnsi="Calibri" w:cs="Times New Roman"/>
                <w:sz w:val="16"/>
                <w:szCs w:val="16"/>
              </w:rPr>
              <w:t>Fleet Management</w:t>
            </w:r>
            <w:r w:rsidR="004C578C" w:rsidRPr="004C578C">
              <w:rPr>
                <w:rFonts w:ascii="Calibri" w:eastAsia="Calibri" w:hAnsi="Calibri" w:cs="Times New Roman"/>
                <w:sz w:val="16"/>
                <w:szCs w:val="16"/>
              </w:rPr>
              <w:t xml:space="preserve"> (Public Works)</w:t>
            </w:r>
          </w:p>
          <w:p w14:paraId="13DB4F1C" w14:textId="77777777" w:rsidR="004C578C" w:rsidRPr="004C578C" w:rsidRDefault="004C578C" w:rsidP="004C578C">
            <w:pPr>
              <w:numPr>
                <w:ilvl w:val="0"/>
                <w:numId w:val="13"/>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Information Technology Services (CEO)</w:t>
            </w:r>
          </w:p>
          <w:p w14:paraId="5F76AA2E" w14:textId="77777777" w:rsidR="004C578C" w:rsidRPr="004C578C" w:rsidRDefault="004C578C" w:rsidP="004C578C">
            <w:pPr>
              <w:numPr>
                <w:ilvl w:val="0"/>
                <w:numId w:val="13"/>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Affordable Housing (CEO)</w:t>
            </w:r>
          </w:p>
          <w:p w14:paraId="666B8BB6" w14:textId="77777777" w:rsidR="004C578C" w:rsidRPr="004C578C" w:rsidRDefault="004C578C" w:rsidP="004C578C">
            <w:pPr>
              <w:numPr>
                <w:ilvl w:val="0"/>
                <w:numId w:val="13"/>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Risk Management (CEO)</w:t>
            </w:r>
          </w:p>
          <w:p w14:paraId="46DBBFA0" w14:textId="77777777" w:rsidR="004C578C" w:rsidRPr="004C578C" w:rsidRDefault="004C578C" w:rsidP="004C578C">
            <w:pPr>
              <w:spacing w:after="0" w:line="240" w:lineRule="auto"/>
              <w:rPr>
                <w:rFonts w:ascii="Calibri" w:eastAsia="Calibri" w:hAnsi="Calibri" w:cs="Times New Roman"/>
                <w:sz w:val="16"/>
                <w:szCs w:val="16"/>
              </w:rPr>
            </w:pPr>
          </w:p>
          <w:p w14:paraId="77533649" w14:textId="77777777" w:rsidR="005137FA" w:rsidRDefault="005137FA" w:rsidP="004C578C">
            <w:pPr>
              <w:spacing w:after="0" w:line="240" w:lineRule="auto"/>
              <w:rPr>
                <w:rFonts w:ascii="Calibri" w:eastAsia="Calibri" w:hAnsi="Calibri" w:cs="Times New Roman"/>
                <w:sz w:val="16"/>
                <w:szCs w:val="16"/>
                <w:u w:val="single"/>
              </w:rPr>
            </w:pPr>
          </w:p>
          <w:p w14:paraId="4E569491" w14:textId="77777777" w:rsidR="00AC6396" w:rsidRDefault="00AC6396" w:rsidP="004C578C">
            <w:pPr>
              <w:spacing w:after="0" w:line="240" w:lineRule="auto"/>
              <w:rPr>
                <w:rFonts w:ascii="Calibri" w:eastAsia="Calibri" w:hAnsi="Calibri" w:cs="Times New Roman"/>
                <w:sz w:val="16"/>
                <w:szCs w:val="16"/>
                <w:u w:val="single"/>
              </w:rPr>
            </w:pPr>
          </w:p>
          <w:p w14:paraId="6A8E56DD" w14:textId="77777777" w:rsidR="00AC6396" w:rsidRDefault="00AC6396" w:rsidP="004C578C">
            <w:pPr>
              <w:spacing w:after="0" w:line="240" w:lineRule="auto"/>
              <w:rPr>
                <w:rFonts w:ascii="Calibri" w:eastAsia="Calibri" w:hAnsi="Calibri" w:cs="Times New Roman"/>
                <w:sz w:val="16"/>
                <w:szCs w:val="16"/>
                <w:u w:val="single"/>
              </w:rPr>
            </w:pPr>
          </w:p>
          <w:p w14:paraId="71A75478" w14:textId="77777777" w:rsidR="004C578C" w:rsidRPr="004C578C" w:rsidRDefault="004C578C" w:rsidP="004C578C">
            <w:pPr>
              <w:spacing w:after="0" w:line="240" w:lineRule="auto"/>
              <w:rPr>
                <w:rFonts w:ascii="Calibri" w:eastAsia="Calibri" w:hAnsi="Calibri" w:cs="Times New Roman"/>
                <w:sz w:val="16"/>
                <w:szCs w:val="16"/>
                <w:u w:val="single"/>
              </w:rPr>
            </w:pPr>
            <w:r w:rsidRPr="004C578C">
              <w:rPr>
                <w:rFonts w:ascii="Calibri" w:eastAsia="Calibri" w:hAnsi="Calibri" w:cs="Times New Roman"/>
                <w:sz w:val="16"/>
                <w:szCs w:val="16"/>
                <w:u w:val="single"/>
              </w:rPr>
              <w:t>Capital Improvement Program (CIP)</w:t>
            </w:r>
          </w:p>
          <w:p w14:paraId="3B6066EC" w14:textId="77777777" w:rsidR="004C578C" w:rsidRPr="004C578C" w:rsidRDefault="004C578C" w:rsidP="004C578C">
            <w:pPr>
              <w:numPr>
                <w:ilvl w:val="0"/>
                <w:numId w:val="16"/>
              </w:numPr>
              <w:spacing w:after="0" w:line="240" w:lineRule="auto"/>
              <w:rPr>
                <w:rFonts w:ascii="Calibri" w:eastAsia="Calibri" w:hAnsi="Calibri" w:cs="Times New Roman"/>
                <w:sz w:val="16"/>
                <w:szCs w:val="16"/>
                <w:u w:val="single"/>
              </w:rPr>
            </w:pPr>
            <w:r w:rsidRPr="004C578C">
              <w:rPr>
                <w:rFonts w:ascii="Calibri" w:eastAsia="Calibri" w:hAnsi="Calibri" w:cs="Times New Roman"/>
                <w:sz w:val="16"/>
                <w:szCs w:val="16"/>
              </w:rPr>
              <w:t>Non-General Fund building  projects</w:t>
            </w:r>
          </w:p>
          <w:p w14:paraId="7C5931CA" w14:textId="77777777" w:rsidR="004C578C" w:rsidRPr="004C578C" w:rsidRDefault="004C578C" w:rsidP="004C578C">
            <w:pPr>
              <w:spacing w:after="0" w:line="240" w:lineRule="auto"/>
              <w:rPr>
                <w:rFonts w:ascii="Calibri" w:eastAsia="Calibri" w:hAnsi="Calibri" w:cs="Times New Roman"/>
                <w:sz w:val="16"/>
                <w:szCs w:val="16"/>
              </w:rPr>
            </w:pPr>
          </w:p>
          <w:p w14:paraId="04D80C38" w14:textId="77777777" w:rsidR="004C578C" w:rsidRPr="004C578C" w:rsidRDefault="004C578C" w:rsidP="004C578C">
            <w:pPr>
              <w:spacing w:after="0" w:line="240" w:lineRule="auto"/>
              <w:rPr>
                <w:rFonts w:ascii="Calibri" w:eastAsia="Calibri" w:hAnsi="Calibri" w:cs="Times New Roman"/>
                <w:sz w:val="16"/>
                <w:szCs w:val="16"/>
              </w:rPr>
            </w:pPr>
            <w:r w:rsidRPr="004C578C">
              <w:rPr>
                <w:rFonts w:ascii="Calibri" w:eastAsia="Calibri" w:hAnsi="Calibri" w:cs="Times New Roman"/>
                <w:sz w:val="16"/>
                <w:szCs w:val="16"/>
                <w:u w:val="single"/>
              </w:rPr>
              <w:t>County Service Districts and Other Districts Governed by the Board of Supervisors</w:t>
            </w:r>
          </w:p>
          <w:p w14:paraId="6F59814E" w14:textId="77777777" w:rsidR="004C578C" w:rsidRPr="004C578C" w:rsidRDefault="004C578C" w:rsidP="004C578C">
            <w:pPr>
              <w:spacing w:after="0" w:line="240" w:lineRule="auto"/>
              <w:rPr>
                <w:rFonts w:ascii="Calibri" w:eastAsia="Calibri" w:hAnsi="Calibri" w:cs="Times New Roman"/>
                <w:sz w:val="16"/>
                <w:szCs w:val="16"/>
              </w:rPr>
            </w:pPr>
          </w:p>
          <w:p w14:paraId="57C279AE"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Lake Berryessa Resort Improvement District</w:t>
            </w:r>
          </w:p>
          <w:p w14:paraId="5AC2FB39"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Napa Berryessa Resort Improvement District</w:t>
            </w:r>
          </w:p>
          <w:p w14:paraId="052CB2F2" w14:textId="77777777" w:rsidR="00AA7558" w:rsidRDefault="00AA7558" w:rsidP="004C578C">
            <w:pPr>
              <w:numPr>
                <w:ilvl w:val="0"/>
                <w:numId w:val="16"/>
              </w:num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Napa County Flood </w:t>
            </w:r>
            <w:r w:rsidR="001C1BF1">
              <w:rPr>
                <w:rFonts w:ascii="Calibri" w:eastAsia="Calibri" w:hAnsi="Calibri" w:cs="Times New Roman"/>
                <w:sz w:val="16"/>
                <w:szCs w:val="16"/>
              </w:rPr>
              <w:t>Protection and Watershed Improvement Authority</w:t>
            </w:r>
          </w:p>
          <w:p w14:paraId="1ED99D59"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County Service Area #3</w:t>
            </w:r>
          </w:p>
          <w:p w14:paraId="1D7611FC"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County Service Area #4</w:t>
            </w:r>
          </w:p>
          <w:p w14:paraId="559CC24B"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Silverado Community Services District</w:t>
            </w:r>
          </w:p>
          <w:p w14:paraId="79D6979A"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Monticello Cemetery District</w:t>
            </w:r>
          </w:p>
          <w:p w14:paraId="3882DF6A"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IHSS Public Authority</w:t>
            </w:r>
          </w:p>
          <w:p w14:paraId="0FC1B1B7" w14:textId="77777777" w:rsidR="004C578C" w:rsidRP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Napa County Housing Authority</w:t>
            </w:r>
          </w:p>
          <w:p w14:paraId="14CB628B" w14:textId="77777777" w:rsidR="004C578C" w:rsidRDefault="004C578C" w:rsidP="004C578C">
            <w:pPr>
              <w:numPr>
                <w:ilvl w:val="0"/>
                <w:numId w:val="16"/>
              </w:numPr>
              <w:spacing w:after="0" w:line="240" w:lineRule="auto"/>
              <w:rPr>
                <w:rFonts w:ascii="Calibri" w:eastAsia="Calibri" w:hAnsi="Calibri" w:cs="Times New Roman"/>
                <w:sz w:val="16"/>
                <w:szCs w:val="16"/>
              </w:rPr>
            </w:pPr>
            <w:r w:rsidRPr="004C578C">
              <w:rPr>
                <w:rFonts w:ascii="Calibri" w:eastAsia="Calibri" w:hAnsi="Calibri" w:cs="Times New Roman"/>
                <w:sz w:val="16"/>
                <w:szCs w:val="16"/>
              </w:rPr>
              <w:t>Napa Valley Tourism Improvement District</w:t>
            </w:r>
          </w:p>
          <w:p w14:paraId="599036A7" w14:textId="77777777" w:rsidR="00801581" w:rsidRDefault="00AA7558" w:rsidP="004C578C">
            <w:pPr>
              <w:numPr>
                <w:ilvl w:val="0"/>
                <w:numId w:val="16"/>
              </w:numPr>
              <w:spacing w:after="0" w:line="240" w:lineRule="auto"/>
              <w:rPr>
                <w:rFonts w:ascii="Calibri" w:eastAsia="Calibri" w:hAnsi="Calibri" w:cs="Times New Roman"/>
                <w:sz w:val="16"/>
                <w:szCs w:val="16"/>
              </w:rPr>
            </w:pPr>
            <w:r>
              <w:rPr>
                <w:rFonts w:ascii="Calibri" w:eastAsia="Calibri" w:hAnsi="Calibri" w:cs="Times New Roman"/>
                <w:sz w:val="16"/>
                <w:szCs w:val="16"/>
              </w:rPr>
              <w:t>Milliken-Sarco-Tulocay Recycled Water Project</w:t>
            </w:r>
          </w:p>
          <w:p w14:paraId="0C8D7B70" w14:textId="77777777" w:rsidR="00801581" w:rsidRPr="004C578C" w:rsidRDefault="00801581" w:rsidP="004C578C">
            <w:pPr>
              <w:numPr>
                <w:ilvl w:val="0"/>
                <w:numId w:val="16"/>
              </w:numPr>
              <w:spacing w:after="0" w:line="240" w:lineRule="auto"/>
              <w:rPr>
                <w:rFonts w:ascii="Calibri" w:eastAsia="Calibri" w:hAnsi="Calibri" w:cs="Times New Roman"/>
                <w:sz w:val="16"/>
                <w:szCs w:val="16"/>
              </w:rPr>
            </w:pPr>
            <w:r>
              <w:rPr>
                <w:rFonts w:ascii="Calibri" w:eastAsia="Calibri" w:hAnsi="Calibri" w:cs="Times New Roman"/>
                <w:sz w:val="16"/>
                <w:szCs w:val="16"/>
              </w:rPr>
              <w:t>Devlin Road</w:t>
            </w:r>
            <w:r w:rsidR="00AA7558">
              <w:rPr>
                <w:rFonts w:ascii="Calibri" w:eastAsia="Calibri" w:hAnsi="Calibri" w:cs="Times New Roman"/>
                <w:sz w:val="16"/>
                <w:szCs w:val="16"/>
              </w:rPr>
              <w:t xml:space="preserve"> Construction</w:t>
            </w:r>
          </w:p>
          <w:p w14:paraId="2AC53834" w14:textId="77777777" w:rsidR="004C578C" w:rsidRPr="004C578C" w:rsidRDefault="004C578C" w:rsidP="004C578C">
            <w:pPr>
              <w:spacing w:after="0" w:line="240" w:lineRule="auto"/>
              <w:rPr>
                <w:rFonts w:ascii="Calibri" w:eastAsia="Calibri" w:hAnsi="Calibri" w:cs="Times New Roman"/>
                <w:sz w:val="16"/>
                <w:szCs w:val="16"/>
              </w:rPr>
            </w:pPr>
          </w:p>
        </w:tc>
      </w:tr>
    </w:tbl>
    <w:p w14:paraId="75B36BD3" w14:textId="77777777" w:rsidR="004C578C" w:rsidRPr="004C578C" w:rsidRDefault="004C578C" w:rsidP="004C578C">
      <w:pPr>
        <w:spacing w:after="0" w:line="240" w:lineRule="auto"/>
        <w:rPr>
          <w:rFonts w:ascii="Calibri" w:eastAsia="Calibri" w:hAnsi="Calibri" w:cs="Times New Roman"/>
        </w:rPr>
      </w:pPr>
    </w:p>
    <w:p w14:paraId="7F3C66C6" w14:textId="77777777" w:rsidR="004C578C" w:rsidRPr="004C578C" w:rsidRDefault="004C578C" w:rsidP="003E3B3A">
      <w:pPr>
        <w:rPr>
          <w:rFonts w:ascii="Calibri" w:eastAsia="Calibri" w:hAnsi="Calibri" w:cs="Times New Roman"/>
        </w:rPr>
      </w:pPr>
      <w:r w:rsidRPr="004C578C">
        <w:rPr>
          <w:rFonts w:ascii="Calibri" w:eastAsia="Calibri" w:hAnsi="Calibri" w:cs="Times New Roman"/>
        </w:rPr>
        <w:t xml:space="preserve">The Strategy identifies those General Fund-supported services (category A) that will </w:t>
      </w:r>
      <w:r w:rsidR="00E13072">
        <w:rPr>
          <w:rFonts w:ascii="Calibri" w:eastAsia="Calibri" w:hAnsi="Calibri" w:cs="Times New Roman"/>
        </w:rPr>
        <w:t xml:space="preserve">be considered to </w:t>
      </w:r>
      <w:r w:rsidRPr="004C578C">
        <w:rPr>
          <w:rFonts w:ascii="Calibri" w:eastAsia="Calibri" w:hAnsi="Calibri" w:cs="Times New Roman"/>
        </w:rPr>
        <w:t xml:space="preserve">receive additional General Fund (discretionary) support </w:t>
      </w:r>
      <w:r w:rsidR="00E13072">
        <w:rPr>
          <w:rFonts w:ascii="Calibri" w:eastAsia="Calibri" w:hAnsi="Calibri" w:cs="Times New Roman"/>
        </w:rPr>
        <w:t>in future years, and this list should be used in conjunction with the unmet needs identified earlier in this document</w:t>
      </w:r>
      <w:r w:rsidRPr="004C578C">
        <w:rPr>
          <w:rFonts w:ascii="Calibri" w:eastAsia="Calibri" w:hAnsi="Calibri" w:cs="Times New Roman"/>
        </w:rPr>
        <w:t>:</w:t>
      </w:r>
    </w:p>
    <w:p w14:paraId="4B3FB423" w14:textId="77777777" w:rsidR="004C578C" w:rsidRPr="004C578C" w:rsidRDefault="004C578C" w:rsidP="003E3B3A">
      <w:pPr>
        <w:rPr>
          <w:rFonts w:ascii="Calibri" w:eastAsia="Calibri" w:hAnsi="Calibri" w:cs="Times New Roman"/>
        </w:rPr>
      </w:pPr>
      <w:r w:rsidRPr="004C578C">
        <w:rPr>
          <w:rFonts w:ascii="Calibri" w:eastAsia="Calibri" w:hAnsi="Calibri" w:cs="Times New Roman"/>
        </w:rPr>
        <w:t xml:space="preserve">The Strategy then makes a distinction between those General Fund-supported services (category A) that, to the extent additional resources are available, are slated for growth in General Fund (discretionary) support.  </w:t>
      </w:r>
      <w:r w:rsidR="00CA2BA3">
        <w:rPr>
          <w:rFonts w:ascii="Calibri" w:eastAsia="Calibri" w:hAnsi="Calibri" w:cs="Times New Roman"/>
        </w:rPr>
        <w:t>P</w:t>
      </w:r>
      <w:r w:rsidRPr="004C578C">
        <w:rPr>
          <w:rFonts w:ascii="Calibri" w:eastAsia="Calibri" w:hAnsi="Calibri" w:cs="Times New Roman"/>
        </w:rPr>
        <w:t>riority will be given to:</w:t>
      </w:r>
    </w:p>
    <w:p w14:paraId="65EE8671" w14:textId="77777777" w:rsidR="004C578C" w:rsidRPr="004C578C" w:rsidRDefault="004C578C" w:rsidP="003E3B3A">
      <w:pPr>
        <w:numPr>
          <w:ilvl w:val="0"/>
          <w:numId w:val="17"/>
        </w:numPr>
        <w:rPr>
          <w:rFonts w:ascii="Calibri" w:eastAsia="Calibri" w:hAnsi="Calibri" w:cs="Times New Roman"/>
        </w:rPr>
      </w:pPr>
      <w:r w:rsidRPr="004C578C">
        <w:rPr>
          <w:rFonts w:ascii="Calibri" w:eastAsia="Calibri" w:hAnsi="Calibri" w:cs="Times New Roman"/>
        </w:rPr>
        <w:t>Funding Law</w:t>
      </w:r>
      <w:r w:rsidR="00E003D4">
        <w:rPr>
          <w:rFonts w:ascii="Calibri" w:eastAsia="Calibri" w:hAnsi="Calibri" w:cs="Times New Roman"/>
        </w:rPr>
        <w:t>,</w:t>
      </w:r>
      <w:r w:rsidRPr="004C578C">
        <w:rPr>
          <w:rFonts w:ascii="Calibri" w:eastAsia="Calibri" w:hAnsi="Calibri" w:cs="Times New Roman"/>
        </w:rPr>
        <w:t xml:space="preserve"> Justice and Public Safety programs and corrections-related </w:t>
      </w:r>
      <w:r w:rsidR="00801581">
        <w:rPr>
          <w:rFonts w:ascii="Calibri" w:eastAsia="Calibri" w:hAnsi="Calibri" w:cs="Times New Roman"/>
        </w:rPr>
        <w:t>HHSA</w:t>
      </w:r>
      <w:r w:rsidRPr="004C578C">
        <w:rPr>
          <w:rFonts w:ascii="Calibri" w:eastAsia="Calibri" w:hAnsi="Calibri" w:cs="Times New Roman"/>
        </w:rPr>
        <w:t xml:space="preserve"> programs, focusing </w:t>
      </w:r>
      <w:r w:rsidR="003557D5">
        <w:rPr>
          <w:rFonts w:ascii="Calibri" w:eastAsia="Calibri" w:hAnsi="Calibri" w:cs="Times New Roman"/>
        </w:rPr>
        <w:t>particularly f</w:t>
      </w:r>
      <w:r w:rsidRPr="004C578C">
        <w:rPr>
          <w:rFonts w:ascii="Calibri" w:eastAsia="Calibri" w:hAnsi="Calibri" w:cs="Times New Roman"/>
        </w:rPr>
        <w:t xml:space="preserve">unding, above and beyond the Realignment revenue provided by the </w:t>
      </w:r>
      <w:r w:rsidR="00FC019C">
        <w:rPr>
          <w:rFonts w:ascii="Calibri" w:eastAsia="Calibri" w:hAnsi="Calibri" w:cs="Times New Roman"/>
        </w:rPr>
        <w:t>state</w:t>
      </w:r>
      <w:r w:rsidRPr="004C578C">
        <w:rPr>
          <w:rFonts w:ascii="Calibri" w:eastAsia="Calibri" w:hAnsi="Calibri" w:cs="Times New Roman"/>
        </w:rPr>
        <w:t xml:space="preserve">, that may be needed to </w:t>
      </w:r>
      <w:r w:rsidR="005137FA">
        <w:rPr>
          <w:rFonts w:ascii="Calibri" w:eastAsia="Calibri" w:hAnsi="Calibri" w:cs="Times New Roman"/>
        </w:rPr>
        <w:t>continue</w:t>
      </w:r>
      <w:r w:rsidRPr="004C578C">
        <w:rPr>
          <w:rFonts w:ascii="Calibri" w:eastAsia="Calibri" w:hAnsi="Calibri" w:cs="Times New Roman"/>
        </w:rPr>
        <w:t xml:space="preserve"> the 2011 Public Safety Realignment approved by the </w:t>
      </w:r>
      <w:r w:rsidR="00CE38AC">
        <w:rPr>
          <w:rFonts w:ascii="Calibri" w:eastAsia="Calibri" w:hAnsi="Calibri" w:cs="Times New Roman"/>
        </w:rPr>
        <w:t>S</w:t>
      </w:r>
      <w:r w:rsidRPr="004C578C">
        <w:rPr>
          <w:rFonts w:ascii="Calibri" w:eastAsia="Calibri" w:hAnsi="Calibri" w:cs="Times New Roman"/>
        </w:rPr>
        <w:t>tate Legislature in 2011.  This funding will focus on research-tested, evidence-based, practices to control and sanction offenders and reduce recidivism in the most cost-effective way possible</w:t>
      </w:r>
      <w:r w:rsidR="003557D5">
        <w:rPr>
          <w:rFonts w:ascii="Calibri" w:eastAsia="Calibri" w:hAnsi="Calibri" w:cs="Times New Roman"/>
        </w:rPr>
        <w:t>.</w:t>
      </w:r>
    </w:p>
    <w:p w14:paraId="0AA89431" w14:textId="6CAF084F" w:rsidR="003557D5" w:rsidRDefault="004C578C" w:rsidP="003557D5">
      <w:pPr>
        <w:numPr>
          <w:ilvl w:val="0"/>
          <w:numId w:val="17"/>
        </w:numPr>
        <w:rPr>
          <w:rFonts w:ascii="Calibri" w:eastAsia="Calibri" w:hAnsi="Calibri" w:cs="Times New Roman"/>
        </w:rPr>
      </w:pPr>
      <w:r w:rsidRPr="004C578C">
        <w:rPr>
          <w:rFonts w:ascii="Calibri" w:eastAsia="Calibri" w:hAnsi="Calibri" w:cs="Times New Roman"/>
        </w:rPr>
        <w:t xml:space="preserve">Funding Capital Improvement Program and/or General Government – </w:t>
      </w:r>
      <w:r w:rsidR="003557D5">
        <w:rPr>
          <w:rFonts w:ascii="Calibri" w:eastAsia="Calibri" w:hAnsi="Calibri" w:cs="Times New Roman"/>
        </w:rPr>
        <w:t>Construction of a new jail, accessibility improvements associated with the ADA transition plan, and deferred maintenance on county facilities.</w:t>
      </w:r>
    </w:p>
    <w:p w14:paraId="11DEA37B" w14:textId="0EF0399F" w:rsidR="009E08DB" w:rsidRDefault="009E08DB" w:rsidP="003557D5">
      <w:pPr>
        <w:numPr>
          <w:ilvl w:val="0"/>
          <w:numId w:val="17"/>
        </w:numPr>
        <w:rPr>
          <w:rFonts w:ascii="Calibri" w:eastAsia="Calibri" w:hAnsi="Calibri" w:cs="Times New Roman"/>
        </w:rPr>
      </w:pPr>
      <w:r>
        <w:rPr>
          <w:rFonts w:ascii="Calibri" w:eastAsia="Calibri" w:hAnsi="Calibri" w:cs="Times New Roman"/>
        </w:rPr>
        <w:t>Emergency preparedness and response.</w:t>
      </w:r>
    </w:p>
    <w:p w14:paraId="0049C7F0" w14:textId="77777777" w:rsidR="003557D5" w:rsidRDefault="003557D5">
      <w:pPr>
        <w:rPr>
          <w:rFonts w:ascii="Calibri" w:eastAsia="Calibri" w:hAnsi="Calibri" w:cs="Times New Roman"/>
        </w:rPr>
      </w:pPr>
      <w:r>
        <w:rPr>
          <w:rFonts w:ascii="Calibri" w:eastAsia="Calibri" w:hAnsi="Calibri" w:cs="Times New Roman"/>
        </w:rPr>
        <w:br w:type="page"/>
      </w:r>
    </w:p>
    <w:p w14:paraId="2987F524" w14:textId="77777777" w:rsidR="00FC088E" w:rsidRPr="005137FA" w:rsidRDefault="00FC088E" w:rsidP="00FC088E">
      <w:pPr>
        <w:pStyle w:val="ListParagraph"/>
        <w:numPr>
          <w:ilvl w:val="0"/>
          <w:numId w:val="20"/>
        </w:numPr>
        <w:pBdr>
          <w:bottom w:val="thinThickSmallGap" w:sz="24" w:space="1" w:color="5F497A" w:themeColor="accent4" w:themeShade="BF"/>
        </w:pBdr>
        <w:spacing w:after="0" w:line="240" w:lineRule="auto"/>
        <w:rPr>
          <w:sz w:val="28"/>
          <w:szCs w:val="28"/>
        </w:rPr>
      </w:pPr>
      <w:r>
        <w:rPr>
          <w:sz w:val="28"/>
          <w:szCs w:val="28"/>
        </w:rPr>
        <w:lastRenderedPageBreak/>
        <w:t>Fiscal Contingency Strategy</w:t>
      </w:r>
    </w:p>
    <w:p w14:paraId="5FD42D56" w14:textId="77777777" w:rsidR="00BC1172" w:rsidRDefault="00BC1172" w:rsidP="0073092E">
      <w:pPr>
        <w:spacing w:after="0" w:line="240" w:lineRule="auto"/>
      </w:pPr>
    </w:p>
    <w:p w14:paraId="69DC1A80" w14:textId="77777777" w:rsidR="00FC088E" w:rsidRPr="0037635E" w:rsidRDefault="00FC088E" w:rsidP="003E3B3A">
      <w:pPr>
        <w:rPr>
          <w:rFonts w:ascii="Calibri" w:eastAsia="Calibri" w:hAnsi="Calibri" w:cs="Times New Roman"/>
        </w:rPr>
      </w:pPr>
      <w:r w:rsidRPr="0037635E">
        <w:rPr>
          <w:rFonts w:ascii="Calibri" w:eastAsia="Calibri" w:hAnsi="Calibri" w:cs="Times New Roman"/>
        </w:rPr>
        <w:t xml:space="preserve">The potential components of any fiscal contingency strategy are essentially the same for all local governments:  incremental expenditure cuts; major program cuts; </w:t>
      </w:r>
      <w:r w:rsidR="002D1778" w:rsidRPr="0037635E">
        <w:rPr>
          <w:rFonts w:ascii="Calibri" w:eastAsia="Calibri" w:hAnsi="Calibri" w:cs="Times New Roman"/>
        </w:rPr>
        <w:t xml:space="preserve">identification and </w:t>
      </w:r>
      <w:r w:rsidRPr="0037635E">
        <w:rPr>
          <w:rFonts w:ascii="Calibri" w:eastAsia="Calibri" w:hAnsi="Calibri" w:cs="Times New Roman"/>
        </w:rPr>
        <w:t>implementation of new revenue sources; distinguishing between high priority and lower priority programs; across-the-board funding cuts; etc.  The differences come in how these components are structured in any particular jurisdiction (i.e., what happens first, what programs, if any, are exempt from reductions, etc.).</w:t>
      </w:r>
    </w:p>
    <w:p w14:paraId="3BF18DAC" w14:textId="77777777" w:rsidR="00FC088E" w:rsidRPr="0037635E" w:rsidRDefault="00FC088E" w:rsidP="003E3B3A">
      <w:pPr>
        <w:rPr>
          <w:rFonts w:ascii="Calibri" w:eastAsia="Calibri" w:hAnsi="Calibri" w:cs="Times New Roman"/>
        </w:rPr>
      </w:pPr>
      <w:r w:rsidRPr="0037635E">
        <w:rPr>
          <w:rFonts w:ascii="Calibri" w:eastAsia="Calibri" w:hAnsi="Calibri" w:cs="Times New Roman"/>
        </w:rPr>
        <w:t>The County’s approach to structuring the components of a fiscal contingency strategy is set forth below.</w:t>
      </w:r>
    </w:p>
    <w:p w14:paraId="3CD4CBE9" w14:textId="77777777" w:rsidR="00FC088E" w:rsidRPr="0037635E" w:rsidRDefault="00FC088E" w:rsidP="00FC088E">
      <w:pPr>
        <w:spacing w:after="0" w:line="240" w:lineRule="auto"/>
        <w:rPr>
          <w:rFonts w:ascii="Calibri" w:eastAsia="Calibri" w:hAnsi="Calibri" w:cs="Times New Roman"/>
        </w:rPr>
      </w:pPr>
      <w:r w:rsidRPr="0037635E">
        <w:rPr>
          <w:rFonts w:ascii="Calibri" w:eastAsia="Calibri" w:hAnsi="Calibri" w:cs="Times New Roman"/>
          <w:u w:val="single"/>
        </w:rPr>
        <w:t>General Philosophy</w:t>
      </w:r>
    </w:p>
    <w:p w14:paraId="4A9F8DF9" w14:textId="77777777" w:rsidR="00FC088E" w:rsidRPr="0037635E" w:rsidRDefault="00FC088E" w:rsidP="00FC088E">
      <w:pPr>
        <w:spacing w:after="0" w:line="240" w:lineRule="auto"/>
        <w:rPr>
          <w:rFonts w:ascii="Calibri" w:eastAsia="Calibri" w:hAnsi="Calibri" w:cs="Times New Roman"/>
        </w:rPr>
      </w:pPr>
    </w:p>
    <w:p w14:paraId="66166B9C" w14:textId="77777777" w:rsidR="0037635E" w:rsidRPr="0037635E" w:rsidRDefault="0037635E" w:rsidP="0037635E">
      <w:pPr>
        <w:rPr>
          <w:rFonts w:ascii="Calibri" w:eastAsia="Calibri" w:hAnsi="Calibri" w:cs="Times New Roman"/>
        </w:rPr>
      </w:pPr>
      <w:r w:rsidRPr="0037635E">
        <w:rPr>
          <w:rFonts w:ascii="Calibri" w:eastAsia="Calibri" w:hAnsi="Calibri" w:cs="Times New Roman"/>
        </w:rPr>
        <w:t xml:space="preserve">To the extent possible, across-the-board reductions in expenditures will be avoided.  Reductions will be made on a case-by-case basis, focusing particularly (though not exclusively) on discrete programs or services.  Maintaining a highly professional service delivery system is of foremost importance to the County.  Thus, if it becomes necessary to make significant service level reductions, the goal will be to reduce the quantity of a service provided rather than the quality of service.  </w:t>
      </w:r>
    </w:p>
    <w:p w14:paraId="052B3DEE" w14:textId="77777777" w:rsidR="0037635E" w:rsidRPr="0037635E" w:rsidRDefault="0037635E" w:rsidP="0037635E">
      <w:pPr>
        <w:rPr>
          <w:rFonts w:ascii="Calibri" w:eastAsia="Calibri" w:hAnsi="Calibri" w:cs="Times New Roman"/>
        </w:rPr>
      </w:pPr>
      <w:r w:rsidRPr="0037635E">
        <w:rPr>
          <w:rFonts w:ascii="Calibri" w:eastAsia="Calibri" w:hAnsi="Calibri" w:cs="Times New Roman"/>
        </w:rPr>
        <w:t>Also, it does not necessarily make sense to fund current operations at the expense of long-term capital or planning programs.  Consequently, every effort will be made to continue capital and planning programs geared to meeting the County’s long-term needs.</w:t>
      </w:r>
    </w:p>
    <w:p w14:paraId="66F38968" w14:textId="77777777" w:rsidR="0037635E" w:rsidRPr="0037635E" w:rsidRDefault="0037635E" w:rsidP="0037635E">
      <w:pPr>
        <w:spacing w:after="0" w:line="240" w:lineRule="auto"/>
        <w:rPr>
          <w:rFonts w:ascii="Calibri" w:eastAsia="Calibri" w:hAnsi="Calibri" w:cs="Times New Roman"/>
        </w:rPr>
      </w:pPr>
      <w:r w:rsidRPr="0037635E">
        <w:rPr>
          <w:rFonts w:ascii="Calibri" w:eastAsia="Calibri" w:hAnsi="Calibri" w:cs="Times New Roman"/>
          <w:u w:val="single"/>
        </w:rPr>
        <w:t>Resource Reduction Priorities</w:t>
      </w:r>
    </w:p>
    <w:p w14:paraId="27EB5298" w14:textId="77777777" w:rsidR="0037635E" w:rsidRPr="0037635E" w:rsidRDefault="0037635E" w:rsidP="0037635E">
      <w:pPr>
        <w:spacing w:after="0" w:line="240" w:lineRule="auto"/>
        <w:rPr>
          <w:rFonts w:ascii="Calibri" w:eastAsia="Calibri" w:hAnsi="Calibri" w:cs="Times New Roman"/>
        </w:rPr>
      </w:pPr>
    </w:p>
    <w:p w14:paraId="09CC55B5" w14:textId="77777777" w:rsidR="0037635E" w:rsidRPr="0037635E" w:rsidRDefault="0037635E" w:rsidP="0037635E">
      <w:pPr>
        <w:spacing w:after="0" w:line="240" w:lineRule="auto"/>
        <w:rPr>
          <w:rFonts w:ascii="Calibri" w:eastAsia="Calibri" w:hAnsi="Calibri" w:cs="Times New Roman"/>
        </w:rPr>
      </w:pPr>
      <w:r w:rsidRPr="0037635E">
        <w:rPr>
          <w:rFonts w:ascii="Calibri" w:eastAsia="Calibri" w:hAnsi="Calibri" w:cs="Times New Roman"/>
          <w:i/>
        </w:rPr>
        <w:t>Short-term Actions</w:t>
      </w:r>
    </w:p>
    <w:p w14:paraId="7F00B4FA" w14:textId="77777777" w:rsidR="0037635E" w:rsidRPr="0037635E" w:rsidRDefault="0037635E" w:rsidP="0037635E">
      <w:pPr>
        <w:spacing w:after="0" w:line="240" w:lineRule="auto"/>
        <w:rPr>
          <w:rFonts w:ascii="Calibri" w:eastAsia="Calibri" w:hAnsi="Calibri" w:cs="Times New Roman"/>
        </w:rPr>
      </w:pPr>
    </w:p>
    <w:p w14:paraId="592BCBD0" w14:textId="77777777" w:rsidR="0037635E" w:rsidRPr="0037635E" w:rsidRDefault="0037635E" w:rsidP="0037635E">
      <w:pPr>
        <w:rPr>
          <w:rFonts w:ascii="Calibri" w:eastAsia="Calibri" w:hAnsi="Calibri" w:cs="Times New Roman"/>
        </w:rPr>
      </w:pPr>
      <w:r w:rsidRPr="0037635E">
        <w:rPr>
          <w:rFonts w:ascii="Calibri" w:eastAsia="Calibri" w:hAnsi="Calibri" w:cs="Times New Roman"/>
        </w:rPr>
        <w:t>The following actions will be considered when dealing with the immediate impact of a significant reduction in resources. The purpose of these actions is to achieve immediate savings and/or better position the organization to deal with the impact of longer-term actions once they are implemented.  The actions are listed in priority order:</w:t>
      </w:r>
    </w:p>
    <w:p w14:paraId="0036C11C" w14:textId="77777777" w:rsidR="0037635E" w:rsidRPr="0037635E" w:rsidRDefault="0037635E" w:rsidP="0037635E">
      <w:pPr>
        <w:numPr>
          <w:ilvl w:val="0"/>
          <w:numId w:val="21"/>
        </w:numPr>
        <w:spacing w:after="0" w:line="240" w:lineRule="auto"/>
        <w:rPr>
          <w:rFonts w:ascii="Calibri" w:eastAsia="Calibri" w:hAnsi="Calibri" w:cs="Times New Roman"/>
        </w:rPr>
      </w:pPr>
      <w:r w:rsidRPr="0037635E">
        <w:rPr>
          <w:rFonts w:ascii="Calibri" w:eastAsia="Calibri" w:hAnsi="Calibri" w:cs="Times New Roman"/>
        </w:rPr>
        <w:t>Major General Fund-supported office space remodels will be halted, unless they are required to address critical health or safety needs.</w:t>
      </w:r>
    </w:p>
    <w:p w14:paraId="4F9AFAC8" w14:textId="77777777" w:rsidR="0037635E" w:rsidRPr="0037635E" w:rsidRDefault="0037635E" w:rsidP="0037635E">
      <w:pPr>
        <w:spacing w:after="0" w:line="240" w:lineRule="auto"/>
        <w:rPr>
          <w:rFonts w:ascii="Calibri" w:eastAsia="Calibri" w:hAnsi="Calibri" w:cs="Times New Roman"/>
        </w:rPr>
      </w:pPr>
    </w:p>
    <w:p w14:paraId="07939990" w14:textId="77777777" w:rsidR="0037635E" w:rsidRPr="0037635E" w:rsidRDefault="0037635E" w:rsidP="0037635E">
      <w:pPr>
        <w:numPr>
          <w:ilvl w:val="0"/>
          <w:numId w:val="21"/>
        </w:numPr>
        <w:spacing w:after="240" w:line="240" w:lineRule="auto"/>
        <w:rPr>
          <w:rFonts w:ascii="Calibri" w:eastAsia="Calibri" w:hAnsi="Calibri" w:cs="Times New Roman"/>
        </w:rPr>
      </w:pPr>
      <w:r w:rsidRPr="0037635E">
        <w:rPr>
          <w:rFonts w:ascii="Calibri" w:eastAsia="Calibri" w:hAnsi="Calibri" w:cs="Times New Roman"/>
        </w:rPr>
        <w:t>Purchase of equipment and capital assets will be selectively deferred.  Funding source and impact on service delivery will be considered in implementing the deferral.</w:t>
      </w:r>
    </w:p>
    <w:p w14:paraId="4476CF14" w14:textId="77777777" w:rsidR="0037635E" w:rsidRPr="0037635E" w:rsidRDefault="0037635E" w:rsidP="0037635E">
      <w:pPr>
        <w:numPr>
          <w:ilvl w:val="0"/>
          <w:numId w:val="21"/>
        </w:numPr>
        <w:spacing w:after="0" w:line="240" w:lineRule="auto"/>
        <w:rPr>
          <w:rFonts w:ascii="Calibri" w:eastAsia="Calibri" w:hAnsi="Calibri" w:cs="Times New Roman"/>
        </w:rPr>
      </w:pPr>
      <w:r w:rsidRPr="0037635E">
        <w:rPr>
          <w:rFonts w:ascii="Calibri" w:eastAsia="Calibri" w:hAnsi="Calibri" w:cs="Times New Roman"/>
        </w:rPr>
        <w:t>Implementation of new programs not fully operational and/or not fully revenue offset, will be halted.</w:t>
      </w:r>
    </w:p>
    <w:p w14:paraId="1CF2FAB9" w14:textId="77777777" w:rsidR="0037635E" w:rsidRPr="0037635E" w:rsidRDefault="0037635E" w:rsidP="0037635E">
      <w:pPr>
        <w:spacing w:after="0" w:line="240" w:lineRule="auto"/>
        <w:rPr>
          <w:rFonts w:ascii="Calibri" w:eastAsia="Calibri" w:hAnsi="Calibri" w:cs="Times New Roman"/>
        </w:rPr>
      </w:pPr>
    </w:p>
    <w:p w14:paraId="3089577C" w14:textId="77777777" w:rsidR="0037635E" w:rsidRPr="0037635E" w:rsidRDefault="0037635E" w:rsidP="0037635E">
      <w:pPr>
        <w:numPr>
          <w:ilvl w:val="0"/>
          <w:numId w:val="21"/>
        </w:numPr>
        <w:spacing w:after="0" w:line="240" w:lineRule="auto"/>
        <w:rPr>
          <w:rFonts w:ascii="Calibri" w:eastAsia="Calibri" w:hAnsi="Calibri" w:cs="Times New Roman"/>
        </w:rPr>
      </w:pPr>
      <w:r w:rsidRPr="0037635E">
        <w:rPr>
          <w:rFonts w:ascii="Calibri" w:eastAsia="Calibri" w:hAnsi="Calibri" w:cs="Times New Roman"/>
        </w:rPr>
        <w:t>Approval of contracts for services, not fully revenue offset, will be selectively deferred.  Funding sources and impact on service delivery will be considered in implementing the deferral.</w:t>
      </w:r>
    </w:p>
    <w:p w14:paraId="1FEE0671" w14:textId="77777777" w:rsidR="0037635E" w:rsidRPr="0037635E" w:rsidRDefault="0037635E" w:rsidP="0037635E">
      <w:pPr>
        <w:spacing w:after="0" w:line="240" w:lineRule="auto"/>
        <w:rPr>
          <w:rFonts w:ascii="Calibri" w:eastAsia="Calibri" w:hAnsi="Calibri" w:cs="Times New Roman"/>
        </w:rPr>
      </w:pPr>
    </w:p>
    <w:p w14:paraId="0979E117" w14:textId="77777777" w:rsidR="0037635E" w:rsidRPr="0037635E" w:rsidRDefault="0037635E" w:rsidP="0037635E">
      <w:pPr>
        <w:numPr>
          <w:ilvl w:val="0"/>
          <w:numId w:val="21"/>
        </w:numPr>
        <w:spacing w:after="0" w:line="240" w:lineRule="auto"/>
        <w:rPr>
          <w:rFonts w:ascii="Calibri" w:eastAsia="Calibri" w:hAnsi="Calibri" w:cs="Times New Roman"/>
        </w:rPr>
      </w:pPr>
      <w:r w:rsidRPr="0037635E">
        <w:rPr>
          <w:rFonts w:ascii="Calibri" w:eastAsia="Calibri" w:hAnsi="Calibri" w:cs="Times New Roman"/>
        </w:rPr>
        <w:t>A selective hiring freeze will be implemented.</w:t>
      </w:r>
    </w:p>
    <w:p w14:paraId="23BCE023" w14:textId="77777777" w:rsidR="0037635E" w:rsidRPr="0037635E" w:rsidRDefault="0037635E" w:rsidP="0037635E">
      <w:pPr>
        <w:spacing w:after="0" w:line="240" w:lineRule="auto"/>
        <w:rPr>
          <w:rFonts w:ascii="Calibri" w:eastAsia="Calibri" w:hAnsi="Calibri" w:cs="Times New Roman"/>
        </w:rPr>
      </w:pPr>
    </w:p>
    <w:p w14:paraId="1FEF5BB5" w14:textId="77777777" w:rsidR="0037635E" w:rsidRPr="0037635E" w:rsidRDefault="0037635E" w:rsidP="0037635E">
      <w:pPr>
        <w:rPr>
          <w:rFonts w:ascii="Calibri" w:eastAsia="Calibri" w:hAnsi="Calibri" w:cs="Times New Roman"/>
          <w:i/>
        </w:rPr>
      </w:pPr>
    </w:p>
    <w:p w14:paraId="3C9E030C" w14:textId="77777777" w:rsidR="0037635E" w:rsidRPr="0037635E" w:rsidRDefault="0037635E" w:rsidP="0037635E">
      <w:pPr>
        <w:rPr>
          <w:rFonts w:ascii="Calibri" w:eastAsia="Calibri" w:hAnsi="Calibri" w:cs="Times New Roman"/>
          <w:i/>
        </w:rPr>
      </w:pPr>
    </w:p>
    <w:p w14:paraId="14E7CA77" w14:textId="77777777" w:rsidR="0037635E" w:rsidRPr="0037635E" w:rsidRDefault="0037635E" w:rsidP="0037635E">
      <w:pPr>
        <w:rPr>
          <w:rFonts w:ascii="Calibri" w:eastAsia="Calibri" w:hAnsi="Calibri" w:cs="Times New Roman"/>
          <w:i/>
        </w:rPr>
      </w:pPr>
    </w:p>
    <w:p w14:paraId="1B4EE850" w14:textId="77777777" w:rsidR="0037635E" w:rsidRPr="0037635E" w:rsidRDefault="0037635E" w:rsidP="0037635E">
      <w:pPr>
        <w:rPr>
          <w:rFonts w:ascii="Calibri" w:eastAsia="Calibri" w:hAnsi="Calibri" w:cs="Times New Roman"/>
          <w:i/>
        </w:rPr>
      </w:pPr>
      <w:r w:rsidRPr="0037635E">
        <w:rPr>
          <w:rFonts w:ascii="Calibri" w:eastAsia="Calibri" w:hAnsi="Calibri" w:cs="Times New Roman"/>
          <w:i/>
        </w:rPr>
        <w:t>Longer-Term Actions</w:t>
      </w:r>
    </w:p>
    <w:p w14:paraId="3D32F791" w14:textId="77777777" w:rsidR="0037635E" w:rsidRPr="0037635E" w:rsidRDefault="0037635E" w:rsidP="0037635E">
      <w:pPr>
        <w:spacing w:after="0"/>
        <w:rPr>
          <w:rFonts w:ascii="Calibri" w:eastAsia="Calibri" w:hAnsi="Calibri" w:cs="Times New Roman"/>
        </w:rPr>
      </w:pPr>
      <w:r w:rsidRPr="0037635E">
        <w:rPr>
          <w:rFonts w:ascii="Calibri" w:eastAsia="Calibri" w:hAnsi="Calibri" w:cs="Times New Roman"/>
        </w:rPr>
        <w:t>The following actions will be considered when dealing with the longer-term impact of a significant reduction in resources.  The actions are listed in priority order and lower priority actions will be implemented only if higher priority actions are insufficient to deal with the fiscal shortfall.  Once the County’s fiscal situation improves, staff will seek direction from the Board on whether to restore funding or otherwise return to the pre-reduction levels.</w:t>
      </w:r>
    </w:p>
    <w:p w14:paraId="6750397C" w14:textId="77777777" w:rsidR="0037635E" w:rsidRPr="0037635E" w:rsidRDefault="0037635E" w:rsidP="0037635E">
      <w:pPr>
        <w:spacing w:after="0" w:line="240" w:lineRule="auto"/>
        <w:rPr>
          <w:rFonts w:ascii="Calibri" w:eastAsia="Calibri" w:hAnsi="Calibri" w:cs="Times New Roman"/>
        </w:rPr>
      </w:pPr>
    </w:p>
    <w:p w14:paraId="0BBA32A6" w14:textId="77777777" w:rsidR="0037635E" w:rsidRPr="0037635E" w:rsidRDefault="0037635E" w:rsidP="0037635E">
      <w:pPr>
        <w:numPr>
          <w:ilvl w:val="0"/>
          <w:numId w:val="22"/>
        </w:numPr>
        <w:spacing w:after="0" w:line="240" w:lineRule="auto"/>
        <w:rPr>
          <w:rFonts w:ascii="Calibri" w:eastAsia="Calibri" w:hAnsi="Calibri" w:cs="Times New Roman"/>
        </w:rPr>
      </w:pPr>
      <w:r w:rsidRPr="0037635E">
        <w:rPr>
          <w:rFonts w:ascii="Calibri" w:eastAsia="Calibri" w:hAnsi="Calibri" w:cs="Times New Roman"/>
        </w:rPr>
        <w:t>A moratorium will be placed on implementing new programs or expanding existing programs if the cost of those programs or expansions is not fully revenue offset and a secure, long-term funding source is not identified (an exception will be programs associated with Public Safety Realignment).</w:t>
      </w:r>
    </w:p>
    <w:p w14:paraId="0135D3AA" w14:textId="77777777" w:rsidR="0037635E" w:rsidRPr="0037635E" w:rsidRDefault="0037635E" w:rsidP="0037635E">
      <w:pPr>
        <w:spacing w:after="0" w:line="240" w:lineRule="auto"/>
        <w:ind w:left="720"/>
        <w:rPr>
          <w:rFonts w:ascii="Calibri" w:eastAsia="Calibri" w:hAnsi="Calibri" w:cs="Times New Roman"/>
        </w:rPr>
      </w:pPr>
    </w:p>
    <w:p w14:paraId="0905CD92" w14:textId="77777777" w:rsidR="0037635E" w:rsidRPr="0037635E" w:rsidRDefault="0037635E" w:rsidP="0037635E">
      <w:pPr>
        <w:numPr>
          <w:ilvl w:val="0"/>
          <w:numId w:val="22"/>
        </w:numPr>
        <w:spacing w:after="0" w:line="240" w:lineRule="auto"/>
        <w:rPr>
          <w:rFonts w:ascii="Calibri" w:eastAsia="Calibri" w:hAnsi="Calibri" w:cs="Times New Roman"/>
        </w:rPr>
      </w:pPr>
      <w:r w:rsidRPr="0037635E">
        <w:rPr>
          <w:rFonts w:ascii="Calibri" w:eastAsia="Calibri" w:hAnsi="Calibri" w:cs="Times New Roman"/>
        </w:rPr>
        <w:t>Cancel General Fund designations in an amount not to exceed the General Fund Contingency policy level and up to an additional $2 million a year.</w:t>
      </w:r>
    </w:p>
    <w:p w14:paraId="3EABFEFB" w14:textId="77777777" w:rsidR="0037635E" w:rsidRPr="0037635E" w:rsidRDefault="0037635E" w:rsidP="0037635E">
      <w:pPr>
        <w:spacing w:after="0" w:line="240" w:lineRule="auto"/>
        <w:rPr>
          <w:rFonts w:ascii="Calibri" w:eastAsia="Calibri" w:hAnsi="Calibri" w:cs="Times New Roman"/>
        </w:rPr>
      </w:pPr>
    </w:p>
    <w:p w14:paraId="6761B737" w14:textId="77777777" w:rsidR="0037635E" w:rsidRPr="0037635E" w:rsidRDefault="0037635E" w:rsidP="0037635E">
      <w:pPr>
        <w:numPr>
          <w:ilvl w:val="0"/>
          <w:numId w:val="22"/>
        </w:numPr>
        <w:spacing w:after="0" w:line="240" w:lineRule="auto"/>
        <w:rPr>
          <w:rFonts w:ascii="Calibri" w:eastAsia="Calibri" w:hAnsi="Calibri" w:cs="Times New Roman"/>
        </w:rPr>
      </w:pPr>
      <w:r w:rsidRPr="0037635E">
        <w:rPr>
          <w:rFonts w:ascii="Calibri" w:eastAsia="Calibri" w:hAnsi="Calibri" w:cs="Times New Roman"/>
        </w:rPr>
        <w:t>To the extent legally possible, or where it does not impact the public’s health and safety, place a hard freeze on backfilling reductions in federal or state funding, or in using General Fund money to cover cost of doing business increases for programs primarily funded by state or federal resources.</w:t>
      </w:r>
    </w:p>
    <w:p w14:paraId="2ABE9AD7" w14:textId="77777777" w:rsidR="0037635E" w:rsidRPr="0037635E" w:rsidRDefault="0037635E" w:rsidP="0037635E">
      <w:pPr>
        <w:spacing w:after="0" w:line="240" w:lineRule="auto"/>
        <w:rPr>
          <w:rFonts w:ascii="Calibri" w:eastAsia="Calibri" w:hAnsi="Calibri" w:cs="Times New Roman"/>
        </w:rPr>
      </w:pPr>
    </w:p>
    <w:p w14:paraId="6D46E61F" w14:textId="77777777" w:rsidR="0037635E" w:rsidRPr="0037635E" w:rsidRDefault="0037635E" w:rsidP="0037635E">
      <w:pPr>
        <w:numPr>
          <w:ilvl w:val="0"/>
          <w:numId w:val="22"/>
        </w:numPr>
        <w:spacing w:after="0" w:line="240" w:lineRule="auto"/>
        <w:rPr>
          <w:rFonts w:ascii="Calibri" w:eastAsia="Calibri" w:hAnsi="Calibri" w:cs="Times New Roman"/>
        </w:rPr>
      </w:pPr>
      <w:r w:rsidRPr="0037635E">
        <w:rPr>
          <w:rFonts w:ascii="Calibri" w:eastAsia="Calibri" w:hAnsi="Calibri" w:cs="Times New Roman"/>
        </w:rPr>
        <w:t>Moderate reductions in discretionary support will be made on a case-by-case basis.  These reductions will focus first on programs appropriately funded by dedicated resources (such as fee-supported programs where fees are not yet at full cost recovery or state or federal programs where the County provides an over-match).  Reductions made at this point will generally have only a limited impact on service levels and may, in some cases, be offset by increases in fees.</w:t>
      </w:r>
    </w:p>
    <w:p w14:paraId="53F7200F" w14:textId="77777777" w:rsidR="0037635E" w:rsidRPr="0037635E" w:rsidRDefault="0037635E" w:rsidP="0037635E">
      <w:pPr>
        <w:spacing w:after="0" w:line="240" w:lineRule="auto"/>
        <w:rPr>
          <w:rFonts w:ascii="Calibri" w:eastAsia="Calibri" w:hAnsi="Calibri" w:cs="Times New Roman"/>
        </w:rPr>
      </w:pPr>
    </w:p>
    <w:p w14:paraId="4A95AF66" w14:textId="77777777" w:rsidR="0037635E" w:rsidRPr="0037635E" w:rsidRDefault="0037635E" w:rsidP="0037635E">
      <w:pPr>
        <w:numPr>
          <w:ilvl w:val="0"/>
          <w:numId w:val="22"/>
        </w:numPr>
        <w:spacing w:after="0" w:line="240" w:lineRule="auto"/>
        <w:rPr>
          <w:rFonts w:ascii="Calibri" w:eastAsia="Calibri" w:hAnsi="Calibri" w:cs="Times New Roman"/>
        </w:rPr>
      </w:pPr>
      <w:r w:rsidRPr="0037635E">
        <w:rPr>
          <w:rFonts w:ascii="Calibri" w:eastAsia="Calibri" w:hAnsi="Calibri" w:cs="Times New Roman"/>
        </w:rPr>
        <w:t>Discretionary funding for programs appropriately funded by dedicated resources will be significantly reduced or eliminated. This may involve reducing the County match to the minimal mandated level.  In the case of programs that are primarily the state’s responsibility, the County will consider returning responsibility to the state for operating those programs, to the extent permitted by law.  In the case of fee-supported programs where the fee structure does not fully cover program costs, fees will be increased to fully cover those costs.</w:t>
      </w:r>
    </w:p>
    <w:p w14:paraId="6B76AEA0" w14:textId="77777777" w:rsidR="0037635E" w:rsidRPr="0037635E" w:rsidRDefault="0037635E" w:rsidP="0037635E">
      <w:pPr>
        <w:spacing w:after="0" w:line="240" w:lineRule="auto"/>
        <w:ind w:left="720"/>
        <w:rPr>
          <w:rFonts w:ascii="Calibri" w:eastAsia="Calibri" w:hAnsi="Calibri" w:cs="Times New Roman"/>
        </w:rPr>
      </w:pPr>
    </w:p>
    <w:p w14:paraId="43161068" w14:textId="77777777" w:rsidR="0037635E" w:rsidRPr="0037635E" w:rsidRDefault="0037635E" w:rsidP="0037635E">
      <w:pPr>
        <w:numPr>
          <w:ilvl w:val="0"/>
          <w:numId w:val="22"/>
        </w:numPr>
        <w:spacing w:after="0" w:line="240" w:lineRule="auto"/>
        <w:rPr>
          <w:rFonts w:ascii="Calibri" w:eastAsia="Calibri" w:hAnsi="Calibri" w:cs="Times New Roman"/>
        </w:rPr>
      </w:pPr>
      <w:r w:rsidRPr="0037635E">
        <w:rPr>
          <w:rFonts w:ascii="Calibri" w:eastAsia="Calibri" w:hAnsi="Calibri" w:cs="Times New Roman"/>
        </w:rPr>
        <w:t>Do not make the annual transfer of General Fund revenue to the Special Projects Fund as called for in current Board policy.  Do not enter into any new contracts or renew any contracts for use of Special Projects Fund money.</w:t>
      </w:r>
    </w:p>
    <w:p w14:paraId="40804F5B" w14:textId="77777777" w:rsidR="0037635E" w:rsidRPr="0037635E" w:rsidRDefault="0037635E" w:rsidP="0037635E">
      <w:pPr>
        <w:spacing w:after="0" w:line="240" w:lineRule="auto"/>
        <w:rPr>
          <w:rFonts w:ascii="Calibri" w:eastAsia="Calibri" w:hAnsi="Calibri" w:cs="Times New Roman"/>
        </w:rPr>
      </w:pPr>
    </w:p>
    <w:p w14:paraId="15712D47" w14:textId="77777777" w:rsidR="0037635E" w:rsidRPr="0037635E" w:rsidRDefault="0037635E" w:rsidP="0037635E">
      <w:pPr>
        <w:numPr>
          <w:ilvl w:val="0"/>
          <w:numId w:val="22"/>
        </w:numPr>
        <w:spacing w:after="0" w:line="240" w:lineRule="auto"/>
        <w:rPr>
          <w:rFonts w:ascii="Calibri" w:eastAsia="Calibri" w:hAnsi="Calibri" w:cs="Times New Roman"/>
        </w:rPr>
      </w:pPr>
      <w:r w:rsidRPr="0037635E">
        <w:rPr>
          <w:rFonts w:ascii="Calibri" w:eastAsia="Calibri" w:hAnsi="Calibri" w:cs="Times New Roman"/>
        </w:rPr>
        <w:t xml:space="preserve">Discretionary resources that have been earmarked by the Board for certain purposes will be reviewed and proposed for re-allocation to fund core County programs.  </w:t>
      </w:r>
    </w:p>
    <w:p w14:paraId="31E2C0C1" w14:textId="77777777" w:rsidR="0037635E" w:rsidRPr="0037635E" w:rsidRDefault="0037635E" w:rsidP="0037635E">
      <w:pPr>
        <w:spacing w:after="0" w:line="240" w:lineRule="auto"/>
        <w:ind w:left="720"/>
        <w:rPr>
          <w:rFonts w:ascii="Calibri" w:eastAsia="Calibri" w:hAnsi="Calibri" w:cs="Times New Roman"/>
        </w:rPr>
      </w:pPr>
    </w:p>
    <w:p w14:paraId="63097C49" w14:textId="77777777" w:rsidR="0037635E" w:rsidRPr="0037635E" w:rsidRDefault="0037635E" w:rsidP="0037635E">
      <w:pPr>
        <w:numPr>
          <w:ilvl w:val="0"/>
          <w:numId w:val="22"/>
        </w:numPr>
        <w:rPr>
          <w:rFonts w:ascii="Calibri" w:eastAsia="Calibri" w:hAnsi="Calibri" w:cs="Times New Roman"/>
        </w:rPr>
      </w:pPr>
      <w:r w:rsidRPr="0037635E">
        <w:rPr>
          <w:rFonts w:ascii="Calibri" w:eastAsia="Calibri" w:hAnsi="Calibri" w:cs="Times New Roman"/>
        </w:rPr>
        <w:t xml:space="preserve">Major program reductions will be proposed in programs appropriately funded with discretionary resources, starting with the lowest priority service areas and moving on to higher priority service </w:t>
      </w:r>
      <w:r w:rsidRPr="0037635E">
        <w:rPr>
          <w:rFonts w:ascii="Calibri" w:eastAsia="Calibri" w:hAnsi="Calibri" w:cs="Times New Roman"/>
        </w:rPr>
        <w:lastRenderedPageBreak/>
        <w:t>areas as needed.  Reductions will be made in the following priority order, focusing on maintaining adequate service levels in core programs:</w:t>
      </w:r>
    </w:p>
    <w:p w14:paraId="7DF1E3FE" w14:textId="77777777" w:rsidR="0037635E" w:rsidRPr="0037635E" w:rsidRDefault="0037635E" w:rsidP="0037635E">
      <w:pPr>
        <w:numPr>
          <w:ilvl w:val="0"/>
          <w:numId w:val="23"/>
        </w:numPr>
        <w:spacing w:after="0" w:line="240" w:lineRule="auto"/>
        <w:rPr>
          <w:rFonts w:ascii="Calibri" w:eastAsia="Calibri" w:hAnsi="Calibri" w:cs="Times New Roman"/>
        </w:rPr>
      </w:pPr>
      <w:r w:rsidRPr="0037635E">
        <w:rPr>
          <w:rFonts w:ascii="Calibri" w:eastAsia="Calibri" w:hAnsi="Calibri" w:cs="Times New Roman"/>
        </w:rPr>
        <w:t>Community Resources/Infrastructure</w:t>
      </w:r>
    </w:p>
    <w:p w14:paraId="43C4818E" w14:textId="77777777" w:rsidR="0037635E" w:rsidRPr="0037635E" w:rsidRDefault="0037635E" w:rsidP="0037635E">
      <w:pPr>
        <w:numPr>
          <w:ilvl w:val="0"/>
          <w:numId w:val="23"/>
        </w:numPr>
        <w:spacing w:after="0" w:line="240" w:lineRule="auto"/>
        <w:rPr>
          <w:rFonts w:ascii="Calibri" w:eastAsia="Calibri" w:hAnsi="Calibri" w:cs="Times New Roman"/>
        </w:rPr>
      </w:pPr>
      <w:r w:rsidRPr="0037635E">
        <w:rPr>
          <w:rFonts w:ascii="Calibri" w:eastAsia="Calibri" w:hAnsi="Calibri" w:cs="Times New Roman"/>
        </w:rPr>
        <w:t>General Government – Civic Services (excluding services related to property tax assessment, collection, and apportionment)</w:t>
      </w:r>
    </w:p>
    <w:p w14:paraId="64AB0F35" w14:textId="77777777" w:rsidR="0037635E" w:rsidRPr="0037635E" w:rsidRDefault="0037635E" w:rsidP="0037635E">
      <w:pPr>
        <w:numPr>
          <w:ilvl w:val="0"/>
          <w:numId w:val="23"/>
        </w:numPr>
        <w:spacing w:after="0" w:line="240" w:lineRule="auto"/>
        <w:rPr>
          <w:rFonts w:ascii="Calibri" w:eastAsia="Calibri" w:hAnsi="Calibri" w:cs="Times New Roman"/>
        </w:rPr>
      </w:pPr>
      <w:r w:rsidRPr="0037635E">
        <w:rPr>
          <w:rFonts w:ascii="Calibri" w:eastAsia="Calibri" w:hAnsi="Calibri" w:cs="Times New Roman"/>
        </w:rPr>
        <w:t>Law, Justice and Public Safety (excluding costs related to dealing with Public Safety Realignment)</w:t>
      </w:r>
    </w:p>
    <w:p w14:paraId="1173504E" w14:textId="77777777" w:rsidR="0037635E" w:rsidRPr="0037635E" w:rsidRDefault="0037635E" w:rsidP="00D0235E">
      <w:pPr>
        <w:numPr>
          <w:ilvl w:val="0"/>
          <w:numId w:val="23"/>
        </w:numPr>
        <w:spacing w:after="0" w:line="240" w:lineRule="auto"/>
        <w:rPr>
          <w:rFonts w:ascii="Calibri" w:eastAsia="Calibri" w:hAnsi="Calibri" w:cs="Times New Roman"/>
        </w:rPr>
      </w:pPr>
      <w:r w:rsidRPr="0037635E">
        <w:rPr>
          <w:rFonts w:ascii="Calibri" w:eastAsia="Calibri" w:hAnsi="Calibri" w:cs="Times New Roman"/>
        </w:rPr>
        <w:t>Health and Human Services</w:t>
      </w:r>
    </w:p>
    <w:p w14:paraId="0FDC70F8" w14:textId="77777777" w:rsidR="0037635E" w:rsidRPr="0037635E" w:rsidRDefault="0037635E" w:rsidP="0037635E">
      <w:pPr>
        <w:spacing w:after="0" w:line="240" w:lineRule="auto"/>
        <w:ind w:left="1440"/>
        <w:rPr>
          <w:rFonts w:ascii="Calibri" w:eastAsia="Calibri" w:hAnsi="Calibri" w:cs="Times New Roman"/>
        </w:rPr>
      </w:pPr>
    </w:p>
    <w:p w14:paraId="16E68927" w14:textId="77777777" w:rsidR="0037635E" w:rsidRPr="0037635E" w:rsidRDefault="0037635E" w:rsidP="0037635E">
      <w:pPr>
        <w:numPr>
          <w:ilvl w:val="0"/>
          <w:numId w:val="22"/>
        </w:numPr>
        <w:rPr>
          <w:rFonts w:ascii="Calibri" w:eastAsia="Calibri" w:hAnsi="Calibri" w:cs="Times New Roman"/>
        </w:rPr>
      </w:pPr>
      <w:r w:rsidRPr="0037635E">
        <w:rPr>
          <w:rFonts w:ascii="Calibri" w:eastAsia="Calibri" w:hAnsi="Calibri" w:cs="Times New Roman"/>
        </w:rPr>
        <w:t>Place a moratorium on all General Fund supported facilities capital improvement projects, other than those needed to address critical health and safety needs.  Transfer any unobligated funds in the Accumulated Capital Outlay Fund to the General Fund.</w:t>
      </w:r>
    </w:p>
    <w:p w14:paraId="25285358" w14:textId="77777777" w:rsidR="0037635E" w:rsidRPr="0037635E" w:rsidRDefault="0037635E" w:rsidP="0037635E">
      <w:pPr>
        <w:numPr>
          <w:ilvl w:val="0"/>
          <w:numId w:val="22"/>
        </w:numPr>
        <w:rPr>
          <w:rFonts w:ascii="Calibri" w:eastAsia="Calibri" w:hAnsi="Calibri" w:cs="Times New Roman"/>
        </w:rPr>
      </w:pPr>
      <w:r w:rsidRPr="0037635E">
        <w:rPr>
          <w:rFonts w:ascii="Calibri" w:eastAsia="Calibri" w:hAnsi="Calibri" w:cs="Times New Roman"/>
        </w:rPr>
        <w:t>A reduced work week or period of unpaid leave may be proposed to achieve salary savings.</w:t>
      </w:r>
    </w:p>
    <w:p w14:paraId="171216F6" w14:textId="77777777" w:rsidR="00F639B7" w:rsidRDefault="00F639B7">
      <w:r>
        <w:br w:type="page"/>
      </w:r>
    </w:p>
    <w:p w14:paraId="2C07937D" w14:textId="77777777" w:rsidR="00F639B7" w:rsidRPr="005137FA" w:rsidRDefault="00F639B7" w:rsidP="00F639B7">
      <w:pPr>
        <w:pStyle w:val="ListParagraph"/>
        <w:numPr>
          <w:ilvl w:val="0"/>
          <w:numId w:val="20"/>
        </w:numPr>
        <w:pBdr>
          <w:bottom w:val="thinThickSmallGap" w:sz="24" w:space="1" w:color="5F497A" w:themeColor="accent4" w:themeShade="BF"/>
        </w:pBdr>
        <w:spacing w:after="0" w:line="240" w:lineRule="auto"/>
        <w:rPr>
          <w:sz w:val="28"/>
          <w:szCs w:val="28"/>
        </w:rPr>
      </w:pPr>
      <w:r>
        <w:rPr>
          <w:sz w:val="28"/>
          <w:szCs w:val="28"/>
        </w:rPr>
        <w:lastRenderedPageBreak/>
        <w:t>Revenue Enhancement Strategy</w:t>
      </w:r>
    </w:p>
    <w:p w14:paraId="39B1FE20" w14:textId="77777777" w:rsidR="00F639B7" w:rsidRDefault="00F639B7" w:rsidP="00F639B7">
      <w:pPr>
        <w:spacing w:after="0" w:line="240" w:lineRule="auto"/>
        <w:rPr>
          <w:rFonts w:ascii="Calibri" w:eastAsia="Calibri" w:hAnsi="Calibri" w:cs="Times New Roman"/>
        </w:rPr>
      </w:pPr>
    </w:p>
    <w:p w14:paraId="7C6ED1AF" w14:textId="77777777" w:rsidR="00F639B7" w:rsidRPr="00F639B7" w:rsidRDefault="00F639B7" w:rsidP="003E3B3A">
      <w:pPr>
        <w:rPr>
          <w:rFonts w:ascii="Calibri" w:eastAsia="Calibri" w:hAnsi="Calibri" w:cs="Times New Roman"/>
        </w:rPr>
      </w:pPr>
      <w:r w:rsidRPr="00F639B7">
        <w:rPr>
          <w:rFonts w:ascii="Calibri" w:eastAsia="Calibri" w:hAnsi="Calibri" w:cs="Times New Roman"/>
        </w:rPr>
        <w:t>This Revenue Enhancement Strategy describes whether, and how, the County will seek additional revenue to fund needed services.  The Strategy is divided into two parts:  (1) Funding Operating Costs; and (2) Funding Capital Projects.</w:t>
      </w:r>
    </w:p>
    <w:p w14:paraId="426F3264" w14:textId="77777777" w:rsidR="00F639B7" w:rsidRPr="00F639B7" w:rsidRDefault="00F639B7" w:rsidP="003E3B3A">
      <w:pPr>
        <w:rPr>
          <w:rFonts w:ascii="Calibri" w:eastAsia="Calibri" w:hAnsi="Calibri" w:cs="Times New Roman"/>
          <w:b/>
          <w:u w:val="single"/>
        </w:rPr>
      </w:pPr>
      <w:r w:rsidRPr="00F639B7">
        <w:rPr>
          <w:rFonts w:ascii="Calibri" w:eastAsia="Calibri" w:hAnsi="Calibri" w:cs="Times New Roman"/>
          <w:b/>
          <w:u w:val="single"/>
        </w:rPr>
        <w:t>NEW REVENUE FOR OPERATING COSTS</w:t>
      </w:r>
    </w:p>
    <w:p w14:paraId="3EECFE12" w14:textId="77777777" w:rsidR="00F639B7" w:rsidRPr="00F639B7" w:rsidRDefault="00F639B7" w:rsidP="003E3B3A">
      <w:pPr>
        <w:rPr>
          <w:rFonts w:ascii="Calibri" w:eastAsia="Calibri" w:hAnsi="Calibri" w:cs="Times New Roman"/>
        </w:rPr>
      </w:pPr>
      <w:r>
        <w:rPr>
          <w:rFonts w:ascii="Calibri" w:eastAsia="Calibri" w:hAnsi="Calibri" w:cs="Times New Roman"/>
        </w:rPr>
        <w:t>During the</w:t>
      </w:r>
      <w:r w:rsidRPr="00F639B7">
        <w:rPr>
          <w:rFonts w:ascii="Calibri" w:eastAsia="Calibri" w:hAnsi="Calibri" w:cs="Times New Roman"/>
        </w:rPr>
        <w:t xml:space="preserve"> period covered by this Plan, the County will not seek increases in major discretionary revenue sources or new discretionary revenue sources, such as a local option sales tax or an increase in the Transient Occupancy Tax (TOT).  The County may seek additional funding through:</w:t>
      </w:r>
    </w:p>
    <w:p w14:paraId="24DBC6EB" w14:textId="77777777" w:rsidR="00F639B7" w:rsidRPr="00F639B7" w:rsidRDefault="00F639B7" w:rsidP="003E3B3A">
      <w:pPr>
        <w:numPr>
          <w:ilvl w:val="0"/>
          <w:numId w:val="24"/>
        </w:numPr>
        <w:rPr>
          <w:rFonts w:ascii="Calibri" w:eastAsia="Calibri" w:hAnsi="Calibri" w:cs="Times New Roman"/>
        </w:rPr>
      </w:pPr>
      <w:r w:rsidRPr="00F639B7">
        <w:rPr>
          <w:rFonts w:ascii="Calibri" w:eastAsia="Calibri" w:hAnsi="Calibri" w:cs="Times New Roman"/>
        </w:rPr>
        <w:t>Pursuit of grants, though grants will only be pursued for operational funding if the funding is for programs or services the County would otherwise have provided and the grant provides on-going funding or will be used to supplant General Fund resources.</w:t>
      </w:r>
    </w:p>
    <w:p w14:paraId="1E6AD8B3" w14:textId="77777777" w:rsidR="00F639B7" w:rsidRDefault="00F639B7" w:rsidP="003E3B3A">
      <w:pPr>
        <w:numPr>
          <w:ilvl w:val="0"/>
          <w:numId w:val="24"/>
        </w:numPr>
        <w:rPr>
          <w:rFonts w:ascii="Calibri" w:eastAsia="Calibri" w:hAnsi="Calibri" w:cs="Times New Roman"/>
        </w:rPr>
      </w:pPr>
      <w:r w:rsidRPr="00F639B7">
        <w:rPr>
          <w:rFonts w:ascii="Calibri" w:eastAsia="Calibri" w:hAnsi="Calibri" w:cs="Times New Roman"/>
        </w:rPr>
        <w:t>Increases in fees for fee-supported programs, where the current fees do not fully cover the cost of the program or to keep pace with increases in the cost of doing business.</w:t>
      </w:r>
    </w:p>
    <w:p w14:paraId="442B3079" w14:textId="77777777" w:rsidR="00F639B7" w:rsidRPr="00F639B7" w:rsidRDefault="00F639B7" w:rsidP="003E3B3A">
      <w:pPr>
        <w:rPr>
          <w:rFonts w:ascii="Calibri" w:eastAsia="Calibri" w:hAnsi="Calibri" w:cs="Times New Roman"/>
        </w:rPr>
      </w:pPr>
      <w:r w:rsidRPr="00F639B7">
        <w:rPr>
          <w:rFonts w:ascii="Calibri" w:eastAsia="Calibri" w:hAnsi="Calibri" w:cs="Times New Roman"/>
          <w:b/>
          <w:u w:val="single"/>
        </w:rPr>
        <w:t>FUNDING CAPITAL PROJECTS</w:t>
      </w:r>
    </w:p>
    <w:p w14:paraId="47EF5F6F" w14:textId="77777777" w:rsidR="00E44093" w:rsidRDefault="0037635E" w:rsidP="0037635E">
      <w:pPr>
        <w:rPr>
          <w:rFonts w:ascii="Calibri" w:eastAsia="Calibri" w:hAnsi="Calibri" w:cs="Times New Roman"/>
        </w:rPr>
      </w:pPr>
      <w:r>
        <w:rPr>
          <w:rFonts w:ascii="Calibri" w:eastAsia="Calibri" w:hAnsi="Calibri" w:cs="Times New Roman"/>
        </w:rPr>
        <w:t>The County will commit one-time revenues, such as Excess ERAF to the Accumulated Capital Outlay in order to address capital projects.</w:t>
      </w:r>
    </w:p>
    <w:sectPr w:rsidR="00E44093" w:rsidSect="00FA53FF">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1AB4" w14:textId="77777777" w:rsidR="000B3C04" w:rsidRDefault="000B3C04" w:rsidP="00F4339F">
      <w:pPr>
        <w:spacing w:after="0" w:line="240" w:lineRule="auto"/>
      </w:pPr>
      <w:r>
        <w:separator/>
      </w:r>
    </w:p>
  </w:endnote>
  <w:endnote w:type="continuationSeparator" w:id="0">
    <w:p w14:paraId="0AC1529C" w14:textId="77777777" w:rsidR="000B3C04" w:rsidRDefault="000B3C04" w:rsidP="00F4339F">
      <w:pPr>
        <w:spacing w:after="0" w:line="240" w:lineRule="auto"/>
      </w:pPr>
      <w:r>
        <w:continuationSeparator/>
      </w:r>
    </w:p>
  </w:endnote>
  <w:endnote w:type="continuationNotice" w:id="1">
    <w:p w14:paraId="2D30F5B1" w14:textId="77777777" w:rsidR="000B3C04" w:rsidRDefault="000B3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71D7" w14:textId="7DAFCF4E" w:rsidR="000B3C04" w:rsidRDefault="000B3C04" w:rsidP="004C578C">
    <w:pPr>
      <w:pStyle w:val="Footer"/>
      <w:pBdr>
        <w:top w:val="thinThickSmallGap" w:sz="24" w:space="1" w:color="5F497A" w:themeColor="accent4" w:themeShade="BF"/>
      </w:pBdr>
      <w:rPr>
        <w:rFonts w:asciiTheme="majorHAnsi" w:eastAsiaTheme="majorEastAsia" w:hAnsiTheme="majorHAnsi" w:cstheme="majorBidi"/>
      </w:rPr>
    </w:pPr>
    <w:r>
      <w:rPr>
        <w:rFonts w:asciiTheme="majorHAnsi" w:eastAsiaTheme="majorEastAsia" w:hAnsiTheme="majorHAnsi" w:cstheme="majorBidi"/>
      </w:rPr>
      <w:t>Napa County Strategic Financial Plan – May,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26629" w:rsidRPr="00C26629">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14:paraId="0FFD1642" w14:textId="77777777" w:rsidR="000B3C04" w:rsidRDefault="000B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79F1" w14:textId="77777777" w:rsidR="000B3C04" w:rsidRDefault="000B3C04" w:rsidP="00F4339F">
      <w:pPr>
        <w:spacing w:after="0" w:line="240" w:lineRule="auto"/>
      </w:pPr>
      <w:r>
        <w:separator/>
      </w:r>
    </w:p>
  </w:footnote>
  <w:footnote w:type="continuationSeparator" w:id="0">
    <w:p w14:paraId="4DF60B8D" w14:textId="77777777" w:rsidR="000B3C04" w:rsidRDefault="000B3C04" w:rsidP="00F4339F">
      <w:pPr>
        <w:spacing w:after="0" w:line="240" w:lineRule="auto"/>
      </w:pPr>
      <w:r>
        <w:continuationSeparator/>
      </w:r>
    </w:p>
  </w:footnote>
  <w:footnote w:type="continuationNotice" w:id="1">
    <w:p w14:paraId="148F371F" w14:textId="77777777" w:rsidR="000B3C04" w:rsidRDefault="000B3C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89A"/>
    <w:multiLevelType w:val="hybridMultilevel"/>
    <w:tmpl w:val="588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0D69"/>
    <w:multiLevelType w:val="hybridMultilevel"/>
    <w:tmpl w:val="14CE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D6DA6"/>
    <w:multiLevelType w:val="hybridMultilevel"/>
    <w:tmpl w:val="B41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C413B"/>
    <w:multiLevelType w:val="hybridMultilevel"/>
    <w:tmpl w:val="91D4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A581B"/>
    <w:multiLevelType w:val="hybridMultilevel"/>
    <w:tmpl w:val="E7A64E82"/>
    <w:lvl w:ilvl="0" w:tplc="93FEDF3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B4780"/>
    <w:multiLevelType w:val="hybridMultilevel"/>
    <w:tmpl w:val="7BB8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34E4F"/>
    <w:multiLevelType w:val="hybridMultilevel"/>
    <w:tmpl w:val="CC1A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D369E"/>
    <w:multiLevelType w:val="hybridMultilevel"/>
    <w:tmpl w:val="92E4AC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8C59BE"/>
    <w:multiLevelType w:val="hybridMultilevel"/>
    <w:tmpl w:val="F768E6F0"/>
    <w:lvl w:ilvl="0" w:tplc="2C6234A8">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765CB"/>
    <w:multiLevelType w:val="hybridMultilevel"/>
    <w:tmpl w:val="F52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B41CA"/>
    <w:multiLevelType w:val="hybridMultilevel"/>
    <w:tmpl w:val="F50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F4ABB"/>
    <w:multiLevelType w:val="hybridMultilevel"/>
    <w:tmpl w:val="4A86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553F9"/>
    <w:multiLevelType w:val="hybridMultilevel"/>
    <w:tmpl w:val="68AC0D1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56E27247"/>
    <w:multiLevelType w:val="hybridMultilevel"/>
    <w:tmpl w:val="2D9E4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36EB2"/>
    <w:multiLevelType w:val="hybridMultilevel"/>
    <w:tmpl w:val="04E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1016D"/>
    <w:multiLevelType w:val="hybridMultilevel"/>
    <w:tmpl w:val="C61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814E3"/>
    <w:multiLevelType w:val="hybridMultilevel"/>
    <w:tmpl w:val="DB76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B5ECB"/>
    <w:multiLevelType w:val="hybridMultilevel"/>
    <w:tmpl w:val="DDB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B2EFD"/>
    <w:multiLevelType w:val="hybridMultilevel"/>
    <w:tmpl w:val="9478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724B6"/>
    <w:multiLevelType w:val="hybridMultilevel"/>
    <w:tmpl w:val="2C8C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C7B32"/>
    <w:multiLevelType w:val="hybridMultilevel"/>
    <w:tmpl w:val="85C8CC18"/>
    <w:lvl w:ilvl="0" w:tplc="D77E9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8504B"/>
    <w:multiLevelType w:val="hybridMultilevel"/>
    <w:tmpl w:val="1112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F34EB"/>
    <w:multiLevelType w:val="hybridMultilevel"/>
    <w:tmpl w:val="D7B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718BC"/>
    <w:multiLevelType w:val="hybridMultilevel"/>
    <w:tmpl w:val="49F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16070"/>
    <w:multiLevelType w:val="hybridMultilevel"/>
    <w:tmpl w:val="26B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435BC"/>
    <w:multiLevelType w:val="hybridMultilevel"/>
    <w:tmpl w:val="DBB20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06427"/>
    <w:multiLevelType w:val="hybridMultilevel"/>
    <w:tmpl w:val="DC3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F10BB"/>
    <w:multiLevelType w:val="hybridMultilevel"/>
    <w:tmpl w:val="4AC8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C2C24"/>
    <w:multiLevelType w:val="hybridMultilevel"/>
    <w:tmpl w:val="A07C35E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937724"/>
    <w:multiLevelType w:val="hybridMultilevel"/>
    <w:tmpl w:val="0562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844E9"/>
    <w:multiLevelType w:val="hybridMultilevel"/>
    <w:tmpl w:val="2B5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E0D85"/>
    <w:multiLevelType w:val="hybridMultilevel"/>
    <w:tmpl w:val="56080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6"/>
  </w:num>
  <w:num w:numId="4">
    <w:abstractNumId w:val="25"/>
  </w:num>
  <w:num w:numId="5">
    <w:abstractNumId w:val="20"/>
  </w:num>
  <w:num w:numId="6">
    <w:abstractNumId w:val="26"/>
  </w:num>
  <w:num w:numId="7">
    <w:abstractNumId w:val="14"/>
  </w:num>
  <w:num w:numId="8">
    <w:abstractNumId w:val="6"/>
  </w:num>
  <w:num w:numId="9">
    <w:abstractNumId w:val="17"/>
  </w:num>
  <w:num w:numId="10">
    <w:abstractNumId w:val="1"/>
  </w:num>
  <w:num w:numId="11">
    <w:abstractNumId w:val="24"/>
  </w:num>
  <w:num w:numId="12">
    <w:abstractNumId w:val="9"/>
  </w:num>
  <w:num w:numId="13">
    <w:abstractNumId w:val="10"/>
  </w:num>
  <w:num w:numId="14">
    <w:abstractNumId w:val="15"/>
  </w:num>
  <w:num w:numId="15">
    <w:abstractNumId w:val="23"/>
  </w:num>
  <w:num w:numId="16">
    <w:abstractNumId w:val="30"/>
  </w:num>
  <w:num w:numId="17">
    <w:abstractNumId w:val="27"/>
  </w:num>
  <w:num w:numId="18">
    <w:abstractNumId w:val="29"/>
  </w:num>
  <w:num w:numId="19">
    <w:abstractNumId w:val="22"/>
  </w:num>
  <w:num w:numId="20">
    <w:abstractNumId w:val="4"/>
  </w:num>
  <w:num w:numId="21">
    <w:abstractNumId w:val="31"/>
  </w:num>
  <w:num w:numId="22">
    <w:abstractNumId w:val="28"/>
  </w:num>
  <w:num w:numId="23">
    <w:abstractNumId w:val="7"/>
  </w:num>
  <w:num w:numId="24">
    <w:abstractNumId w:val="0"/>
  </w:num>
  <w:num w:numId="25">
    <w:abstractNumId w:val="12"/>
  </w:num>
  <w:num w:numId="26">
    <w:abstractNumId w:val="19"/>
  </w:num>
  <w:num w:numId="27">
    <w:abstractNumId w:val="8"/>
  </w:num>
  <w:num w:numId="28">
    <w:abstractNumId w:val="21"/>
  </w:num>
  <w:num w:numId="29">
    <w:abstractNumId w:val="11"/>
  </w:num>
  <w:num w:numId="30">
    <w:abstractNumId w:val="18"/>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2E"/>
    <w:rsid w:val="00007D3A"/>
    <w:rsid w:val="00015BAC"/>
    <w:rsid w:val="000162B4"/>
    <w:rsid w:val="00016E7A"/>
    <w:rsid w:val="00025980"/>
    <w:rsid w:val="00032362"/>
    <w:rsid w:val="00035AF0"/>
    <w:rsid w:val="00035DE3"/>
    <w:rsid w:val="00036CFC"/>
    <w:rsid w:val="0004294D"/>
    <w:rsid w:val="00042B1A"/>
    <w:rsid w:val="00043CB6"/>
    <w:rsid w:val="000446AA"/>
    <w:rsid w:val="00045861"/>
    <w:rsid w:val="00045EE1"/>
    <w:rsid w:val="00054D84"/>
    <w:rsid w:val="00056F83"/>
    <w:rsid w:val="00060A14"/>
    <w:rsid w:val="0006346C"/>
    <w:rsid w:val="000655D2"/>
    <w:rsid w:val="00070912"/>
    <w:rsid w:val="000713FC"/>
    <w:rsid w:val="00074CA3"/>
    <w:rsid w:val="0007643E"/>
    <w:rsid w:val="000769EE"/>
    <w:rsid w:val="00076A2A"/>
    <w:rsid w:val="00080892"/>
    <w:rsid w:val="00084416"/>
    <w:rsid w:val="00084EE5"/>
    <w:rsid w:val="000852B1"/>
    <w:rsid w:val="0009034F"/>
    <w:rsid w:val="00090893"/>
    <w:rsid w:val="00090FCF"/>
    <w:rsid w:val="000942E0"/>
    <w:rsid w:val="000A138E"/>
    <w:rsid w:val="000A4D01"/>
    <w:rsid w:val="000A70D1"/>
    <w:rsid w:val="000A7767"/>
    <w:rsid w:val="000B3C04"/>
    <w:rsid w:val="000B5C3C"/>
    <w:rsid w:val="000C0EC1"/>
    <w:rsid w:val="000C2E3F"/>
    <w:rsid w:val="000C57AB"/>
    <w:rsid w:val="000C68CA"/>
    <w:rsid w:val="000D354C"/>
    <w:rsid w:val="000D3EC0"/>
    <w:rsid w:val="000D6514"/>
    <w:rsid w:val="000E50ED"/>
    <w:rsid w:val="000E5304"/>
    <w:rsid w:val="000E55E0"/>
    <w:rsid w:val="000E5869"/>
    <w:rsid w:val="000F190D"/>
    <w:rsid w:val="000F2F74"/>
    <w:rsid w:val="000F5AC7"/>
    <w:rsid w:val="000F66FA"/>
    <w:rsid w:val="0010257D"/>
    <w:rsid w:val="0010566C"/>
    <w:rsid w:val="00110CB5"/>
    <w:rsid w:val="001130A6"/>
    <w:rsid w:val="00120B6D"/>
    <w:rsid w:val="00122A28"/>
    <w:rsid w:val="001230FC"/>
    <w:rsid w:val="00124036"/>
    <w:rsid w:val="001264CE"/>
    <w:rsid w:val="001273D0"/>
    <w:rsid w:val="00131A15"/>
    <w:rsid w:val="00131C02"/>
    <w:rsid w:val="00134D66"/>
    <w:rsid w:val="00141A30"/>
    <w:rsid w:val="00147307"/>
    <w:rsid w:val="00147EA2"/>
    <w:rsid w:val="0015000D"/>
    <w:rsid w:val="00155B74"/>
    <w:rsid w:val="0016121A"/>
    <w:rsid w:val="00164CF3"/>
    <w:rsid w:val="001704FC"/>
    <w:rsid w:val="0017620E"/>
    <w:rsid w:val="00177073"/>
    <w:rsid w:val="0018328D"/>
    <w:rsid w:val="001922B5"/>
    <w:rsid w:val="00193DCD"/>
    <w:rsid w:val="001961A6"/>
    <w:rsid w:val="001A4022"/>
    <w:rsid w:val="001A43DD"/>
    <w:rsid w:val="001A6634"/>
    <w:rsid w:val="001A67CE"/>
    <w:rsid w:val="001C1244"/>
    <w:rsid w:val="001C1511"/>
    <w:rsid w:val="001C1529"/>
    <w:rsid w:val="001C1BF1"/>
    <w:rsid w:val="001D1610"/>
    <w:rsid w:val="001D208F"/>
    <w:rsid w:val="001D5A7A"/>
    <w:rsid w:val="001E2E7C"/>
    <w:rsid w:val="001E37F1"/>
    <w:rsid w:val="001E653B"/>
    <w:rsid w:val="001E70E1"/>
    <w:rsid w:val="001E7C1A"/>
    <w:rsid w:val="001F0E2F"/>
    <w:rsid w:val="001F1D40"/>
    <w:rsid w:val="001F1F37"/>
    <w:rsid w:val="001F2FF4"/>
    <w:rsid w:val="001F7721"/>
    <w:rsid w:val="00202919"/>
    <w:rsid w:val="002053B5"/>
    <w:rsid w:val="0021316F"/>
    <w:rsid w:val="00223557"/>
    <w:rsid w:val="00234D36"/>
    <w:rsid w:val="00242118"/>
    <w:rsid w:val="00243A08"/>
    <w:rsid w:val="00245CE8"/>
    <w:rsid w:val="002508EB"/>
    <w:rsid w:val="00250C18"/>
    <w:rsid w:val="00251C49"/>
    <w:rsid w:val="002544DC"/>
    <w:rsid w:val="00254FC5"/>
    <w:rsid w:val="002550B0"/>
    <w:rsid w:val="00256750"/>
    <w:rsid w:val="00264556"/>
    <w:rsid w:val="002658E7"/>
    <w:rsid w:val="002662E4"/>
    <w:rsid w:val="00281849"/>
    <w:rsid w:val="00281C3B"/>
    <w:rsid w:val="002829E0"/>
    <w:rsid w:val="002830B4"/>
    <w:rsid w:val="00283E28"/>
    <w:rsid w:val="00287CEE"/>
    <w:rsid w:val="00291D4B"/>
    <w:rsid w:val="0029301D"/>
    <w:rsid w:val="0029485A"/>
    <w:rsid w:val="002A4DFE"/>
    <w:rsid w:val="002B4C6F"/>
    <w:rsid w:val="002B6D10"/>
    <w:rsid w:val="002C0F0E"/>
    <w:rsid w:val="002C1EC3"/>
    <w:rsid w:val="002C32DE"/>
    <w:rsid w:val="002C3883"/>
    <w:rsid w:val="002C3AB9"/>
    <w:rsid w:val="002D0593"/>
    <w:rsid w:val="002D1778"/>
    <w:rsid w:val="002D2DD0"/>
    <w:rsid w:val="002D7EC4"/>
    <w:rsid w:val="002E42D4"/>
    <w:rsid w:val="002E4411"/>
    <w:rsid w:val="002F3387"/>
    <w:rsid w:val="002F5AD9"/>
    <w:rsid w:val="00300CB8"/>
    <w:rsid w:val="003019B6"/>
    <w:rsid w:val="00303593"/>
    <w:rsid w:val="00303AC7"/>
    <w:rsid w:val="00303F76"/>
    <w:rsid w:val="00304FD3"/>
    <w:rsid w:val="00306184"/>
    <w:rsid w:val="003117B2"/>
    <w:rsid w:val="0031534D"/>
    <w:rsid w:val="00315528"/>
    <w:rsid w:val="00321BF1"/>
    <w:rsid w:val="00321F52"/>
    <w:rsid w:val="00322CB8"/>
    <w:rsid w:val="00333127"/>
    <w:rsid w:val="00333B11"/>
    <w:rsid w:val="0033517A"/>
    <w:rsid w:val="003365AA"/>
    <w:rsid w:val="00336DDE"/>
    <w:rsid w:val="003375B8"/>
    <w:rsid w:val="003418B0"/>
    <w:rsid w:val="00350BB7"/>
    <w:rsid w:val="0035344B"/>
    <w:rsid w:val="00353911"/>
    <w:rsid w:val="003557D5"/>
    <w:rsid w:val="003573BA"/>
    <w:rsid w:val="00360C82"/>
    <w:rsid w:val="00372904"/>
    <w:rsid w:val="00373644"/>
    <w:rsid w:val="00375A47"/>
    <w:rsid w:val="00375DAC"/>
    <w:rsid w:val="00375DB6"/>
    <w:rsid w:val="0037602B"/>
    <w:rsid w:val="0037635E"/>
    <w:rsid w:val="00381D3E"/>
    <w:rsid w:val="00383B99"/>
    <w:rsid w:val="00390457"/>
    <w:rsid w:val="00391E94"/>
    <w:rsid w:val="00393E43"/>
    <w:rsid w:val="00394F68"/>
    <w:rsid w:val="003970C8"/>
    <w:rsid w:val="0039749A"/>
    <w:rsid w:val="00397712"/>
    <w:rsid w:val="003977CB"/>
    <w:rsid w:val="003B341F"/>
    <w:rsid w:val="003B5785"/>
    <w:rsid w:val="003B6A58"/>
    <w:rsid w:val="003C1A9C"/>
    <w:rsid w:val="003C47FE"/>
    <w:rsid w:val="003C4841"/>
    <w:rsid w:val="003D3892"/>
    <w:rsid w:val="003E1F05"/>
    <w:rsid w:val="003E3B3A"/>
    <w:rsid w:val="003E54B4"/>
    <w:rsid w:val="003E7065"/>
    <w:rsid w:val="003E786A"/>
    <w:rsid w:val="003F0191"/>
    <w:rsid w:val="003F2BA8"/>
    <w:rsid w:val="003F5E07"/>
    <w:rsid w:val="003F6DF1"/>
    <w:rsid w:val="0040092A"/>
    <w:rsid w:val="00405B24"/>
    <w:rsid w:val="00414C87"/>
    <w:rsid w:val="00414FA5"/>
    <w:rsid w:val="004155EC"/>
    <w:rsid w:val="004204E2"/>
    <w:rsid w:val="00422E05"/>
    <w:rsid w:val="0042327E"/>
    <w:rsid w:val="00426302"/>
    <w:rsid w:val="00426CFE"/>
    <w:rsid w:val="00430FC6"/>
    <w:rsid w:val="00431F97"/>
    <w:rsid w:val="0043664C"/>
    <w:rsid w:val="00447432"/>
    <w:rsid w:val="00451248"/>
    <w:rsid w:val="0045185F"/>
    <w:rsid w:val="00463686"/>
    <w:rsid w:val="00463E66"/>
    <w:rsid w:val="004672C2"/>
    <w:rsid w:val="004676E8"/>
    <w:rsid w:val="00470037"/>
    <w:rsid w:val="00475103"/>
    <w:rsid w:val="0047617F"/>
    <w:rsid w:val="00480A0D"/>
    <w:rsid w:val="004813FE"/>
    <w:rsid w:val="00481C97"/>
    <w:rsid w:val="00482C81"/>
    <w:rsid w:val="004867F1"/>
    <w:rsid w:val="00490168"/>
    <w:rsid w:val="00490C63"/>
    <w:rsid w:val="00492049"/>
    <w:rsid w:val="00496406"/>
    <w:rsid w:val="00497D36"/>
    <w:rsid w:val="00497E89"/>
    <w:rsid w:val="004A0CE8"/>
    <w:rsid w:val="004A32EE"/>
    <w:rsid w:val="004A4F10"/>
    <w:rsid w:val="004A648F"/>
    <w:rsid w:val="004B1CD2"/>
    <w:rsid w:val="004B3ECE"/>
    <w:rsid w:val="004B6CCE"/>
    <w:rsid w:val="004C0F03"/>
    <w:rsid w:val="004C519A"/>
    <w:rsid w:val="004C578C"/>
    <w:rsid w:val="004C6AB5"/>
    <w:rsid w:val="004C6BEA"/>
    <w:rsid w:val="004D3044"/>
    <w:rsid w:val="004D366B"/>
    <w:rsid w:val="004D40B1"/>
    <w:rsid w:val="004D4317"/>
    <w:rsid w:val="004D7DBA"/>
    <w:rsid w:val="004E13FD"/>
    <w:rsid w:val="004E53F8"/>
    <w:rsid w:val="004F1251"/>
    <w:rsid w:val="00503C7C"/>
    <w:rsid w:val="0050692F"/>
    <w:rsid w:val="005137FA"/>
    <w:rsid w:val="00514EA4"/>
    <w:rsid w:val="00515FFE"/>
    <w:rsid w:val="00516130"/>
    <w:rsid w:val="00520FD4"/>
    <w:rsid w:val="00522DD5"/>
    <w:rsid w:val="005262DB"/>
    <w:rsid w:val="00533E16"/>
    <w:rsid w:val="00534B75"/>
    <w:rsid w:val="005371E7"/>
    <w:rsid w:val="005375A2"/>
    <w:rsid w:val="005377DC"/>
    <w:rsid w:val="00544110"/>
    <w:rsid w:val="005457E7"/>
    <w:rsid w:val="00546430"/>
    <w:rsid w:val="00546F6B"/>
    <w:rsid w:val="00551636"/>
    <w:rsid w:val="00554C23"/>
    <w:rsid w:val="00562DC0"/>
    <w:rsid w:val="0056459A"/>
    <w:rsid w:val="0057645D"/>
    <w:rsid w:val="005768D5"/>
    <w:rsid w:val="00586071"/>
    <w:rsid w:val="00592FED"/>
    <w:rsid w:val="005B62CF"/>
    <w:rsid w:val="005B6313"/>
    <w:rsid w:val="005B7386"/>
    <w:rsid w:val="005C11FF"/>
    <w:rsid w:val="005C1331"/>
    <w:rsid w:val="005C4016"/>
    <w:rsid w:val="005C4A43"/>
    <w:rsid w:val="005D4D85"/>
    <w:rsid w:val="005E2D35"/>
    <w:rsid w:val="005E7CB9"/>
    <w:rsid w:val="005F2995"/>
    <w:rsid w:val="00600EF7"/>
    <w:rsid w:val="00602357"/>
    <w:rsid w:val="00611AB8"/>
    <w:rsid w:val="00615795"/>
    <w:rsid w:val="00616E7B"/>
    <w:rsid w:val="00616EA0"/>
    <w:rsid w:val="006224A5"/>
    <w:rsid w:val="00632DC6"/>
    <w:rsid w:val="00633638"/>
    <w:rsid w:val="006373CD"/>
    <w:rsid w:val="00637861"/>
    <w:rsid w:val="00637B20"/>
    <w:rsid w:val="006403B7"/>
    <w:rsid w:val="00647421"/>
    <w:rsid w:val="00647D03"/>
    <w:rsid w:val="00650C26"/>
    <w:rsid w:val="00650E6C"/>
    <w:rsid w:val="00652E28"/>
    <w:rsid w:val="006542F9"/>
    <w:rsid w:val="006612B2"/>
    <w:rsid w:val="006613D7"/>
    <w:rsid w:val="00662A0A"/>
    <w:rsid w:val="00665386"/>
    <w:rsid w:val="00667963"/>
    <w:rsid w:val="00670C01"/>
    <w:rsid w:val="006733DE"/>
    <w:rsid w:val="00675E96"/>
    <w:rsid w:val="006770BB"/>
    <w:rsid w:val="00680DF0"/>
    <w:rsid w:val="0068533C"/>
    <w:rsid w:val="006854AD"/>
    <w:rsid w:val="006855A8"/>
    <w:rsid w:val="00685805"/>
    <w:rsid w:val="00687850"/>
    <w:rsid w:val="00690490"/>
    <w:rsid w:val="00694E13"/>
    <w:rsid w:val="006A13CB"/>
    <w:rsid w:val="006A14AD"/>
    <w:rsid w:val="006A471F"/>
    <w:rsid w:val="006A60E4"/>
    <w:rsid w:val="006A6BDF"/>
    <w:rsid w:val="006A783B"/>
    <w:rsid w:val="006B3454"/>
    <w:rsid w:val="006B73B9"/>
    <w:rsid w:val="006C7D9F"/>
    <w:rsid w:val="006D0816"/>
    <w:rsid w:val="006D2AB7"/>
    <w:rsid w:val="006E0025"/>
    <w:rsid w:val="006E3644"/>
    <w:rsid w:val="006E4E68"/>
    <w:rsid w:val="006E5DF8"/>
    <w:rsid w:val="006E601C"/>
    <w:rsid w:val="006F108C"/>
    <w:rsid w:val="006F510B"/>
    <w:rsid w:val="006F7C82"/>
    <w:rsid w:val="00700A23"/>
    <w:rsid w:val="0070108F"/>
    <w:rsid w:val="007040DF"/>
    <w:rsid w:val="007100E3"/>
    <w:rsid w:val="00712A25"/>
    <w:rsid w:val="007141AA"/>
    <w:rsid w:val="0071796F"/>
    <w:rsid w:val="00717EDD"/>
    <w:rsid w:val="00720EDD"/>
    <w:rsid w:val="007228A8"/>
    <w:rsid w:val="0073092E"/>
    <w:rsid w:val="00733489"/>
    <w:rsid w:val="00734B42"/>
    <w:rsid w:val="00734D6D"/>
    <w:rsid w:val="007368A6"/>
    <w:rsid w:val="007410D5"/>
    <w:rsid w:val="00747C14"/>
    <w:rsid w:val="00750B2F"/>
    <w:rsid w:val="00752D6D"/>
    <w:rsid w:val="00760E0A"/>
    <w:rsid w:val="00763141"/>
    <w:rsid w:val="00764E84"/>
    <w:rsid w:val="007675E9"/>
    <w:rsid w:val="00772EFB"/>
    <w:rsid w:val="00776D9C"/>
    <w:rsid w:val="007802DA"/>
    <w:rsid w:val="00780D7E"/>
    <w:rsid w:val="007828E5"/>
    <w:rsid w:val="007828F1"/>
    <w:rsid w:val="007835B8"/>
    <w:rsid w:val="007903B3"/>
    <w:rsid w:val="00790F54"/>
    <w:rsid w:val="00792446"/>
    <w:rsid w:val="007A12DA"/>
    <w:rsid w:val="007A6E65"/>
    <w:rsid w:val="007A7444"/>
    <w:rsid w:val="007B26F9"/>
    <w:rsid w:val="007C00D5"/>
    <w:rsid w:val="007C3C8C"/>
    <w:rsid w:val="007C65DF"/>
    <w:rsid w:val="007D170F"/>
    <w:rsid w:val="007D3DE0"/>
    <w:rsid w:val="007D5A90"/>
    <w:rsid w:val="007D7015"/>
    <w:rsid w:val="007E7EFF"/>
    <w:rsid w:val="007F4DED"/>
    <w:rsid w:val="007F5A5C"/>
    <w:rsid w:val="00801172"/>
    <w:rsid w:val="00801581"/>
    <w:rsid w:val="008032D3"/>
    <w:rsid w:val="0080460B"/>
    <w:rsid w:val="00805B26"/>
    <w:rsid w:val="0081066A"/>
    <w:rsid w:val="00815255"/>
    <w:rsid w:val="0081626E"/>
    <w:rsid w:val="0081698A"/>
    <w:rsid w:val="008205B3"/>
    <w:rsid w:val="008209E5"/>
    <w:rsid w:val="00820C2E"/>
    <w:rsid w:val="0082165F"/>
    <w:rsid w:val="00822C3D"/>
    <w:rsid w:val="00823480"/>
    <w:rsid w:val="00826BCA"/>
    <w:rsid w:val="00827357"/>
    <w:rsid w:val="00827AF7"/>
    <w:rsid w:val="00827EE9"/>
    <w:rsid w:val="00833A23"/>
    <w:rsid w:val="008375BC"/>
    <w:rsid w:val="008402EF"/>
    <w:rsid w:val="008470FF"/>
    <w:rsid w:val="00847803"/>
    <w:rsid w:val="00850F43"/>
    <w:rsid w:val="00854DA8"/>
    <w:rsid w:val="00855C7D"/>
    <w:rsid w:val="00857194"/>
    <w:rsid w:val="00862C9B"/>
    <w:rsid w:val="008645C0"/>
    <w:rsid w:val="008749FB"/>
    <w:rsid w:val="008814DE"/>
    <w:rsid w:val="008937FC"/>
    <w:rsid w:val="0089386E"/>
    <w:rsid w:val="00894300"/>
    <w:rsid w:val="0089549F"/>
    <w:rsid w:val="008A3555"/>
    <w:rsid w:val="008B3E86"/>
    <w:rsid w:val="008B6D81"/>
    <w:rsid w:val="008B71D7"/>
    <w:rsid w:val="008C7B42"/>
    <w:rsid w:val="008D1A0F"/>
    <w:rsid w:val="008D3739"/>
    <w:rsid w:val="008D379E"/>
    <w:rsid w:val="008E47F7"/>
    <w:rsid w:val="008F0BB7"/>
    <w:rsid w:val="008F0CF2"/>
    <w:rsid w:val="008F1040"/>
    <w:rsid w:val="008F49F7"/>
    <w:rsid w:val="008F4FE5"/>
    <w:rsid w:val="008F62F1"/>
    <w:rsid w:val="008F6EAE"/>
    <w:rsid w:val="009049E6"/>
    <w:rsid w:val="00906640"/>
    <w:rsid w:val="00906F26"/>
    <w:rsid w:val="0092217B"/>
    <w:rsid w:val="0092222D"/>
    <w:rsid w:val="009227D1"/>
    <w:rsid w:val="009240DC"/>
    <w:rsid w:val="0092415B"/>
    <w:rsid w:val="00925FF7"/>
    <w:rsid w:val="00927170"/>
    <w:rsid w:val="0092793E"/>
    <w:rsid w:val="009341F6"/>
    <w:rsid w:val="00937107"/>
    <w:rsid w:val="00937D98"/>
    <w:rsid w:val="00937F7E"/>
    <w:rsid w:val="0094153F"/>
    <w:rsid w:val="00947C14"/>
    <w:rsid w:val="009524C0"/>
    <w:rsid w:val="00954F84"/>
    <w:rsid w:val="00955C0E"/>
    <w:rsid w:val="00956F40"/>
    <w:rsid w:val="009604DF"/>
    <w:rsid w:val="009611FD"/>
    <w:rsid w:val="009679FB"/>
    <w:rsid w:val="009732CF"/>
    <w:rsid w:val="0097419A"/>
    <w:rsid w:val="00980B0E"/>
    <w:rsid w:val="00981ABF"/>
    <w:rsid w:val="00984E98"/>
    <w:rsid w:val="0098523C"/>
    <w:rsid w:val="0098650A"/>
    <w:rsid w:val="00997338"/>
    <w:rsid w:val="00997DA3"/>
    <w:rsid w:val="009A018D"/>
    <w:rsid w:val="009A0826"/>
    <w:rsid w:val="009A0D87"/>
    <w:rsid w:val="009A38F5"/>
    <w:rsid w:val="009B2224"/>
    <w:rsid w:val="009B4DCF"/>
    <w:rsid w:val="009B602F"/>
    <w:rsid w:val="009C038F"/>
    <w:rsid w:val="009C3602"/>
    <w:rsid w:val="009C602D"/>
    <w:rsid w:val="009D21DF"/>
    <w:rsid w:val="009D3B14"/>
    <w:rsid w:val="009D4DA9"/>
    <w:rsid w:val="009E044C"/>
    <w:rsid w:val="009E08DB"/>
    <w:rsid w:val="009E634B"/>
    <w:rsid w:val="009F2401"/>
    <w:rsid w:val="009F4C50"/>
    <w:rsid w:val="009F755C"/>
    <w:rsid w:val="00A008DC"/>
    <w:rsid w:val="00A10B9D"/>
    <w:rsid w:val="00A16B1B"/>
    <w:rsid w:val="00A202D9"/>
    <w:rsid w:val="00A234FB"/>
    <w:rsid w:val="00A237EE"/>
    <w:rsid w:val="00A2558B"/>
    <w:rsid w:val="00A3054C"/>
    <w:rsid w:val="00A33F1F"/>
    <w:rsid w:val="00A412A5"/>
    <w:rsid w:val="00A42AF0"/>
    <w:rsid w:val="00A46E13"/>
    <w:rsid w:val="00A47356"/>
    <w:rsid w:val="00A51AB5"/>
    <w:rsid w:val="00A551D0"/>
    <w:rsid w:val="00A62AE4"/>
    <w:rsid w:val="00A65B7C"/>
    <w:rsid w:val="00A67446"/>
    <w:rsid w:val="00A83118"/>
    <w:rsid w:val="00A83710"/>
    <w:rsid w:val="00A84E08"/>
    <w:rsid w:val="00A922E4"/>
    <w:rsid w:val="00A95581"/>
    <w:rsid w:val="00A961B0"/>
    <w:rsid w:val="00AA24D4"/>
    <w:rsid w:val="00AA333D"/>
    <w:rsid w:val="00AA5395"/>
    <w:rsid w:val="00AA7558"/>
    <w:rsid w:val="00AB3A13"/>
    <w:rsid w:val="00AB5F08"/>
    <w:rsid w:val="00AC4190"/>
    <w:rsid w:val="00AC6396"/>
    <w:rsid w:val="00AC670C"/>
    <w:rsid w:val="00AC7741"/>
    <w:rsid w:val="00AD021D"/>
    <w:rsid w:val="00AD2CAD"/>
    <w:rsid w:val="00AD3B82"/>
    <w:rsid w:val="00AD5D89"/>
    <w:rsid w:val="00AE5339"/>
    <w:rsid w:val="00AE5645"/>
    <w:rsid w:val="00AE5A3F"/>
    <w:rsid w:val="00AE6386"/>
    <w:rsid w:val="00AE76B5"/>
    <w:rsid w:val="00AF094E"/>
    <w:rsid w:val="00B00678"/>
    <w:rsid w:val="00B01DAC"/>
    <w:rsid w:val="00B0695E"/>
    <w:rsid w:val="00B11721"/>
    <w:rsid w:val="00B144E6"/>
    <w:rsid w:val="00B14603"/>
    <w:rsid w:val="00B14CA3"/>
    <w:rsid w:val="00B150A3"/>
    <w:rsid w:val="00B22371"/>
    <w:rsid w:val="00B26F2B"/>
    <w:rsid w:val="00B30A44"/>
    <w:rsid w:val="00B31144"/>
    <w:rsid w:val="00B3170F"/>
    <w:rsid w:val="00B31820"/>
    <w:rsid w:val="00B33C00"/>
    <w:rsid w:val="00B37DBC"/>
    <w:rsid w:val="00B40896"/>
    <w:rsid w:val="00B418E2"/>
    <w:rsid w:val="00B41B9A"/>
    <w:rsid w:val="00B4487D"/>
    <w:rsid w:val="00B44AD2"/>
    <w:rsid w:val="00B45A43"/>
    <w:rsid w:val="00B50FFD"/>
    <w:rsid w:val="00B54525"/>
    <w:rsid w:val="00B54DD9"/>
    <w:rsid w:val="00B563AD"/>
    <w:rsid w:val="00B565B6"/>
    <w:rsid w:val="00B56B30"/>
    <w:rsid w:val="00B6408E"/>
    <w:rsid w:val="00B665BD"/>
    <w:rsid w:val="00B67061"/>
    <w:rsid w:val="00B713E5"/>
    <w:rsid w:val="00B714E5"/>
    <w:rsid w:val="00B728E4"/>
    <w:rsid w:val="00B7310C"/>
    <w:rsid w:val="00B73C62"/>
    <w:rsid w:val="00B73E74"/>
    <w:rsid w:val="00B750C9"/>
    <w:rsid w:val="00B775BB"/>
    <w:rsid w:val="00B8240C"/>
    <w:rsid w:val="00B826C8"/>
    <w:rsid w:val="00B85DB9"/>
    <w:rsid w:val="00B90FCA"/>
    <w:rsid w:val="00B9722D"/>
    <w:rsid w:val="00B97A3B"/>
    <w:rsid w:val="00BA0286"/>
    <w:rsid w:val="00BA04AC"/>
    <w:rsid w:val="00BA13B4"/>
    <w:rsid w:val="00BA2DB1"/>
    <w:rsid w:val="00BA46BC"/>
    <w:rsid w:val="00BA7364"/>
    <w:rsid w:val="00BB3268"/>
    <w:rsid w:val="00BB44E7"/>
    <w:rsid w:val="00BC1172"/>
    <w:rsid w:val="00BD1E7B"/>
    <w:rsid w:val="00BD5202"/>
    <w:rsid w:val="00BD54C6"/>
    <w:rsid w:val="00BD7275"/>
    <w:rsid w:val="00BE2573"/>
    <w:rsid w:val="00BE3607"/>
    <w:rsid w:val="00BE5F6F"/>
    <w:rsid w:val="00BE6BD0"/>
    <w:rsid w:val="00BF58EB"/>
    <w:rsid w:val="00C01315"/>
    <w:rsid w:val="00C029FE"/>
    <w:rsid w:val="00C02AE7"/>
    <w:rsid w:val="00C06C64"/>
    <w:rsid w:val="00C11868"/>
    <w:rsid w:val="00C14273"/>
    <w:rsid w:val="00C1766E"/>
    <w:rsid w:val="00C25A49"/>
    <w:rsid w:val="00C26629"/>
    <w:rsid w:val="00C32929"/>
    <w:rsid w:val="00C44A4B"/>
    <w:rsid w:val="00C50F62"/>
    <w:rsid w:val="00C559ED"/>
    <w:rsid w:val="00C56337"/>
    <w:rsid w:val="00C57F5B"/>
    <w:rsid w:val="00C62EA2"/>
    <w:rsid w:val="00C63C0B"/>
    <w:rsid w:val="00C65732"/>
    <w:rsid w:val="00C676CE"/>
    <w:rsid w:val="00C7033B"/>
    <w:rsid w:val="00C72B92"/>
    <w:rsid w:val="00C754A0"/>
    <w:rsid w:val="00C765EF"/>
    <w:rsid w:val="00C82182"/>
    <w:rsid w:val="00C835B8"/>
    <w:rsid w:val="00C84448"/>
    <w:rsid w:val="00C85C53"/>
    <w:rsid w:val="00C86DB8"/>
    <w:rsid w:val="00C900FE"/>
    <w:rsid w:val="00C90D8C"/>
    <w:rsid w:val="00C93874"/>
    <w:rsid w:val="00C94DA2"/>
    <w:rsid w:val="00C955E4"/>
    <w:rsid w:val="00C956B2"/>
    <w:rsid w:val="00C9703E"/>
    <w:rsid w:val="00C9704C"/>
    <w:rsid w:val="00CA2BA3"/>
    <w:rsid w:val="00CB3391"/>
    <w:rsid w:val="00CB6C67"/>
    <w:rsid w:val="00CC0B13"/>
    <w:rsid w:val="00CC1D35"/>
    <w:rsid w:val="00CC358C"/>
    <w:rsid w:val="00CC6EE8"/>
    <w:rsid w:val="00CC7070"/>
    <w:rsid w:val="00CD1E3A"/>
    <w:rsid w:val="00CD4BF5"/>
    <w:rsid w:val="00CE374D"/>
    <w:rsid w:val="00CE38AC"/>
    <w:rsid w:val="00CF1A16"/>
    <w:rsid w:val="00CF2AFE"/>
    <w:rsid w:val="00CF7087"/>
    <w:rsid w:val="00D00C4C"/>
    <w:rsid w:val="00D01548"/>
    <w:rsid w:val="00D0235E"/>
    <w:rsid w:val="00D02A50"/>
    <w:rsid w:val="00D03902"/>
    <w:rsid w:val="00D059AF"/>
    <w:rsid w:val="00D07573"/>
    <w:rsid w:val="00D10299"/>
    <w:rsid w:val="00D11241"/>
    <w:rsid w:val="00D11425"/>
    <w:rsid w:val="00D11D60"/>
    <w:rsid w:val="00D14859"/>
    <w:rsid w:val="00D2132A"/>
    <w:rsid w:val="00D2214D"/>
    <w:rsid w:val="00D256CC"/>
    <w:rsid w:val="00D25800"/>
    <w:rsid w:val="00D265E2"/>
    <w:rsid w:val="00D32617"/>
    <w:rsid w:val="00D350DF"/>
    <w:rsid w:val="00D35C28"/>
    <w:rsid w:val="00D40B4E"/>
    <w:rsid w:val="00D41705"/>
    <w:rsid w:val="00D43978"/>
    <w:rsid w:val="00D44DF2"/>
    <w:rsid w:val="00D478E0"/>
    <w:rsid w:val="00D50644"/>
    <w:rsid w:val="00D536A5"/>
    <w:rsid w:val="00D53B9A"/>
    <w:rsid w:val="00D54D0B"/>
    <w:rsid w:val="00D55C5C"/>
    <w:rsid w:val="00D63A63"/>
    <w:rsid w:val="00D667EF"/>
    <w:rsid w:val="00D7063C"/>
    <w:rsid w:val="00D707C3"/>
    <w:rsid w:val="00D73F5A"/>
    <w:rsid w:val="00D77024"/>
    <w:rsid w:val="00D810DB"/>
    <w:rsid w:val="00D87CA2"/>
    <w:rsid w:val="00D90F81"/>
    <w:rsid w:val="00D93444"/>
    <w:rsid w:val="00D949EC"/>
    <w:rsid w:val="00D95F9B"/>
    <w:rsid w:val="00D97029"/>
    <w:rsid w:val="00DA02E6"/>
    <w:rsid w:val="00DA318A"/>
    <w:rsid w:val="00DA3F93"/>
    <w:rsid w:val="00DA477D"/>
    <w:rsid w:val="00DB2C54"/>
    <w:rsid w:val="00DB2DE2"/>
    <w:rsid w:val="00DC079F"/>
    <w:rsid w:val="00DC0F72"/>
    <w:rsid w:val="00DD194A"/>
    <w:rsid w:val="00DD2F56"/>
    <w:rsid w:val="00DD781D"/>
    <w:rsid w:val="00DE26F4"/>
    <w:rsid w:val="00DE7EFA"/>
    <w:rsid w:val="00DF24AC"/>
    <w:rsid w:val="00DF4A0E"/>
    <w:rsid w:val="00DF6046"/>
    <w:rsid w:val="00DF6286"/>
    <w:rsid w:val="00E003D4"/>
    <w:rsid w:val="00E00991"/>
    <w:rsid w:val="00E00EB6"/>
    <w:rsid w:val="00E02A5D"/>
    <w:rsid w:val="00E079B1"/>
    <w:rsid w:val="00E07A99"/>
    <w:rsid w:val="00E126CD"/>
    <w:rsid w:val="00E13072"/>
    <w:rsid w:val="00E14AA3"/>
    <w:rsid w:val="00E15053"/>
    <w:rsid w:val="00E17FE3"/>
    <w:rsid w:val="00E22B7B"/>
    <w:rsid w:val="00E25F03"/>
    <w:rsid w:val="00E270F0"/>
    <w:rsid w:val="00E302B1"/>
    <w:rsid w:val="00E30ED4"/>
    <w:rsid w:val="00E3351B"/>
    <w:rsid w:val="00E40AB5"/>
    <w:rsid w:val="00E44093"/>
    <w:rsid w:val="00E447DB"/>
    <w:rsid w:val="00E45527"/>
    <w:rsid w:val="00E467C2"/>
    <w:rsid w:val="00E531ED"/>
    <w:rsid w:val="00E53E15"/>
    <w:rsid w:val="00E55C65"/>
    <w:rsid w:val="00E616E4"/>
    <w:rsid w:val="00E6365B"/>
    <w:rsid w:val="00E711E9"/>
    <w:rsid w:val="00E74B52"/>
    <w:rsid w:val="00E77BD7"/>
    <w:rsid w:val="00E80907"/>
    <w:rsid w:val="00E81B4B"/>
    <w:rsid w:val="00E863E0"/>
    <w:rsid w:val="00E872CF"/>
    <w:rsid w:val="00E96F81"/>
    <w:rsid w:val="00EA34E9"/>
    <w:rsid w:val="00EA453C"/>
    <w:rsid w:val="00EA4F13"/>
    <w:rsid w:val="00EB010F"/>
    <w:rsid w:val="00EB033F"/>
    <w:rsid w:val="00EB174A"/>
    <w:rsid w:val="00EB1E62"/>
    <w:rsid w:val="00EB31AF"/>
    <w:rsid w:val="00EB338A"/>
    <w:rsid w:val="00EB3543"/>
    <w:rsid w:val="00EB439D"/>
    <w:rsid w:val="00EC07DE"/>
    <w:rsid w:val="00EC5A4C"/>
    <w:rsid w:val="00ED2316"/>
    <w:rsid w:val="00ED3EF1"/>
    <w:rsid w:val="00EE0A4D"/>
    <w:rsid w:val="00EE1BE9"/>
    <w:rsid w:val="00EE33EB"/>
    <w:rsid w:val="00EE5DBF"/>
    <w:rsid w:val="00EF34A6"/>
    <w:rsid w:val="00EF5EB8"/>
    <w:rsid w:val="00F00D53"/>
    <w:rsid w:val="00F033EF"/>
    <w:rsid w:val="00F1134B"/>
    <w:rsid w:val="00F1137B"/>
    <w:rsid w:val="00F11539"/>
    <w:rsid w:val="00F11C62"/>
    <w:rsid w:val="00F20793"/>
    <w:rsid w:val="00F30690"/>
    <w:rsid w:val="00F31BC3"/>
    <w:rsid w:val="00F3215E"/>
    <w:rsid w:val="00F36CCC"/>
    <w:rsid w:val="00F4339F"/>
    <w:rsid w:val="00F45745"/>
    <w:rsid w:val="00F45BBB"/>
    <w:rsid w:val="00F461A7"/>
    <w:rsid w:val="00F54412"/>
    <w:rsid w:val="00F54464"/>
    <w:rsid w:val="00F54982"/>
    <w:rsid w:val="00F60322"/>
    <w:rsid w:val="00F61627"/>
    <w:rsid w:val="00F639B7"/>
    <w:rsid w:val="00F65153"/>
    <w:rsid w:val="00F66405"/>
    <w:rsid w:val="00F72A67"/>
    <w:rsid w:val="00F7503F"/>
    <w:rsid w:val="00F76867"/>
    <w:rsid w:val="00F77411"/>
    <w:rsid w:val="00F8183E"/>
    <w:rsid w:val="00F829E9"/>
    <w:rsid w:val="00F87181"/>
    <w:rsid w:val="00F94F00"/>
    <w:rsid w:val="00FA13CD"/>
    <w:rsid w:val="00FA3766"/>
    <w:rsid w:val="00FA44F6"/>
    <w:rsid w:val="00FA53FF"/>
    <w:rsid w:val="00FA5D10"/>
    <w:rsid w:val="00FB00BE"/>
    <w:rsid w:val="00FC019C"/>
    <w:rsid w:val="00FC088E"/>
    <w:rsid w:val="00FC3C1D"/>
    <w:rsid w:val="00FC45F4"/>
    <w:rsid w:val="00FD13A2"/>
    <w:rsid w:val="00FD5BB9"/>
    <w:rsid w:val="00FD69B3"/>
    <w:rsid w:val="00FE386D"/>
    <w:rsid w:val="00FE387E"/>
    <w:rsid w:val="00FE3E63"/>
    <w:rsid w:val="00FF37A6"/>
    <w:rsid w:val="00FF4553"/>
    <w:rsid w:val="00F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7FB651F"/>
  <w15:docId w15:val="{44B4401E-9A3E-4724-AB79-CF6DD58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9F"/>
    <w:pPr>
      <w:ind w:left="720"/>
      <w:contextualSpacing/>
    </w:pPr>
  </w:style>
  <w:style w:type="paragraph" w:styleId="Header">
    <w:name w:val="header"/>
    <w:basedOn w:val="Normal"/>
    <w:link w:val="HeaderChar"/>
    <w:uiPriority w:val="99"/>
    <w:unhideWhenUsed/>
    <w:rsid w:val="00F4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39F"/>
  </w:style>
  <w:style w:type="paragraph" w:styleId="Footer">
    <w:name w:val="footer"/>
    <w:basedOn w:val="Normal"/>
    <w:link w:val="FooterChar"/>
    <w:uiPriority w:val="99"/>
    <w:unhideWhenUsed/>
    <w:rsid w:val="00F4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9F"/>
  </w:style>
  <w:style w:type="paragraph" w:styleId="BalloonText">
    <w:name w:val="Balloon Text"/>
    <w:basedOn w:val="Normal"/>
    <w:link w:val="BalloonTextChar"/>
    <w:uiPriority w:val="99"/>
    <w:semiHidden/>
    <w:unhideWhenUsed/>
    <w:rsid w:val="00F4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9F"/>
    <w:rPr>
      <w:rFonts w:ascii="Tahoma" w:hAnsi="Tahoma" w:cs="Tahoma"/>
      <w:sz w:val="16"/>
      <w:szCs w:val="16"/>
    </w:rPr>
  </w:style>
  <w:style w:type="paragraph" w:styleId="FootnoteText">
    <w:name w:val="footnote text"/>
    <w:basedOn w:val="Normal"/>
    <w:link w:val="FootnoteTextChar"/>
    <w:unhideWhenUsed/>
    <w:rsid w:val="00FC088E"/>
    <w:rPr>
      <w:rFonts w:ascii="Calibri" w:eastAsia="Calibri" w:hAnsi="Calibri" w:cs="Times New Roman"/>
      <w:sz w:val="20"/>
      <w:szCs w:val="20"/>
    </w:rPr>
  </w:style>
  <w:style w:type="character" w:customStyle="1" w:styleId="FootnoteTextChar">
    <w:name w:val="Footnote Text Char"/>
    <w:basedOn w:val="DefaultParagraphFont"/>
    <w:link w:val="FootnoteText"/>
    <w:rsid w:val="00FC088E"/>
    <w:rPr>
      <w:rFonts w:ascii="Calibri" w:eastAsia="Calibri" w:hAnsi="Calibri" w:cs="Times New Roman"/>
      <w:sz w:val="20"/>
      <w:szCs w:val="20"/>
    </w:rPr>
  </w:style>
  <w:style w:type="character" w:styleId="FootnoteReference">
    <w:name w:val="footnote reference"/>
    <w:unhideWhenUsed/>
    <w:rsid w:val="00FC088E"/>
    <w:rPr>
      <w:vertAlign w:val="superscript"/>
    </w:rPr>
  </w:style>
  <w:style w:type="character" w:styleId="CommentReference">
    <w:name w:val="annotation reference"/>
    <w:basedOn w:val="DefaultParagraphFont"/>
    <w:uiPriority w:val="99"/>
    <w:semiHidden/>
    <w:unhideWhenUsed/>
    <w:rsid w:val="002D1778"/>
    <w:rPr>
      <w:sz w:val="16"/>
      <w:szCs w:val="16"/>
    </w:rPr>
  </w:style>
  <w:style w:type="paragraph" w:styleId="CommentText">
    <w:name w:val="annotation text"/>
    <w:basedOn w:val="Normal"/>
    <w:link w:val="CommentTextChar"/>
    <w:uiPriority w:val="99"/>
    <w:semiHidden/>
    <w:unhideWhenUsed/>
    <w:rsid w:val="002D1778"/>
    <w:pPr>
      <w:spacing w:line="240" w:lineRule="auto"/>
    </w:pPr>
    <w:rPr>
      <w:sz w:val="20"/>
      <w:szCs w:val="20"/>
    </w:rPr>
  </w:style>
  <w:style w:type="character" w:customStyle="1" w:styleId="CommentTextChar">
    <w:name w:val="Comment Text Char"/>
    <w:basedOn w:val="DefaultParagraphFont"/>
    <w:link w:val="CommentText"/>
    <w:uiPriority w:val="99"/>
    <w:semiHidden/>
    <w:rsid w:val="002D1778"/>
    <w:rPr>
      <w:sz w:val="20"/>
      <w:szCs w:val="20"/>
    </w:rPr>
  </w:style>
  <w:style w:type="paragraph" w:styleId="CommentSubject">
    <w:name w:val="annotation subject"/>
    <w:basedOn w:val="CommentText"/>
    <w:next w:val="CommentText"/>
    <w:link w:val="CommentSubjectChar"/>
    <w:uiPriority w:val="99"/>
    <w:semiHidden/>
    <w:unhideWhenUsed/>
    <w:rsid w:val="002D1778"/>
    <w:rPr>
      <w:b/>
      <w:bCs/>
    </w:rPr>
  </w:style>
  <w:style w:type="character" w:customStyle="1" w:styleId="CommentSubjectChar">
    <w:name w:val="Comment Subject Char"/>
    <w:basedOn w:val="CommentTextChar"/>
    <w:link w:val="CommentSubject"/>
    <w:uiPriority w:val="99"/>
    <w:semiHidden/>
    <w:rsid w:val="002D1778"/>
    <w:rPr>
      <w:b/>
      <w:bCs/>
      <w:sz w:val="20"/>
      <w:szCs w:val="20"/>
    </w:rPr>
  </w:style>
  <w:style w:type="table" w:styleId="TableGrid">
    <w:name w:val="Table Grid"/>
    <w:basedOn w:val="TableNormal"/>
    <w:uiPriority w:val="59"/>
    <w:rsid w:val="0070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C6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27170"/>
    <w:pPr>
      <w:spacing w:after="0" w:line="240" w:lineRule="auto"/>
    </w:pPr>
  </w:style>
  <w:style w:type="paragraph" w:styleId="EndnoteText">
    <w:name w:val="endnote text"/>
    <w:basedOn w:val="Normal"/>
    <w:link w:val="EndnoteTextChar"/>
    <w:uiPriority w:val="99"/>
    <w:semiHidden/>
    <w:unhideWhenUsed/>
    <w:rsid w:val="00515F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FFE"/>
    <w:rPr>
      <w:sz w:val="20"/>
      <w:szCs w:val="20"/>
    </w:rPr>
  </w:style>
  <w:style w:type="character" w:styleId="EndnoteReference">
    <w:name w:val="endnote reference"/>
    <w:basedOn w:val="DefaultParagraphFont"/>
    <w:uiPriority w:val="99"/>
    <w:semiHidden/>
    <w:unhideWhenUsed/>
    <w:rsid w:val="00515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186">
      <w:bodyDiv w:val="1"/>
      <w:marLeft w:val="0"/>
      <w:marRight w:val="0"/>
      <w:marTop w:val="0"/>
      <w:marBottom w:val="0"/>
      <w:divBdr>
        <w:top w:val="none" w:sz="0" w:space="0" w:color="auto"/>
        <w:left w:val="none" w:sz="0" w:space="0" w:color="auto"/>
        <w:bottom w:val="none" w:sz="0" w:space="0" w:color="auto"/>
        <w:right w:val="none" w:sz="0" w:space="0" w:color="auto"/>
      </w:divBdr>
    </w:div>
    <w:div w:id="38365208">
      <w:bodyDiv w:val="1"/>
      <w:marLeft w:val="0"/>
      <w:marRight w:val="0"/>
      <w:marTop w:val="0"/>
      <w:marBottom w:val="0"/>
      <w:divBdr>
        <w:top w:val="none" w:sz="0" w:space="0" w:color="auto"/>
        <w:left w:val="none" w:sz="0" w:space="0" w:color="auto"/>
        <w:bottom w:val="none" w:sz="0" w:space="0" w:color="auto"/>
        <w:right w:val="none" w:sz="0" w:space="0" w:color="auto"/>
      </w:divBdr>
    </w:div>
    <w:div w:id="39327834">
      <w:bodyDiv w:val="1"/>
      <w:marLeft w:val="0"/>
      <w:marRight w:val="0"/>
      <w:marTop w:val="0"/>
      <w:marBottom w:val="0"/>
      <w:divBdr>
        <w:top w:val="none" w:sz="0" w:space="0" w:color="auto"/>
        <w:left w:val="none" w:sz="0" w:space="0" w:color="auto"/>
        <w:bottom w:val="none" w:sz="0" w:space="0" w:color="auto"/>
        <w:right w:val="none" w:sz="0" w:space="0" w:color="auto"/>
      </w:divBdr>
    </w:div>
    <w:div w:id="47537969">
      <w:bodyDiv w:val="1"/>
      <w:marLeft w:val="0"/>
      <w:marRight w:val="0"/>
      <w:marTop w:val="0"/>
      <w:marBottom w:val="0"/>
      <w:divBdr>
        <w:top w:val="none" w:sz="0" w:space="0" w:color="auto"/>
        <w:left w:val="none" w:sz="0" w:space="0" w:color="auto"/>
        <w:bottom w:val="none" w:sz="0" w:space="0" w:color="auto"/>
        <w:right w:val="none" w:sz="0" w:space="0" w:color="auto"/>
      </w:divBdr>
    </w:div>
    <w:div w:id="57171147">
      <w:bodyDiv w:val="1"/>
      <w:marLeft w:val="0"/>
      <w:marRight w:val="0"/>
      <w:marTop w:val="0"/>
      <w:marBottom w:val="0"/>
      <w:divBdr>
        <w:top w:val="none" w:sz="0" w:space="0" w:color="auto"/>
        <w:left w:val="none" w:sz="0" w:space="0" w:color="auto"/>
        <w:bottom w:val="none" w:sz="0" w:space="0" w:color="auto"/>
        <w:right w:val="none" w:sz="0" w:space="0" w:color="auto"/>
      </w:divBdr>
    </w:div>
    <w:div w:id="64573301">
      <w:bodyDiv w:val="1"/>
      <w:marLeft w:val="0"/>
      <w:marRight w:val="0"/>
      <w:marTop w:val="0"/>
      <w:marBottom w:val="0"/>
      <w:divBdr>
        <w:top w:val="none" w:sz="0" w:space="0" w:color="auto"/>
        <w:left w:val="none" w:sz="0" w:space="0" w:color="auto"/>
        <w:bottom w:val="none" w:sz="0" w:space="0" w:color="auto"/>
        <w:right w:val="none" w:sz="0" w:space="0" w:color="auto"/>
      </w:divBdr>
    </w:div>
    <w:div w:id="72360798">
      <w:bodyDiv w:val="1"/>
      <w:marLeft w:val="0"/>
      <w:marRight w:val="0"/>
      <w:marTop w:val="0"/>
      <w:marBottom w:val="0"/>
      <w:divBdr>
        <w:top w:val="none" w:sz="0" w:space="0" w:color="auto"/>
        <w:left w:val="none" w:sz="0" w:space="0" w:color="auto"/>
        <w:bottom w:val="none" w:sz="0" w:space="0" w:color="auto"/>
        <w:right w:val="none" w:sz="0" w:space="0" w:color="auto"/>
      </w:divBdr>
    </w:div>
    <w:div w:id="74132764">
      <w:bodyDiv w:val="1"/>
      <w:marLeft w:val="0"/>
      <w:marRight w:val="0"/>
      <w:marTop w:val="0"/>
      <w:marBottom w:val="0"/>
      <w:divBdr>
        <w:top w:val="none" w:sz="0" w:space="0" w:color="auto"/>
        <w:left w:val="none" w:sz="0" w:space="0" w:color="auto"/>
        <w:bottom w:val="none" w:sz="0" w:space="0" w:color="auto"/>
        <w:right w:val="none" w:sz="0" w:space="0" w:color="auto"/>
      </w:divBdr>
    </w:div>
    <w:div w:id="75179355">
      <w:bodyDiv w:val="1"/>
      <w:marLeft w:val="0"/>
      <w:marRight w:val="0"/>
      <w:marTop w:val="0"/>
      <w:marBottom w:val="0"/>
      <w:divBdr>
        <w:top w:val="none" w:sz="0" w:space="0" w:color="auto"/>
        <w:left w:val="none" w:sz="0" w:space="0" w:color="auto"/>
        <w:bottom w:val="none" w:sz="0" w:space="0" w:color="auto"/>
        <w:right w:val="none" w:sz="0" w:space="0" w:color="auto"/>
      </w:divBdr>
    </w:div>
    <w:div w:id="83459119">
      <w:bodyDiv w:val="1"/>
      <w:marLeft w:val="0"/>
      <w:marRight w:val="0"/>
      <w:marTop w:val="0"/>
      <w:marBottom w:val="0"/>
      <w:divBdr>
        <w:top w:val="none" w:sz="0" w:space="0" w:color="auto"/>
        <w:left w:val="none" w:sz="0" w:space="0" w:color="auto"/>
        <w:bottom w:val="none" w:sz="0" w:space="0" w:color="auto"/>
        <w:right w:val="none" w:sz="0" w:space="0" w:color="auto"/>
      </w:divBdr>
    </w:div>
    <w:div w:id="86968752">
      <w:bodyDiv w:val="1"/>
      <w:marLeft w:val="0"/>
      <w:marRight w:val="0"/>
      <w:marTop w:val="0"/>
      <w:marBottom w:val="0"/>
      <w:divBdr>
        <w:top w:val="none" w:sz="0" w:space="0" w:color="auto"/>
        <w:left w:val="none" w:sz="0" w:space="0" w:color="auto"/>
        <w:bottom w:val="none" w:sz="0" w:space="0" w:color="auto"/>
        <w:right w:val="none" w:sz="0" w:space="0" w:color="auto"/>
      </w:divBdr>
    </w:div>
    <w:div w:id="111175087">
      <w:bodyDiv w:val="1"/>
      <w:marLeft w:val="0"/>
      <w:marRight w:val="0"/>
      <w:marTop w:val="0"/>
      <w:marBottom w:val="0"/>
      <w:divBdr>
        <w:top w:val="none" w:sz="0" w:space="0" w:color="auto"/>
        <w:left w:val="none" w:sz="0" w:space="0" w:color="auto"/>
        <w:bottom w:val="none" w:sz="0" w:space="0" w:color="auto"/>
        <w:right w:val="none" w:sz="0" w:space="0" w:color="auto"/>
      </w:divBdr>
    </w:div>
    <w:div w:id="125976623">
      <w:bodyDiv w:val="1"/>
      <w:marLeft w:val="0"/>
      <w:marRight w:val="0"/>
      <w:marTop w:val="0"/>
      <w:marBottom w:val="0"/>
      <w:divBdr>
        <w:top w:val="none" w:sz="0" w:space="0" w:color="auto"/>
        <w:left w:val="none" w:sz="0" w:space="0" w:color="auto"/>
        <w:bottom w:val="none" w:sz="0" w:space="0" w:color="auto"/>
        <w:right w:val="none" w:sz="0" w:space="0" w:color="auto"/>
      </w:divBdr>
    </w:div>
    <w:div w:id="133185210">
      <w:bodyDiv w:val="1"/>
      <w:marLeft w:val="0"/>
      <w:marRight w:val="0"/>
      <w:marTop w:val="0"/>
      <w:marBottom w:val="0"/>
      <w:divBdr>
        <w:top w:val="none" w:sz="0" w:space="0" w:color="auto"/>
        <w:left w:val="none" w:sz="0" w:space="0" w:color="auto"/>
        <w:bottom w:val="none" w:sz="0" w:space="0" w:color="auto"/>
        <w:right w:val="none" w:sz="0" w:space="0" w:color="auto"/>
      </w:divBdr>
    </w:div>
    <w:div w:id="136578003">
      <w:bodyDiv w:val="1"/>
      <w:marLeft w:val="0"/>
      <w:marRight w:val="0"/>
      <w:marTop w:val="0"/>
      <w:marBottom w:val="0"/>
      <w:divBdr>
        <w:top w:val="none" w:sz="0" w:space="0" w:color="auto"/>
        <w:left w:val="none" w:sz="0" w:space="0" w:color="auto"/>
        <w:bottom w:val="none" w:sz="0" w:space="0" w:color="auto"/>
        <w:right w:val="none" w:sz="0" w:space="0" w:color="auto"/>
      </w:divBdr>
    </w:div>
    <w:div w:id="164787135">
      <w:bodyDiv w:val="1"/>
      <w:marLeft w:val="0"/>
      <w:marRight w:val="0"/>
      <w:marTop w:val="0"/>
      <w:marBottom w:val="0"/>
      <w:divBdr>
        <w:top w:val="none" w:sz="0" w:space="0" w:color="auto"/>
        <w:left w:val="none" w:sz="0" w:space="0" w:color="auto"/>
        <w:bottom w:val="none" w:sz="0" w:space="0" w:color="auto"/>
        <w:right w:val="none" w:sz="0" w:space="0" w:color="auto"/>
      </w:divBdr>
    </w:div>
    <w:div w:id="180626113">
      <w:bodyDiv w:val="1"/>
      <w:marLeft w:val="0"/>
      <w:marRight w:val="0"/>
      <w:marTop w:val="0"/>
      <w:marBottom w:val="0"/>
      <w:divBdr>
        <w:top w:val="none" w:sz="0" w:space="0" w:color="auto"/>
        <w:left w:val="none" w:sz="0" w:space="0" w:color="auto"/>
        <w:bottom w:val="none" w:sz="0" w:space="0" w:color="auto"/>
        <w:right w:val="none" w:sz="0" w:space="0" w:color="auto"/>
      </w:divBdr>
    </w:div>
    <w:div w:id="185170828">
      <w:bodyDiv w:val="1"/>
      <w:marLeft w:val="0"/>
      <w:marRight w:val="0"/>
      <w:marTop w:val="0"/>
      <w:marBottom w:val="0"/>
      <w:divBdr>
        <w:top w:val="none" w:sz="0" w:space="0" w:color="auto"/>
        <w:left w:val="none" w:sz="0" w:space="0" w:color="auto"/>
        <w:bottom w:val="none" w:sz="0" w:space="0" w:color="auto"/>
        <w:right w:val="none" w:sz="0" w:space="0" w:color="auto"/>
      </w:divBdr>
    </w:div>
    <w:div w:id="216866523">
      <w:bodyDiv w:val="1"/>
      <w:marLeft w:val="0"/>
      <w:marRight w:val="0"/>
      <w:marTop w:val="0"/>
      <w:marBottom w:val="0"/>
      <w:divBdr>
        <w:top w:val="none" w:sz="0" w:space="0" w:color="auto"/>
        <w:left w:val="none" w:sz="0" w:space="0" w:color="auto"/>
        <w:bottom w:val="none" w:sz="0" w:space="0" w:color="auto"/>
        <w:right w:val="none" w:sz="0" w:space="0" w:color="auto"/>
      </w:divBdr>
    </w:div>
    <w:div w:id="263659648">
      <w:bodyDiv w:val="1"/>
      <w:marLeft w:val="0"/>
      <w:marRight w:val="0"/>
      <w:marTop w:val="0"/>
      <w:marBottom w:val="0"/>
      <w:divBdr>
        <w:top w:val="none" w:sz="0" w:space="0" w:color="auto"/>
        <w:left w:val="none" w:sz="0" w:space="0" w:color="auto"/>
        <w:bottom w:val="none" w:sz="0" w:space="0" w:color="auto"/>
        <w:right w:val="none" w:sz="0" w:space="0" w:color="auto"/>
      </w:divBdr>
    </w:div>
    <w:div w:id="286205292">
      <w:bodyDiv w:val="1"/>
      <w:marLeft w:val="0"/>
      <w:marRight w:val="0"/>
      <w:marTop w:val="0"/>
      <w:marBottom w:val="0"/>
      <w:divBdr>
        <w:top w:val="none" w:sz="0" w:space="0" w:color="auto"/>
        <w:left w:val="none" w:sz="0" w:space="0" w:color="auto"/>
        <w:bottom w:val="none" w:sz="0" w:space="0" w:color="auto"/>
        <w:right w:val="none" w:sz="0" w:space="0" w:color="auto"/>
      </w:divBdr>
    </w:div>
    <w:div w:id="296885179">
      <w:bodyDiv w:val="1"/>
      <w:marLeft w:val="0"/>
      <w:marRight w:val="0"/>
      <w:marTop w:val="0"/>
      <w:marBottom w:val="0"/>
      <w:divBdr>
        <w:top w:val="none" w:sz="0" w:space="0" w:color="auto"/>
        <w:left w:val="none" w:sz="0" w:space="0" w:color="auto"/>
        <w:bottom w:val="none" w:sz="0" w:space="0" w:color="auto"/>
        <w:right w:val="none" w:sz="0" w:space="0" w:color="auto"/>
      </w:divBdr>
    </w:div>
    <w:div w:id="300425764">
      <w:bodyDiv w:val="1"/>
      <w:marLeft w:val="0"/>
      <w:marRight w:val="0"/>
      <w:marTop w:val="0"/>
      <w:marBottom w:val="0"/>
      <w:divBdr>
        <w:top w:val="none" w:sz="0" w:space="0" w:color="auto"/>
        <w:left w:val="none" w:sz="0" w:space="0" w:color="auto"/>
        <w:bottom w:val="none" w:sz="0" w:space="0" w:color="auto"/>
        <w:right w:val="none" w:sz="0" w:space="0" w:color="auto"/>
      </w:divBdr>
    </w:div>
    <w:div w:id="329065111">
      <w:bodyDiv w:val="1"/>
      <w:marLeft w:val="0"/>
      <w:marRight w:val="0"/>
      <w:marTop w:val="0"/>
      <w:marBottom w:val="0"/>
      <w:divBdr>
        <w:top w:val="none" w:sz="0" w:space="0" w:color="auto"/>
        <w:left w:val="none" w:sz="0" w:space="0" w:color="auto"/>
        <w:bottom w:val="none" w:sz="0" w:space="0" w:color="auto"/>
        <w:right w:val="none" w:sz="0" w:space="0" w:color="auto"/>
      </w:divBdr>
    </w:div>
    <w:div w:id="339239498">
      <w:bodyDiv w:val="1"/>
      <w:marLeft w:val="0"/>
      <w:marRight w:val="0"/>
      <w:marTop w:val="0"/>
      <w:marBottom w:val="0"/>
      <w:divBdr>
        <w:top w:val="none" w:sz="0" w:space="0" w:color="auto"/>
        <w:left w:val="none" w:sz="0" w:space="0" w:color="auto"/>
        <w:bottom w:val="none" w:sz="0" w:space="0" w:color="auto"/>
        <w:right w:val="none" w:sz="0" w:space="0" w:color="auto"/>
      </w:divBdr>
    </w:div>
    <w:div w:id="355237812">
      <w:bodyDiv w:val="1"/>
      <w:marLeft w:val="0"/>
      <w:marRight w:val="0"/>
      <w:marTop w:val="0"/>
      <w:marBottom w:val="0"/>
      <w:divBdr>
        <w:top w:val="none" w:sz="0" w:space="0" w:color="auto"/>
        <w:left w:val="none" w:sz="0" w:space="0" w:color="auto"/>
        <w:bottom w:val="none" w:sz="0" w:space="0" w:color="auto"/>
        <w:right w:val="none" w:sz="0" w:space="0" w:color="auto"/>
      </w:divBdr>
    </w:div>
    <w:div w:id="360207130">
      <w:bodyDiv w:val="1"/>
      <w:marLeft w:val="0"/>
      <w:marRight w:val="0"/>
      <w:marTop w:val="0"/>
      <w:marBottom w:val="0"/>
      <w:divBdr>
        <w:top w:val="none" w:sz="0" w:space="0" w:color="auto"/>
        <w:left w:val="none" w:sz="0" w:space="0" w:color="auto"/>
        <w:bottom w:val="none" w:sz="0" w:space="0" w:color="auto"/>
        <w:right w:val="none" w:sz="0" w:space="0" w:color="auto"/>
      </w:divBdr>
    </w:div>
    <w:div w:id="375666434">
      <w:bodyDiv w:val="1"/>
      <w:marLeft w:val="0"/>
      <w:marRight w:val="0"/>
      <w:marTop w:val="0"/>
      <w:marBottom w:val="0"/>
      <w:divBdr>
        <w:top w:val="none" w:sz="0" w:space="0" w:color="auto"/>
        <w:left w:val="none" w:sz="0" w:space="0" w:color="auto"/>
        <w:bottom w:val="none" w:sz="0" w:space="0" w:color="auto"/>
        <w:right w:val="none" w:sz="0" w:space="0" w:color="auto"/>
      </w:divBdr>
    </w:div>
    <w:div w:id="397364380">
      <w:bodyDiv w:val="1"/>
      <w:marLeft w:val="0"/>
      <w:marRight w:val="0"/>
      <w:marTop w:val="0"/>
      <w:marBottom w:val="0"/>
      <w:divBdr>
        <w:top w:val="none" w:sz="0" w:space="0" w:color="auto"/>
        <w:left w:val="none" w:sz="0" w:space="0" w:color="auto"/>
        <w:bottom w:val="none" w:sz="0" w:space="0" w:color="auto"/>
        <w:right w:val="none" w:sz="0" w:space="0" w:color="auto"/>
      </w:divBdr>
    </w:div>
    <w:div w:id="409355053">
      <w:bodyDiv w:val="1"/>
      <w:marLeft w:val="0"/>
      <w:marRight w:val="0"/>
      <w:marTop w:val="0"/>
      <w:marBottom w:val="0"/>
      <w:divBdr>
        <w:top w:val="none" w:sz="0" w:space="0" w:color="auto"/>
        <w:left w:val="none" w:sz="0" w:space="0" w:color="auto"/>
        <w:bottom w:val="none" w:sz="0" w:space="0" w:color="auto"/>
        <w:right w:val="none" w:sz="0" w:space="0" w:color="auto"/>
      </w:divBdr>
    </w:div>
    <w:div w:id="409811309">
      <w:bodyDiv w:val="1"/>
      <w:marLeft w:val="0"/>
      <w:marRight w:val="0"/>
      <w:marTop w:val="0"/>
      <w:marBottom w:val="0"/>
      <w:divBdr>
        <w:top w:val="none" w:sz="0" w:space="0" w:color="auto"/>
        <w:left w:val="none" w:sz="0" w:space="0" w:color="auto"/>
        <w:bottom w:val="none" w:sz="0" w:space="0" w:color="auto"/>
        <w:right w:val="none" w:sz="0" w:space="0" w:color="auto"/>
      </w:divBdr>
    </w:div>
    <w:div w:id="415903607">
      <w:bodyDiv w:val="1"/>
      <w:marLeft w:val="0"/>
      <w:marRight w:val="0"/>
      <w:marTop w:val="0"/>
      <w:marBottom w:val="0"/>
      <w:divBdr>
        <w:top w:val="none" w:sz="0" w:space="0" w:color="auto"/>
        <w:left w:val="none" w:sz="0" w:space="0" w:color="auto"/>
        <w:bottom w:val="none" w:sz="0" w:space="0" w:color="auto"/>
        <w:right w:val="none" w:sz="0" w:space="0" w:color="auto"/>
      </w:divBdr>
    </w:div>
    <w:div w:id="423653151">
      <w:bodyDiv w:val="1"/>
      <w:marLeft w:val="0"/>
      <w:marRight w:val="0"/>
      <w:marTop w:val="0"/>
      <w:marBottom w:val="0"/>
      <w:divBdr>
        <w:top w:val="none" w:sz="0" w:space="0" w:color="auto"/>
        <w:left w:val="none" w:sz="0" w:space="0" w:color="auto"/>
        <w:bottom w:val="none" w:sz="0" w:space="0" w:color="auto"/>
        <w:right w:val="none" w:sz="0" w:space="0" w:color="auto"/>
      </w:divBdr>
    </w:div>
    <w:div w:id="436142864">
      <w:bodyDiv w:val="1"/>
      <w:marLeft w:val="0"/>
      <w:marRight w:val="0"/>
      <w:marTop w:val="0"/>
      <w:marBottom w:val="0"/>
      <w:divBdr>
        <w:top w:val="none" w:sz="0" w:space="0" w:color="auto"/>
        <w:left w:val="none" w:sz="0" w:space="0" w:color="auto"/>
        <w:bottom w:val="none" w:sz="0" w:space="0" w:color="auto"/>
        <w:right w:val="none" w:sz="0" w:space="0" w:color="auto"/>
      </w:divBdr>
    </w:div>
    <w:div w:id="457800267">
      <w:bodyDiv w:val="1"/>
      <w:marLeft w:val="0"/>
      <w:marRight w:val="0"/>
      <w:marTop w:val="0"/>
      <w:marBottom w:val="0"/>
      <w:divBdr>
        <w:top w:val="none" w:sz="0" w:space="0" w:color="auto"/>
        <w:left w:val="none" w:sz="0" w:space="0" w:color="auto"/>
        <w:bottom w:val="none" w:sz="0" w:space="0" w:color="auto"/>
        <w:right w:val="none" w:sz="0" w:space="0" w:color="auto"/>
      </w:divBdr>
    </w:div>
    <w:div w:id="461074409">
      <w:bodyDiv w:val="1"/>
      <w:marLeft w:val="0"/>
      <w:marRight w:val="0"/>
      <w:marTop w:val="0"/>
      <w:marBottom w:val="0"/>
      <w:divBdr>
        <w:top w:val="none" w:sz="0" w:space="0" w:color="auto"/>
        <w:left w:val="none" w:sz="0" w:space="0" w:color="auto"/>
        <w:bottom w:val="none" w:sz="0" w:space="0" w:color="auto"/>
        <w:right w:val="none" w:sz="0" w:space="0" w:color="auto"/>
      </w:divBdr>
    </w:div>
    <w:div w:id="471488545">
      <w:bodyDiv w:val="1"/>
      <w:marLeft w:val="0"/>
      <w:marRight w:val="0"/>
      <w:marTop w:val="0"/>
      <w:marBottom w:val="0"/>
      <w:divBdr>
        <w:top w:val="none" w:sz="0" w:space="0" w:color="auto"/>
        <w:left w:val="none" w:sz="0" w:space="0" w:color="auto"/>
        <w:bottom w:val="none" w:sz="0" w:space="0" w:color="auto"/>
        <w:right w:val="none" w:sz="0" w:space="0" w:color="auto"/>
      </w:divBdr>
    </w:div>
    <w:div w:id="478419958">
      <w:bodyDiv w:val="1"/>
      <w:marLeft w:val="0"/>
      <w:marRight w:val="0"/>
      <w:marTop w:val="0"/>
      <w:marBottom w:val="0"/>
      <w:divBdr>
        <w:top w:val="none" w:sz="0" w:space="0" w:color="auto"/>
        <w:left w:val="none" w:sz="0" w:space="0" w:color="auto"/>
        <w:bottom w:val="none" w:sz="0" w:space="0" w:color="auto"/>
        <w:right w:val="none" w:sz="0" w:space="0" w:color="auto"/>
      </w:divBdr>
    </w:div>
    <w:div w:id="490828488">
      <w:bodyDiv w:val="1"/>
      <w:marLeft w:val="0"/>
      <w:marRight w:val="0"/>
      <w:marTop w:val="0"/>
      <w:marBottom w:val="0"/>
      <w:divBdr>
        <w:top w:val="none" w:sz="0" w:space="0" w:color="auto"/>
        <w:left w:val="none" w:sz="0" w:space="0" w:color="auto"/>
        <w:bottom w:val="none" w:sz="0" w:space="0" w:color="auto"/>
        <w:right w:val="none" w:sz="0" w:space="0" w:color="auto"/>
      </w:divBdr>
    </w:div>
    <w:div w:id="513958327">
      <w:bodyDiv w:val="1"/>
      <w:marLeft w:val="0"/>
      <w:marRight w:val="0"/>
      <w:marTop w:val="0"/>
      <w:marBottom w:val="0"/>
      <w:divBdr>
        <w:top w:val="none" w:sz="0" w:space="0" w:color="auto"/>
        <w:left w:val="none" w:sz="0" w:space="0" w:color="auto"/>
        <w:bottom w:val="none" w:sz="0" w:space="0" w:color="auto"/>
        <w:right w:val="none" w:sz="0" w:space="0" w:color="auto"/>
      </w:divBdr>
    </w:div>
    <w:div w:id="558394505">
      <w:bodyDiv w:val="1"/>
      <w:marLeft w:val="0"/>
      <w:marRight w:val="0"/>
      <w:marTop w:val="0"/>
      <w:marBottom w:val="0"/>
      <w:divBdr>
        <w:top w:val="none" w:sz="0" w:space="0" w:color="auto"/>
        <w:left w:val="none" w:sz="0" w:space="0" w:color="auto"/>
        <w:bottom w:val="none" w:sz="0" w:space="0" w:color="auto"/>
        <w:right w:val="none" w:sz="0" w:space="0" w:color="auto"/>
      </w:divBdr>
    </w:div>
    <w:div w:id="579600545">
      <w:bodyDiv w:val="1"/>
      <w:marLeft w:val="0"/>
      <w:marRight w:val="0"/>
      <w:marTop w:val="0"/>
      <w:marBottom w:val="0"/>
      <w:divBdr>
        <w:top w:val="none" w:sz="0" w:space="0" w:color="auto"/>
        <w:left w:val="none" w:sz="0" w:space="0" w:color="auto"/>
        <w:bottom w:val="none" w:sz="0" w:space="0" w:color="auto"/>
        <w:right w:val="none" w:sz="0" w:space="0" w:color="auto"/>
      </w:divBdr>
    </w:div>
    <w:div w:id="584000237">
      <w:bodyDiv w:val="1"/>
      <w:marLeft w:val="0"/>
      <w:marRight w:val="0"/>
      <w:marTop w:val="0"/>
      <w:marBottom w:val="0"/>
      <w:divBdr>
        <w:top w:val="none" w:sz="0" w:space="0" w:color="auto"/>
        <w:left w:val="none" w:sz="0" w:space="0" w:color="auto"/>
        <w:bottom w:val="none" w:sz="0" w:space="0" w:color="auto"/>
        <w:right w:val="none" w:sz="0" w:space="0" w:color="auto"/>
      </w:divBdr>
    </w:div>
    <w:div w:id="614405515">
      <w:bodyDiv w:val="1"/>
      <w:marLeft w:val="0"/>
      <w:marRight w:val="0"/>
      <w:marTop w:val="0"/>
      <w:marBottom w:val="0"/>
      <w:divBdr>
        <w:top w:val="none" w:sz="0" w:space="0" w:color="auto"/>
        <w:left w:val="none" w:sz="0" w:space="0" w:color="auto"/>
        <w:bottom w:val="none" w:sz="0" w:space="0" w:color="auto"/>
        <w:right w:val="none" w:sz="0" w:space="0" w:color="auto"/>
      </w:divBdr>
    </w:div>
    <w:div w:id="629090460">
      <w:bodyDiv w:val="1"/>
      <w:marLeft w:val="0"/>
      <w:marRight w:val="0"/>
      <w:marTop w:val="0"/>
      <w:marBottom w:val="0"/>
      <w:divBdr>
        <w:top w:val="none" w:sz="0" w:space="0" w:color="auto"/>
        <w:left w:val="none" w:sz="0" w:space="0" w:color="auto"/>
        <w:bottom w:val="none" w:sz="0" w:space="0" w:color="auto"/>
        <w:right w:val="none" w:sz="0" w:space="0" w:color="auto"/>
      </w:divBdr>
    </w:div>
    <w:div w:id="631986325">
      <w:bodyDiv w:val="1"/>
      <w:marLeft w:val="0"/>
      <w:marRight w:val="0"/>
      <w:marTop w:val="0"/>
      <w:marBottom w:val="0"/>
      <w:divBdr>
        <w:top w:val="none" w:sz="0" w:space="0" w:color="auto"/>
        <w:left w:val="none" w:sz="0" w:space="0" w:color="auto"/>
        <w:bottom w:val="none" w:sz="0" w:space="0" w:color="auto"/>
        <w:right w:val="none" w:sz="0" w:space="0" w:color="auto"/>
      </w:divBdr>
    </w:div>
    <w:div w:id="637031207">
      <w:bodyDiv w:val="1"/>
      <w:marLeft w:val="0"/>
      <w:marRight w:val="0"/>
      <w:marTop w:val="0"/>
      <w:marBottom w:val="0"/>
      <w:divBdr>
        <w:top w:val="none" w:sz="0" w:space="0" w:color="auto"/>
        <w:left w:val="none" w:sz="0" w:space="0" w:color="auto"/>
        <w:bottom w:val="none" w:sz="0" w:space="0" w:color="auto"/>
        <w:right w:val="none" w:sz="0" w:space="0" w:color="auto"/>
      </w:divBdr>
    </w:div>
    <w:div w:id="637757888">
      <w:bodyDiv w:val="1"/>
      <w:marLeft w:val="0"/>
      <w:marRight w:val="0"/>
      <w:marTop w:val="0"/>
      <w:marBottom w:val="0"/>
      <w:divBdr>
        <w:top w:val="none" w:sz="0" w:space="0" w:color="auto"/>
        <w:left w:val="none" w:sz="0" w:space="0" w:color="auto"/>
        <w:bottom w:val="none" w:sz="0" w:space="0" w:color="auto"/>
        <w:right w:val="none" w:sz="0" w:space="0" w:color="auto"/>
      </w:divBdr>
    </w:div>
    <w:div w:id="659771430">
      <w:bodyDiv w:val="1"/>
      <w:marLeft w:val="0"/>
      <w:marRight w:val="0"/>
      <w:marTop w:val="0"/>
      <w:marBottom w:val="0"/>
      <w:divBdr>
        <w:top w:val="none" w:sz="0" w:space="0" w:color="auto"/>
        <w:left w:val="none" w:sz="0" w:space="0" w:color="auto"/>
        <w:bottom w:val="none" w:sz="0" w:space="0" w:color="auto"/>
        <w:right w:val="none" w:sz="0" w:space="0" w:color="auto"/>
      </w:divBdr>
    </w:div>
    <w:div w:id="662203896">
      <w:bodyDiv w:val="1"/>
      <w:marLeft w:val="0"/>
      <w:marRight w:val="0"/>
      <w:marTop w:val="0"/>
      <w:marBottom w:val="0"/>
      <w:divBdr>
        <w:top w:val="none" w:sz="0" w:space="0" w:color="auto"/>
        <w:left w:val="none" w:sz="0" w:space="0" w:color="auto"/>
        <w:bottom w:val="none" w:sz="0" w:space="0" w:color="auto"/>
        <w:right w:val="none" w:sz="0" w:space="0" w:color="auto"/>
      </w:divBdr>
    </w:div>
    <w:div w:id="664864631">
      <w:bodyDiv w:val="1"/>
      <w:marLeft w:val="0"/>
      <w:marRight w:val="0"/>
      <w:marTop w:val="0"/>
      <w:marBottom w:val="0"/>
      <w:divBdr>
        <w:top w:val="none" w:sz="0" w:space="0" w:color="auto"/>
        <w:left w:val="none" w:sz="0" w:space="0" w:color="auto"/>
        <w:bottom w:val="none" w:sz="0" w:space="0" w:color="auto"/>
        <w:right w:val="none" w:sz="0" w:space="0" w:color="auto"/>
      </w:divBdr>
    </w:div>
    <w:div w:id="712118034">
      <w:bodyDiv w:val="1"/>
      <w:marLeft w:val="0"/>
      <w:marRight w:val="0"/>
      <w:marTop w:val="0"/>
      <w:marBottom w:val="0"/>
      <w:divBdr>
        <w:top w:val="none" w:sz="0" w:space="0" w:color="auto"/>
        <w:left w:val="none" w:sz="0" w:space="0" w:color="auto"/>
        <w:bottom w:val="none" w:sz="0" w:space="0" w:color="auto"/>
        <w:right w:val="none" w:sz="0" w:space="0" w:color="auto"/>
      </w:divBdr>
    </w:div>
    <w:div w:id="713425684">
      <w:bodyDiv w:val="1"/>
      <w:marLeft w:val="0"/>
      <w:marRight w:val="0"/>
      <w:marTop w:val="0"/>
      <w:marBottom w:val="0"/>
      <w:divBdr>
        <w:top w:val="none" w:sz="0" w:space="0" w:color="auto"/>
        <w:left w:val="none" w:sz="0" w:space="0" w:color="auto"/>
        <w:bottom w:val="none" w:sz="0" w:space="0" w:color="auto"/>
        <w:right w:val="none" w:sz="0" w:space="0" w:color="auto"/>
      </w:divBdr>
    </w:div>
    <w:div w:id="714697741">
      <w:bodyDiv w:val="1"/>
      <w:marLeft w:val="0"/>
      <w:marRight w:val="0"/>
      <w:marTop w:val="0"/>
      <w:marBottom w:val="0"/>
      <w:divBdr>
        <w:top w:val="none" w:sz="0" w:space="0" w:color="auto"/>
        <w:left w:val="none" w:sz="0" w:space="0" w:color="auto"/>
        <w:bottom w:val="none" w:sz="0" w:space="0" w:color="auto"/>
        <w:right w:val="none" w:sz="0" w:space="0" w:color="auto"/>
      </w:divBdr>
    </w:div>
    <w:div w:id="721028362">
      <w:bodyDiv w:val="1"/>
      <w:marLeft w:val="0"/>
      <w:marRight w:val="0"/>
      <w:marTop w:val="0"/>
      <w:marBottom w:val="0"/>
      <w:divBdr>
        <w:top w:val="none" w:sz="0" w:space="0" w:color="auto"/>
        <w:left w:val="none" w:sz="0" w:space="0" w:color="auto"/>
        <w:bottom w:val="none" w:sz="0" w:space="0" w:color="auto"/>
        <w:right w:val="none" w:sz="0" w:space="0" w:color="auto"/>
      </w:divBdr>
    </w:div>
    <w:div w:id="722828850">
      <w:bodyDiv w:val="1"/>
      <w:marLeft w:val="0"/>
      <w:marRight w:val="0"/>
      <w:marTop w:val="0"/>
      <w:marBottom w:val="0"/>
      <w:divBdr>
        <w:top w:val="none" w:sz="0" w:space="0" w:color="auto"/>
        <w:left w:val="none" w:sz="0" w:space="0" w:color="auto"/>
        <w:bottom w:val="none" w:sz="0" w:space="0" w:color="auto"/>
        <w:right w:val="none" w:sz="0" w:space="0" w:color="auto"/>
      </w:divBdr>
    </w:div>
    <w:div w:id="725106954">
      <w:bodyDiv w:val="1"/>
      <w:marLeft w:val="0"/>
      <w:marRight w:val="0"/>
      <w:marTop w:val="0"/>
      <w:marBottom w:val="0"/>
      <w:divBdr>
        <w:top w:val="none" w:sz="0" w:space="0" w:color="auto"/>
        <w:left w:val="none" w:sz="0" w:space="0" w:color="auto"/>
        <w:bottom w:val="none" w:sz="0" w:space="0" w:color="auto"/>
        <w:right w:val="none" w:sz="0" w:space="0" w:color="auto"/>
      </w:divBdr>
    </w:div>
    <w:div w:id="745034536">
      <w:bodyDiv w:val="1"/>
      <w:marLeft w:val="0"/>
      <w:marRight w:val="0"/>
      <w:marTop w:val="0"/>
      <w:marBottom w:val="0"/>
      <w:divBdr>
        <w:top w:val="none" w:sz="0" w:space="0" w:color="auto"/>
        <w:left w:val="none" w:sz="0" w:space="0" w:color="auto"/>
        <w:bottom w:val="none" w:sz="0" w:space="0" w:color="auto"/>
        <w:right w:val="none" w:sz="0" w:space="0" w:color="auto"/>
      </w:divBdr>
    </w:div>
    <w:div w:id="753431251">
      <w:bodyDiv w:val="1"/>
      <w:marLeft w:val="0"/>
      <w:marRight w:val="0"/>
      <w:marTop w:val="0"/>
      <w:marBottom w:val="0"/>
      <w:divBdr>
        <w:top w:val="none" w:sz="0" w:space="0" w:color="auto"/>
        <w:left w:val="none" w:sz="0" w:space="0" w:color="auto"/>
        <w:bottom w:val="none" w:sz="0" w:space="0" w:color="auto"/>
        <w:right w:val="none" w:sz="0" w:space="0" w:color="auto"/>
      </w:divBdr>
    </w:div>
    <w:div w:id="760493228">
      <w:bodyDiv w:val="1"/>
      <w:marLeft w:val="0"/>
      <w:marRight w:val="0"/>
      <w:marTop w:val="0"/>
      <w:marBottom w:val="0"/>
      <w:divBdr>
        <w:top w:val="none" w:sz="0" w:space="0" w:color="auto"/>
        <w:left w:val="none" w:sz="0" w:space="0" w:color="auto"/>
        <w:bottom w:val="none" w:sz="0" w:space="0" w:color="auto"/>
        <w:right w:val="none" w:sz="0" w:space="0" w:color="auto"/>
      </w:divBdr>
    </w:div>
    <w:div w:id="762651770">
      <w:bodyDiv w:val="1"/>
      <w:marLeft w:val="0"/>
      <w:marRight w:val="0"/>
      <w:marTop w:val="0"/>
      <w:marBottom w:val="0"/>
      <w:divBdr>
        <w:top w:val="none" w:sz="0" w:space="0" w:color="auto"/>
        <w:left w:val="none" w:sz="0" w:space="0" w:color="auto"/>
        <w:bottom w:val="none" w:sz="0" w:space="0" w:color="auto"/>
        <w:right w:val="none" w:sz="0" w:space="0" w:color="auto"/>
      </w:divBdr>
    </w:div>
    <w:div w:id="781069698">
      <w:bodyDiv w:val="1"/>
      <w:marLeft w:val="0"/>
      <w:marRight w:val="0"/>
      <w:marTop w:val="0"/>
      <w:marBottom w:val="0"/>
      <w:divBdr>
        <w:top w:val="none" w:sz="0" w:space="0" w:color="auto"/>
        <w:left w:val="none" w:sz="0" w:space="0" w:color="auto"/>
        <w:bottom w:val="none" w:sz="0" w:space="0" w:color="auto"/>
        <w:right w:val="none" w:sz="0" w:space="0" w:color="auto"/>
      </w:divBdr>
    </w:div>
    <w:div w:id="795684401">
      <w:bodyDiv w:val="1"/>
      <w:marLeft w:val="0"/>
      <w:marRight w:val="0"/>
      <w:marTop w:val="0"/>
      <w:marBottom w:val="0"/>
      <w:divBdr>
        <w:top w:val="none" w:sz="0" w:space="0" w:color="auto"/>
        <w:left w:val="none" w:sz="0" w:space="0" w:color="auto"/>
        <w:bottom w:val="none" w:sz="0" w:space="0" w:color="auto"/>
        <w:right w:val="none" w:sz="0" w:space="0" w:color="auto"/>
      </w:divBdr>
    </w:div>
    <w:div w:id="804660056">
      <w:bodyDiv w:val="1"/>
      <w:marLeft w:val="0"/>
      <w:marRight w:val="0"/>
      <w:marTop w:val="0"/>
      <w:marBottom w:val="0"/>
      <w:divBdr>
        <w:top w:val="none" w:sz="0" w:space="0" w:color="auto"/>
        <w:left w:val="none" w:sz="0" w:space="0" w:color="auto"/>
        <w:bottom w:val="none" w:sz="0" w:space="0" w:color="auto"/>
        <w:right w:val="none" w:sz="0" w:space="0" w:color="auto"/>
      </w:divBdr>
    </w:div>
    <w:div w:id="834421356">
      <w:bodyDiv w:val="1"/>
      <w:marLeft w:val="0"/>
      <w:marRight w:val="0"/>
      <w:marTop w:val="0"/>
      <w:marBottom w:val="0"/>
      <w:divBdr>
        <w:top w:val="none" w:sz="0" w:space="0" w:color="auto"/>
        <w:left w:val="none" w:sz="0" w:space="0" w:color="auto"/>
        <w:bottom w:val="none" w:sz="0" w:space="0" w:color="auto"/>
        <w:right w:val="none" w:sz="0" w:space="0" w:color="auto"/>
      </w:divBdr>
    </w:div>
    <w:div w:id="844898237">
      <w:bodyDiv w:val="1"/>
      <w:marLeft w:val="0"/>
      <w:marRight w:val="0"/>
      <w:marTop w:val="0"/>
      <w:marBottom w:val="0"/>
      <w:divBdr>
        <w:top w:val="none" w:sz="0" w:space="0" w:color="auto"/>
        <w:left w:val="none" w:sz="0" w:space="0" w:color="auto"/>
        <w:bottom w:val="none" w:sz="0" w:space="0" w:color="auto"/>
        <w:right w:val="none" w:sz="0" w:space="0" w:color="auto"/>
      </w:divBdr>
    </w:div>
    <w:div w:id="849754140">
      <w:bodyDiv w:val="1"/>
      <w:marLeft w:val="0"/>
      <w:marRight w:val="0"/>
      <w:marTop w:val="0"/>
      <w:marBottom w:val="0"/>
      <w:divBdr>
        <w:top w:val="none" w:sz="0" w:space="0" w:color="auto"/>
        <w:left w:val="none" w:sz="0" w:space="0" w:color="auto"/>
        <w:bottom w:val="none" w:sz="0" w:space="0" w:color="auto"/>
        <w:right w:val="none" w:sz="0" w:space="0" w:color="auto"/>
      </w:divBdr>
    </w:div>
    <w:div w:id="879246358">
      <w:bodyDiv w:val="1"/>
      <w:marLeft w:val="0"/>
      <w:marRight w:val="0"/>
      <w:marTop w:val="0"/>
      <w:marBottom w:val="0"/>
      <w:divBdr>
        <w:top w:val="none" w:sz="0" w:space="0" w:color="auto"/>
        <w:left w:val="none" w:sz="0" w:space="0" w:color="auto"/>
        <w:bottom w:val="none" w:sz="0" w:space="0" w:color="auto"/>
        <w:right w:val="none" w:sz="0" w:space="0" w:color="auto"/>
      </w:divBdr>
    </w:div>
    <w:div w:id="879434137">
      <w:bodyDiv w:val="1"/>
      <w:marLeft w:val="0"/>
      <w:marRight w:val="0"/>
      <w:marTop w:val="0"/>
      <w:marBottom w:val="0"/>
      <w:divBdr>
        <w:top w:val="none" w:sz="0" w:space="0" w:color="auto"/>
        <w:left w:val="none" w:sz="0" w:space="0" w:color="auto"/>
        <w:bottom w:val="none" w:sz="0" w:space="0" w:color="auto"/>
        <w:right w:val="none" w:sz="0" w:space="0" w:color="auto"/>
      </w:divBdr>
    </w:div>
    <w:div w:id="930969850">
      <w:bodyDiv w:val="1"/>
      <w:marLeft w:val="0"/>
      <w:marRight w:val="0"/>
      <w:marTop w:val="0"/>
      <w:marBottom w:val="0"/>
      <w:divBdr>
        <w:top w:val="none" w:sz="0" w:space="0" w:color="auto"/>
        <w:left w:val="none" w:sz="0" w:space="0" w:color="auto"/>
        <w:bottom w:val="none" w:sz="0" w:space="0" w:color="auto"/>
        <w:right w:val="none" w:sz="0" w:space="0" w:color="auto"/>
      </w:divBdr>
    </w:div>
    <w:div w:id="936644773">
      <w:bodyDiv w:val="1"/>
      <w:marLeft w:val="0"/>
      <w:marRight w:val="0"/>
      <w:marTop w:val="0"/>
      <w:marBottom w:val="0"/>
      <w:divBdr>
        <w:top w:val="none" w:sz="0" w:space="0" w:color="auto"/>
        <w:left w:val="none" w:sz="0" w:space="0" w:color="auto"/>
        <w:bottom w:val="none" w:sz="0" w:space="0" w:color="auto"/>
        <w:right w:val="none" w:sz="0" w:space="0" w:color="auto"/>
      </w:divBdr>
    </w:div>
    <w:div w:id="951745296">
      <w:bodyDiv w:val="1"/>
      <w:marLeft w:val="0"/>
      <w:marRight w:val="0"/>
      <w:marTop w:val="0"/>
      <w:marBottom w:val="0"/>
      <w:divBdr>
        <w:top w:val="none" w:sz="0" w:space="0" w:color="auto"/>
        <w:left w:val="none" w:sz="0" w:space="0" w:color="auto"/>
        <w:bottom w:val="none" w:sz="0" w:space="0" w:color="auto"/>
        <w:right w:val="none" w:sz="0" w:space="0" w:color="auto"/>
      </w:divBdr>
    </w:div>
    <w:div w:id="952782914">
      <w:bodyDiv w:val="1"/>
      <w:marLeft w:val="0"/>
      <w:marRight w:val="0"/>
      <w:marTop w:val="0"/>
      <w:marBottom w:val="0"/>
      <w:divBdr>
        <w:top w:val="none" w:sz="0" w:space="0" w:color="auto"/>
        <w:left w:val="none" w:sz="0" w:space="0" w:color="auto"/>
        <w:bottom w:val="none" w:sz="0" w:space="0" w:color="auto"/>
        <w:right w:val="none" w:sz="0" w:space="0" w:color="auto"/>
      </w:divBdr>
    </w:div>
    <w:div w:id="961424231">
      <w:bodyDiv w:val="1"/>
      <w:marLeft w:val="0"/>
      <w:marRight w:val="0"/>
      <w:marTop w:val="0"/>
      <w:marBottom w:val="0"/>
      <w:divBdr>
        <w:top w:val="none" w:sz="0" w:space="0" w:color="auto"/>
        <w:left w:val="none" w:sz="0" w:space="0" w:color="auto"/>
        <w:bottom w:val="none" w:sz="0" w:space="0" w:color="auto"/>
        <w:right w:val="none" w:sz="0" w:space="0" w:color="auto"/>
      </w:divBdr>
    </w:div>
    <w:div w:id="969825801">
      <w:bodyDiv w:val="1"/>
      <w:marLeft w:val="0"/>
      <w:marRight w:val="0"/>
      <w:marTop w:val="0"/>
      <w:marBottom w:val="0"/>
      <w:divBdr>
        <w:top w:val="none" w:sz="0" w:space="0" w:color="auto"/>
        <w:left w:val="none" w:sz="0" w:space="0" w:color="auto"/>
        <w:bottom w:val="none" w:sz="0" w:space="0" w:color="auto"/>
        <w:right w:val="none" w:sz="0" w:space="0" w:color="auto"/>
      </w:divBdr>
    </w:div>
    <w:div w:id="993531152">
      <w:bodyDiv w:val="1"/>
      <w:marLeft w:val="0"/>
      <w:marRight w:val="0"/>
      <w:marTop w:val="0"/>
      <w:marBottom w:val="0"/>
      <w:divBdr>
        <w:top w:val="none" w:sz="0" w:space="0" w:color="auto"/>
        <w:left w:val="none" w:sz="0" w:space="0" w:color="auto"/>
        <w:bottom w:val="none" w:sz="0" w:space="0" w:color="auto"/>
        <w:right w:val="none" w:sz="0" w:space="0" w:color="auto"/>
      </w:divBdr>
    </w:div>
    <w:div w:id="1001736585">
      <w:bodyDiv w:val="1"/>
      <w:marLeft w:val="0"/>
      <w:marRight w:val="0"/>
      <w:marTop w:val="0"/>
      <w:marBottom w:val="0"/>
      <w:divBdr>
        <w:top w:val="none" w:sz="0" w:space="0" w:color="auto"/>
        <w:left w:val="none" w:sz="0" w:space="0" w:color="auto"/>
        <w:bottom w:val="none" w:sz="0" w:space="0" w:color="auto"/>
        <w:right w:val="none" w:sz="0" w:space="0" w:color="auto"/>
      </w:divBdr>
    </w:div>
    <w:div w:id="1045636383">
      <w:bodyDiv w:val="1"/>
      <w:marLeft w:val="0"/>
      <w:marRight w:val="0"/>
      <w:marTop w:val="0"/>
      <w:marBottom w:val="0"/>
      <w:divBdr>
        <w:top w:val="none" w:sz="0" w:space="0" w:color="auto"/>
        <w:left w:val="none" w:sz="0" w:space="0" w:color="auto"/>
        <w:bottom w:val="none" w:sz="0" w:space="0" w:color="auto"/>
        <w:right w:val="none" w:sz="0" w:space="0" w:color="auto"/>
      </w:divBdr>
    </w:div>
    <w:div w:id="1046683554">
      <w:bodyDiv w:val="1"/>
      <w:marLeft w:val="0"/>
      <w:marRight w:val="0"/>
      <w:marTop w:val="0"/>
      <w:marBottom w:val="0"/>
      <w:divBdr>
        <w:top w:val="none" w:sz="0" w:space="0" w:color="auto"/>
        <w:left w:val="none" w:sz="0" w:space="0" w:color="auto"/>
        <w:bottom w:val="none" w:sz="0" w:space="0" w:color="auto"/>
        <w:right w:val="none" w:sz="0" w:space="0" w:color="auto"/>
      </w:divBdr>
    </w:div>
    <w:div w:id="1054547842">
      <w:bodyDiv w:val="1"/>
      <w:marLeft w:val="0"/>
      <w:marRight w:val="0"/>
      <w:marTop w:val="0"/>
      <w:marBottom w:val="0"/>
      <w:divBdr>
        <w:top w:val="none" w:sz="0" w:space="0" w:color="auto"/>
        <w:left w:val="none" w:sz="0" w:space="0" w:color="auto"/>
        <w:bottom w:val="none" w:sz="0" w:space="0" w:color="auto"/>
        <w:right w:val="none" w:sz="0" w:space="0" w:color="auto"/>
      </w:divBdr>
    </w:div>
    <w:div w:id="1059329422">
      <w:bodyDiv w:val="1"/>
      <w:marLeft w:val="0"/>
      <w:marRight w:val="0"/>
      <w:marTop w:val="0"/>
      <w:marBottom w:val="0"/>
      <w:divBdr>
        <w:top w:val="none" w:sz="0" w:space="0" w:color="auto"/>
        <w:left w:val="none" w:sz="0" w:space="0" w:color="auto"/>
        <w:bottom w:val="none" w:sz="0" w:space="0" w:color="auto"/>
        <w:right w:val="none" w:sz="0" w:space="0" w:color="auto"/>
      </w:divBdr>
    </w:div>
    <w:div w:id="1065031734">
      <w:bodyDiv w:val="1"/>
      <w:marLeft w:val="0"/>
      <w:marRight w:val="0"/>
      <w:marTop w:val="0"/>
      <w:marBottom w:val="0"/>
      <w:divBdr>
        <w:top w:val="none" w:sz="0" w:space="0" w:color="auto"/>
        <w:left w:val="none" w:sz="0" w:space="0" w:color="auto"/>
        <w:bottom w:val="none" w:sz="0" w:space="0" w:color="auto"/>
        <w:right w:val="none" w:sz="0" w:space="0" w:color="auto"/>
      </w:divBdr>
    </w:div>
    <w:div w:id="1076241096">
      <w:bodyDiv w:val="1"/>
      <w:marLeft w:val="0"/>
      <w:marRight w:val="0"/>
      <w:marTop w:val="0"/>
      <w:marBottom w:val="0"/>
      <w:divBdr>
        <w:top w:val="none" w:sz="0" w:space="0" w:color="auto"/>
        <w:left w:val="none" w:sz="0" w:space="0" w:color="auto"/>
        <w:bottom w:val="none" w:sz="0" w:space="0" w:color="auto"/>
        <w:right w:val="none" w:sz="0" w:space="0" w:color="auto"/>
      </w:divBdr>
    </w:div>
    <w:div w:id="1080978961">
      <w:bodyDiv w:val="1"/>
      <w:marLeft w:val="0"/>
      <w:marRight w:val="0"/>
      <w:marTop w:val="0"/>
      <w:marBottom w:val="0"/>
      <w:divBdr>
        <w:top w:val="none" w:sz="0" w:space="0" w:color="auto"/>
        <w:left w:val="none" w:sz="0" w:space="0" w:color="auto"/>
        <w:bottom w:val="none" w:sz="0" w:space="0" w:color="auto"/>
        <w:right w:val="none" w:sz="0" w:space="0" w:color="auto"/>
      </w:divBdr>
    </w:div>
    <w:div w:id="1093088285">
      <w:bodyDiv w:val="1"/>
      <w:marLeft w:val="0"/>
      <w:marRight w:val="0"/>
      <w:marTop w:val="0"/>
      <w:marBottom w:val="0"/>
      <w:divBdr>
        <w:top w:val="none" w:sz="0" w:space="0" w:color="auto"/>
        <w:left w:val="none" w:sz="0" w:space="0" w:color="auto"/>
        <w:bottom w:val="none" w:sz="0" w:space="0" w:color="auto"/>
        <w:right w:val="none" w:sz="0" w:space="0" w:color="auto"/>
      </w:divBdr>
    </w:div>
    <w:div w:id="1108548157">
      <w:bodyDiv w:val="1"/>
      <w:marLeft w:val="0"/>
      <w:marRight w:val="0"/>
      <w:marTop w:val="0"/>
      <w:marBottom w:val="0"/>
      <w:divBdr>
        <w:top w:val="none" w:sz="0" w:space="0" w:color="auto"/>
        <w:left w:val="none" w:sz="0" w:space="0" w:color="auto"/>
        <w:bottom w:val="none" w:sz="0" w:space="0" w:color="auto"/>
        <w:right w:val="none" w:sz="0" w:space="0" w:color="auto"/>
      </w:divBdr>
    </w:div>
    <w:div w:id="1127159173">
      <w:bodyDiv w:val="1"/>
      <w:marLeft w:val="0"/>
      <w:marRight w:val="0"/>
      <w:marTop w:val="0"/>
      <w:marBottom w:val="0"/>
      <w:divBdr>
        <w:top w:val="none" w:sz="0" w:space="0" w:color="auto"/>
        <w:left w:val="none" w:sz="0" w:space="0" w:color="auto"/>
        <w:bottom w:val="none" w:sz="0" w:space="0" w:color="auto"/>
        <w:right w:val="none" w:sz="0" w:space="0" w:color="auto"/>
      </w:divBdr>
    </w:div>
    <w:div w:id="1130321006">
      <w:bodyDiv w:val="1"/>
      <w:marLeft w:val="0"/>
      <w:marRight w:val="0"/>
      <w:marTop w:val="0"/>
      <w:marBottom w:val="0"/>
      <w:divBdr>
        <w:top w:val="none" w:sz="0" w:space="0" w:color="auto"/>
        <w:left w:val="none" w:sz="0" w:space="0" w:color="auto"/>
        <w:bottom w:val="none" w:sz="0" w:space="0" w:color="auto"/>
        <w:right w:val="none" w:sz="0" w:space="0" w:color="auto"/>
      </w:divBdr>
    </w:div>
    <w:div w:id="1139877563">
      <w:bodyDiv w:val="1"/>
      <w:marLeft w:val="0"/>
      <w:marRight w:val="0"/>
      <w:marTop w:val="0"/>
      <w:marBottom w:val="0"/>
      <w:divBdr>
        <w:top w:val="none" w:sz="0" w:space="0" w:color="auto"/>
        <w:left w:val="none" w:sz="0" w:space="0" w:color="auto"/>
        <w:bottom w:val="none" w:sz="0" w:space="0" w:color="auto"/>
        <w:right w:val="none" w:sz="0" w:space="0" w:color="auto"/>
      </w:divBdr>
    </w:div>
    <w:div w:id="1171070249">
      <w:bodyDiv w:val="1"/>
      <w:marLeft w:val="0"/>
      <w:marRight w:val="0"/>
      <w:marTop w:val="0"/>
      <w:marBottom w:val="0"/>
      <w:divBdr>
        <w:top w:val="none" w:sz="0" w:space="0" w:color="auto"/>
        <w:left w:val="none" w:sz="0" w:space="0" w:color="auto"/>
        <w:bottom w:val="none" w:sz="0" w:space="0" w:color="auto"/>
        <w:right w:val="none" w:sz="0" w:space="0" w:color="auto"/>
      </w:divBdr>
    </w:div>
    <w:div w:id="1179464868">
      <w:bodyDiv w:val="1"/>
      <w:marLeft w:val="0"/>
      <w:marRight w:val="0"/>
      <w:marTop w:val="0"/>
      <w:marBottom w:val="0"/>
      <w:divBdr>
        <w:top w:val="none" w:sz="0" w:space="0" w:color="auto"/>
        <w:left w:val="none" w:sz="0" w:space="0" w:color="auto"/>
        <w:bottom w:val="none" w:sz="0" w:space="0" w:color="auto"/>
        <w:right w:val="none" w:sz="0" w:space="0" w:color="auto"/>
      </w:divBdr>
    </w:div>
    <w:div w:id="1179855890">
      <w:bodyDiv w:val="1"/>
      <w:marLeft w:val="0"/>
      <w:marRight w:val="0"/>
      <w:marTop w:val="0"/>
      <w:marBottom w:val="0"/>
      <w:divBdr>
        <w:top w:val="none" w:sz="0" w:space="0" w:color="auto"/>
        <w:left w:val="none" w:sz="0" w:space="0" w:color="auto"/>
        <w:bottom w:val="none" w:sz="0" w:space="0" w:color="auto"/>
        <w:right w:val="none" w:sz="0" w:space="0" w:color="auto"/>
      </w:divBdr>
    </w:div>
    <w:div w:id="1185901758">
      <w:bodyDiv w:val="1"/>
      <w:marLeft w:val="0"/>
      <w:marRight w:val="0"/>
      <w:marTop w:val="0"/>
      <w:marBottom w:val="0"/>
      <w:divBdr>
        <w:top w:val="none" w:sz="0" w:space="0" w:color="auto"/>
        <w:left w:val="none" w:sz="0" w:space="0" w:color="auto"/>
        <w:bottom w:val="none" w:sz="0" w:space="0" w:color="auto"/>
        <w:right w:val="none" w:sz="0" w:space="0" w:color="auto"/>
      </w:divBdr>
    </w:div>
    <w:div w:id="1208300789">
      <w:bodyDiv w:val="1"/>
      <w:marLeft w:val="0"/>
      <w:marRight w:val="0"/>
      <w:marTop w:val="0"/>
      <w:marBottom w:val="0"/>
      <w:divBdr>
        <w:top w:val="none" w:sz="0" w:space="0" w:color="auto"/>
        <w:left w:val="none" w:sz="0" w:space="0" w:color="auto"/>
        <w:bottom w:val="none" w:sz="0" w:space="0" w:color="auto"/>
        <w:right w:val="none" w:sz="0" w:space="0" w:color="auto"/>
      </w:divBdr>
    </w:div>
    <w:div w:id="1210530071">
      <w:bodyDiv w:val="1"/>
      <w:marLeft w:val="0"/>
      <w:marRight w:val="0"/>
      <w:marTop w:val="0"/>
      <w:marBottom w:val="0"/>
      <w:divBdr>
        <w:top w:val="none" w:sz="0" w:space="0" w:color="auto"/>
        <w:left w:val="none" w:sz="0" w:space="0" w:color="auto"/>
        <w:bottom w:val="none" w:sz="0" w:space="0" w:color="auto"/>
        <w:right w:val="none" w:sz="0" w:space="0" w:color="auto"/>
      </w:divBdr>
    </w:div>
    <w:div w:id="1213730356">
      <w:bodyDiv w:val="1"/>
      <w:marLeft w:val="0"/>
      <w:marRight w:val="0"/>
      <w:marTop w:val="0"/>
      <w:marBottom w:val="0"/>
      <w:divBdr>
        <w:top w:val="none" w:sz="0" w:space="0" w:color="auto"/>
        <w:left w:val="none" w:sz="0" w:space="0" w:color="auto"/>
        <w:bottom w:val="none" w:sz="0" w:space="0" w:color="auto"/>
        <w:right w:val="none" w:sz="0" w:space="0" w:color="auto"/>
      </w:divBdr>
    </w:div>
    <w:div w:id="1237278107">
      <w:bodyDiv w:val="1"/>
      <w:marLeft w:val="0"/>
      <w:marRight w:val="0"/>
      <w:marTop w:val="0"/>
      <w:marBottom w:val="0"/>
      <w:divBdr>
        <w:top w:val="none" w:sz="0" w:space="0" w:color="auto"/>
        <w:left w:val="none" w:sz="0" w:space="0" w:color="auto"/>
        <w:bottom w:val="none" w:sz="0" w:space="0" w:color="auto"/>
        <w:right w:val="none" w:sz="0" w:space="0" w:color="auto"/>
      </w:divBdr>
    </w:div>
    <w:div w:id="1245721167">
      <w:bodyDiv w:val="1"/>
      <w:marLeft w:val="0"/>
      <w:marRight w:val="0"/>
      <w:marTop w:val="0"/>
      <w:marBottom w:val="0"/>
      <w:divBdr>
        <w:top w:val="none" w:sz="0" w:space="0" w:color="auto"/>
        <w:left w:val="none" w:sz="0" w:space="0" w:color="auto"/>
        <w:bottom w:val="none" w:sz="0" w:space="0" w:color="auto"/>
        <w:right w:val="none" w:sz="0" w:space="0" w:color="auto"/>
      </w:divBdr>
    </w:div>
    <w:div w:id="1247806271">
      <w:bodyDiv w:val="1"/>
      <w:marLeft w:val="0"/>
      <w:marRight w:val="0"/>
      <w:marTop w:val="0"/>
      <w:marBottom w:val="0"/>
      <w:divBdr>
        <w:top w:val="none" w:sz="0" w:space="0" w:color="auto"/>
        <w:left w:val="none" w:sz="0" w:space="0" w:color="auto"/>
        <w:bottom w:val="none" w:sz="0" w:space="0" w:color="auto"/>
        <w:right w:val="none" w:sz="0" w:space="0" w:color="auto"/>
      </w:divBdr>
    </w:div>
    <w:div w:id="1294941926">
      <w:bodyDiv w:val="1"/>
      <w:marLeft w:val="0"/>
      <w:marRight w:val="0"/>
      <w:marTop w:val="0"/>
      <w:marBottom w:val="0"/>
      <w:divBdr>
        <w:top w:val="none" w:sz="0" w:space="0" w:color="auto"/>
        <w:left w:val="none" w:sz="0" w:space="0" w:color="auto"/>
        <w:bottom w:val="none" w:sz="0" w:space="0" w:color="auto"/>
        <w:right w:val="none" w:sz="0" w:space="0" w:color="auto"/>
      </w:divBdr>
    </w:div>
    <w:div w:id="1304505769">
      <w:bodyDiv w:val="1"/>
      <w:marLeft w:val="0"/>
      <w:marRight w:val="0"/>
      <w:marTop w:val="0"/>
      <w:marBottom w:val="0"/>
      <w:divBdr>
        <w:top w:val="none" w:sz="0" w:space="0" w:color="auto"/>
        <w:left w:val="none" w:sz="0" w:space="0" w:color="auto"/>
        <w:bottom w:val="none" w:sz="0" w:space="0" w:color="auto"/>
        <w:right w:val="none" w:sz="0" w:space="0" w:color="auto"/>
      </w:divBdr>
    </w:div>
    <w:div w:id="1308362419">
      <w:bodyDiv w:val="1"/>
      <w:marLeft w:val="0"/>
      <w:marRight w:val="0"/>
      <w:marTop w:val="0"/>
      <w:marBottom w:val="0"/>
      <w:divBdr>
        <w:top w:val="none" w:sz="0" w:space="0" w:color="auto"/>
        <w:left w:val="none" w:sz="0" w:space="0" w:color="auto"/>
        <w:bottom w:val="none" w:sz="0" w:space="0" w:color="auto"/>
        <w:right w:val="none" w:sz="0" w:space="0" w:color="auto"/>
      </w:divBdr>
    </w:div>
    <w:div w:id="1308782135">
      <w:bodyDiv w:val="1"/>
      <w:marLeft w:val="0"/>
      <w:marRight w:val="0"/>
      <w:marTop w:val="0"/>
      <w:marBottom w:val="0"/>
      <w:divBdr>
        <w:top w:val="none" w:sz="0" w:space="0" w:color="auto"/>
        <w:left w:val="none" w:sz="0" w:space="0" w:color="auto"/>
        <w:bottom w:val="none" w:sz="0" w:space="0" w:color="auto"/>
        <w:right w:val="none" w:sz="0" w:space="0" w:color="auto"/>
      </w:divBdr>
    </w:div>
    <w:div w:id="1311250718">
      <w:bodyDiv w:val="1"/>
      <w:marLeft w:val="0"/>
      <w:marRight w:val="0"/>
      <w:marTop w:val="0"/>
      <w:marBottom w:val="0"/>
      <w:divBdr>
        <w:top w:val="none" w:sz="0" w:space="0" w:color="auto"/>
        <w:left w:val="none" w:sz="0" w:space="0" w:color="auto"/>
        <w:bottom w:val="none" w:sz="0" w:space="0" w:color="auto"/>
        <w:right w:val="none" w:sz="0" w:space="0" w:color="auto"/>
      </w:divBdr>
    </w:div>
    <w:div w:id="1324119958">
      <w:bodyDiv w:val="1"/>
      <w:marLeft w:val="0"/>
      <w:marRight w:val="0"/>
      <w:marTop w:val="0"/>
      <w:marBottom w:val="0"/>
      <w:divBdr>
        <w:top w:val="none" w:sz="0" w:space="0" w:color="auto"/>
        <w:left w:val="none" w:sz="0" w:space="0" w:color="auto"/>
        <w:bottom w:val="none" w:sz="0" w:space="0" w:color="auto"/>
        <w:right w:val="none" w:sz="0" w:space="0" w:color="auto"/>
      </w:divBdr>
    </w:div>
    <w:div w:id="1333876400">
      <w:bodyDiv w:val="1"/>
      <w:marLeft w:val="0"/>
      <w:marRight w:val="0"/>
      <w:marTop w:val="0"/>
      <w:marBottom w:val="0"/>
      <w:divBdr>
        <w:top w:val="none" w:sz="0" w:space="0" w:color="auto"/>
        <w:left w:val="none" w:sz="0" w:space="0" w:color="auto"/>
        <w:bottom w:val="none" w:sz="0" w:space="0" w:color="auto"/>
        <w:right w:val="none" w:sz="0" w:space="0" w:color="auto"/>
      </w:divBdr>
    </w:div>
    <w:div w:id="1336613628">
      <w:bodyDiv w:val="1"/>
      <w:marLeft w:val="0"/>
      <w:marRight w:val="0"/>
      <w:marTop w:val="0"/>
      <w:marBottom w:val="0"/>
      <w:divBdr>
        <w:top w:val="none" w:sz="0" w:space="0" w:color="auto"/>
        <w:left w:val="none" w:sz="0" w:space="0" w:color="auto"/>
        <w:bottom w:val="none" w:sz="0" w:space="0" w:color="auto"/>
        <w:right w:val="none" w:sz="0" w:space="0" w:color="auto"/>
      </w:divBdr>
    </w:div>
    <w:div w:id="1338464188">
      <w:bodyDiv w:val="1"/>
      <w:marLeft w:val="0"/>
      <w:marRight w:val="0"/>
      <w:marTop w:val="0"/>
      <w:marBottom w:val="0"/>
      <w:divBdr>
        <w:top w:val="none" w:sz="0" w:space="0" w:color="auto"/>
        <w:left w:val="none" w:sz="0" w:space="0" w:color="auto"/>
        <w:bottom w:val="none" w:sz="0" w:space="0" w:color="auto"/>
        <w:right w:val="none" w:sz="0" w:space="0" w:color="auto"/>
      </w:divBdr>
    </w:div>
    <w:div w:id="1344625915">
      <w:bodyDiv w:val="1"/>
      <w:marLeft w:val="0"/>
      <w:marRight w:val="0"/>
      <w:marTop w:val="0"/>
      <w:marBottom w:val="0"/>
      <w:divBdr>
        <w:top w:val="none" w:sz="0" w:space="0" w:color="auto"/>
        <w:left w:val="none" w:sz="0" w:space="0" w:color="auto"/>
        <w:bottom w:val="none" w:sz="0" w:space="0" w:color="auto"/>
        <w:right w:val="none" w:sz="0" w:space="0" w:color="auto"/>
      </w:divBdr>
    </w:div>
    <w:div w:id="1353651944">
      <w:bodyDiv w:val="1"/>
      <w:marLeft w:val="0"/>
      <w:marRight w:val="0"/>
      <w:marTop w:val="0"/>
      <w:marBottom w:val="0"/>
      <w:divBdr>
        <w:top w:val="none" w:sz="0" w:space="0" w:color="auto"/>
        <w:left w:val="none" w:sz="0" w:space="0" w:color="auto"/>
        <w:bottom w:val="none" w:sz="0" w:space="0" w:color="auto"/>
        <w:right w:val="none" w:sz="0" w:space="0" w:color="auto"/>
      </w:divBdr>
    </w:div>
    <w:div w:id="1358316525">
      <w:bodyDiv w:val="1"/>
      <w:marLeft w:val="0"/>
      <w:marRight w:val="0"/>
      <w:marTop w:val="0"/>
      <w:marBottom w:val="0"/>
      <w:divBdr>
        <w:top w:val="none" w:sz="0" w:space="0" w:color="auto"/>
        <w:left w:val="none" w:sz="0" w:space="0" w:color="auto"/>
        <w:bottom w:val="none" w:sz="0" w:space="0" w:color="auto"/>
        <w:right w:val="none" w:sz="0" w:space="0" w:color="auto"/>
      </w:divBdr>
    </w:div>
    <w:div w:id="1376537743">
      <w:bodyDiv w:val="1"/>
      <w:marLeft w:val="0"/>
      <w:marRight w:val="0"/>
      <w:marTop w:val="0"/>
      <w:marBottom w:val="0"/>
      <w:divBdr>
        <w:top w:val="none" w:sz="0" w:space="0" w:color="auto"/>
        <w:left w:val="none" w:sz="0" w:space="0" w:color="auto"/>
        <w:bottom w:val="none" w:sz="0" w:space="0" w:color="auto"/>
        <w:right w:val="none" w:sz="0" w:space="0" w:color="auto"/>
      </w:divBdr>
    </w:div>
    <w:div w:id="1379864775">
      <w:bodyDiv w:val="1"/>
      <w:marLeft w:val="0"/>
      <w:marRight w:val="0"/>
      <w:marTop w:val="0"/>
      <w:marBottom w:val="0"/>
      <w:divBdr>
        <w:top w:val="none" w:sz="0" w:space="0" w:color="auto"/>
        <w:left w:val="none" w:sz="0" w:space="0" w:color="auto"/>
        <w:bottom w:val="none" w:sz="0" w:space="0" w:color="auto"/>
        <w:right w:val="none" w:sz="0" w:space="0" w:color="auto"/>
      </w:divBdr>
    </w:div>
    <w:div w:id="1385716098">
      <w:bodyDiv w:val="1"/>
      <w:marLeft w:val="0"/>
      <w:marRight w:val="0"/>
      <w:marTop w:val="0"/>
      <w:marBottom w:val="0"/>
      <w:divBdr>
        <w:top w:val="none" w:sz="0" w:space="0" w:color="auto"/>
        <w:left w:val="none" w:sz="0" w:space="0" w:color="auto"/>
        <w:bottom w:val="none" w:sz="0" w:space="0" w:color="auto"/>
        <w:right w:val="none" w:sz="0" w:space="0" w:color="auto"/>
      </w:divBdr>
    </w:div>
    <w:div w:id="1391542702">
      <w:bodyDiv w:val="1"/>
      <w:marLeft w:val="0"/>
      <w:marRight w:val="0"/>
      <w:marTop w:val="0"/>
      <w:marBottom w:val="0"/>
      <w:divBdr>
        <w:top w:val="none" w:sz="0" w:space="0" w:color="auto"/>
        <w:left w:val="none" w:sz="0" w:space="0" w:color="auto"/>
        <w:bottom w:val="none" w:sz="0" w:space="0" w:color="auto"/>
        <w:right w:val="none" w:sz="0" w:space="0" w:color="auto"/>
      </w:divBdr>
    </w:div>
    <w:div w:id="1392147529">
      <w:bodyDiv w:val="1"/>
      <w:marLeft w:val="0"/>
      <w:marRight w:val="0"/>
      <w:marTop w:val="0"/>
      <w:marBottom w:val="0"/>
      <w:divBdr>
        <w:top w:val="none" w:sz="0" w:space="0" w:color="auto"/>
        <w:left w:val="none" w:sz="0" w:space="0" w:color="auto"/>
        <w:bottom w:val="none" w:sz="0" w:space="0" w:color="auto"/>
        <w:right w:val="none" w:sz="0" w:space="0" w:color="auto"/>
      </w:divBdr>
    </w:div>
    <w:div w:id="1409573979">
      <w:bodyDiv w:val="1"/>
      <w:marLeft w:val="0"/>
      <w:marRight w:val="0"/>
      <w:marTop w:val="0"/>
      <w:marBottom w:val="0"/>
      <w:divBdr>
        <w:top w:val="none" w:sz="0" w:space="0" w:color="auto"/>
        <w:left w:val="none" w:sz="0" w:space="0" w:color="auto"/>
        <w:bottom w:val="none" w:sz="0" w:space="0" w:color="auto"/>
        <w:right w:val="none" w:sz="0" w:space="0" w:color="auto"/>
      </w:divBdr>
    </w:div>
    <w:div w:id="1412774595">
      <w:bodyDiv w:val="1"/>
      <w:marLeft w:val="0"/>
      <w:marRight w:val="0"/>
      <w:marTop w:val="0"/>
      <w:marBottom w:val="0"/>
      <w:divBdr>
        <w:top w:val="none" w:sz="0" w:space="0" w:color="auto"/>
        <w:left w:val="none" w:sz="0" w:space="0" w:color="auto"/>
        <w:bottom w:val="none" w:sz="0" w:space="0" w:color="auto"/>
        <w:right w:val="none" w:sz="0" w:space="0" w:color="auto"/>
      </w:divBdr>
    </w:div>
    <w:div w:id="1419595597">
      <w:bodyDiv w:val="1"/>
      <w:marLeft w:val="0"/>
      <w:marRight w:val="0"/>
      <w:marTop w:val="0"/>
      <w:marBottom w:val="0"/>
      <w:divBdr>
        <w:top w:val="none" w:sz="0" w:space="0" w:color="auto"/>
        <w:left w:val="none" w:sz="0" w:space="0" w:color="auto"/>
        <w:bottom w:val="none" w:sz="0" w:space="0" w:color="auto"/>
        <w:right w:val="none" w:sz="0" w:space="0" w:color="auto"/>
      </w:divBdr>
    </w:div>
    <w:div w:id="1440762654">
      <w:bodyDiv w:val="1"/>
      <w:marLeft w:val="0"/>
      <w:marRight w:val="0"/>
      <w:marTop w:val="0"/>
      <w:marBottom w:val="0"/>
      <w:divBdr>
        <w:top w:val="none" w:sz="0" w:space="0" w:color="auto"/>
        <w:left w:val="none" w:sz="0" w:space="0" w:color="auto"/>
        <w:bottom w:val="none" w:sz="0" w:space="0" w:color="auto"/>
        <w:right w:val="none" w:sz="0" w:space="0" w:color="auto"/>
      </w:divBdr>
    </w:div>
    <w:div w:id="1461461563">
      <w:bodyDiv w:val="1"/>
      <w:marLeft w:val="0"/>
      <w:marRight w:val="0"/>
      <w:marTop w:val="0"/>
      <w:marBottom w:val="0"/>
      <w:divBdr>
        <w:top w:val="none" w:sz="0" w:space="0" w:color="auto"/>
        <w:left w:val="none" w:sz="0" w:space="0" w:color="auto"/>
        <w:bottom w:val="none" w:sz="0" w:space="0" w:color="auto"/>
        <w:right w:val="none" w:sz="0" w:space="0" w:color="auto"/>
      </w:divBdr>
    </w:div>
    <w:div w:id="1473062261">
      <w:bodyDiv w:val="1"/>
      <w:marLeft w:val="0"/>
      <w:marRight w:val="0"/>
      <w:marTop w:val="0"/>
      <w:marBottom w:val="0"/>
      <w:divBdr>
        <w:top w:val="none" w:sz="0" w:space="0" w:color="auto"/>
        <w:left w:val="none" w:sz="0" w:space="0" w:color="auto"/>
        <w:bottom w:val="none" w:sz="0" w:space="0" w:color="auto"/>
        <w:right w:val="none" w:sz="0" w:space="0" w:color="auto"/>
      </w:divBdr>
    </w:div>
    <w:div w:id="1474054485">
      <w:bodyDiv w:val="1"/>
      <w:marLeft w:val="0"/>
      <w:marRight w:val="0"/>
      <w:marTop w:val="0"/>
      <w:marBottom w:val="0"/>
      <w:divBdr>
        <w:top w:val="none" w:sz="0" w:space="0" w:color="auto"/>
        <w:left w:val="none" w:sz="0" w:space="0" w:color="auto"/>
        <w:bottom w:val="none" w:sz="0" w:space="0" w:color="auto"/>
        <w:right w:val="none" w:sz="0" w:space="0" w:color="auto"/>
      </w:divBdr>
    </w:div>
    <w:div w:id="1474056984">
      <w:bodyDiv w:val="1"/>
      <w:marLeft w:val="0"/>
      <w:marRight w:val="0"/>
      <w:marTop w:val="0"/>
      <w:marBottom w:val="0"/>
      <w:divBdr>
        <w:top w:val="none" w:sz="0" w:space="0" w:color="auto"/>
        <w:left w:val="none" w:sz="0" w:space="0" w:color="auto"/>
        <w:bottom w:val="none" w:sz="0" w:space="0" w:color="auto"/>
        <w:right w:val="none" w:sz="0" w:space="0" w:color="auto"/>
      </w:divBdr>
    </w:div>
    <w:div w:id="1485275048">
      <w:bodyDiv w:val="1"/>
      <w:marLeft w:val="0"/>
      <w:marRight w:val="0"/>
      <w:marTop w:val="0"/>
      <w:marBottom w:val="0"/>
      <w:divBdr>
        <w:top w:val="none" w:sz="0" w:space="0" w:color="auto"/>
        <w:left w:val="none" w:sz="0" w:space="0" w:color="auto"/>
        <w:bottom w:val="none" w:sz="0" w:space="0" w:color="auto"/>
        <w:right w:val="none" w:sz="0" w:space="0" w:color="auto"/>
      </w:divBdr>
    </w:div>
    <w:div w:id="1522933284">
      <w:bodyDiv w:val="1"/>
      <w:marLeft w:val="0"/>
      <w:marRight w:val="0"/>
      <w:marTop w:val="0"/>
      <w:marBottom w:val="0"/>
      <w:divBdr>
        <w:top w:val="none" w:sz="0" w:space="0" w:color="auto"/>
        <w:left w:val="none" w:sz="0" w:space="0" w:color="auto"/>
        <w:bottom w:val="none" w:sz="0" w:space="0" w:color="auto"/>
        <w:right w:val="none" w:sz="0" w:space="0" w:color="auto"/>
      </w:divBdr>
    </w:div>
    <w:div w:id="1527018128">
      <w:bodyDiv w:val="1"/>
      <w:marLeft w:val="0"/>
      <w:marRight w:val="0"/>
      <w:marTop w:val="0"/>
      <w:marBottom w:val="0"/>
      <w:divBdr>
        <w:top w:val="none" w:sz="0" w:space="0" w:color="auto"/>
        <w:left w:val="none" w:sz="0" w:space="0" w:color="auto"/>
        <w:bottom w:val="none" w:sz="0" w:space="0" w:color="auto"/>
        <w:right w:val="none" w:sz="0" w:space="0" w:color="auto"/>
      </w:divBdr>
    </w:div>
    <w:div w:id="1533348887">
      <w:bodyDiv w:val="1"/>
      <w:marLeft w:val="0"/>
      <w:marRight w:val="0"/>
      <w:marTop w:val="0"/>
      <w:marBottom w:val="0"/>
      <w:divBdr>
        <w:top w:val="none" w:sz="0" w:space="0" w:color="auto"/>
        <w:left w:val="none" w:sz="0" w:space="0" w:color="auto"/>
        <w:bottom w:val="none" w:sz="0" w:space="0" w:color="auto"/>
        <w:right w:val="none" w:sz="0" w:space="0" w:color="auto"/>
      </w:divBdr>
    </w:div>
    <w:div w:id="1546409432">
      <w:bodyDiv w:val="1"/>
      <w:marLeft w:val="0"/>
      <w:marRight w:val="0"/>
      <w:marTop w:val="0"/>
      <w:marBottom w:val="0"/>
      <w:divBdr>
        <w:top w:val="none" w:sz="0" w:space="0" w:color="auto"/>
        <w:left w:val="none" w:sz="0" w:space="0" w:color="auto"/>
        <w:bottom w:val="none" w:sz="0" w:space="0" w:color="auto"/>
        <w:right w:val="none" w:sz="0" w:space="0" w:color="auto"/>
      </w:divBdr>
    </w:div>
    <w:div w:id="1553348727">
      <w:bodyDiv w:val="1"/>
      <w:marLeft w:val="0"/>
      <w:marRight w:val="0"/>
      <w:marTop w:val="0"/>
      <w:marBottom w:val="0"/>
      <w:divBdr>
        <w:top w:val="none" w:sz="0" w:space="0" w:color="auto"/>
        <w:left w:val="none" w:sz="0" w:space="0" w:color="auto"/>
        <w:bottom w:val="none" w:sz="0" w:space="0" w:color="auto"/>
        <w:right w:val="none" w:sz="0" w:space="0" w:color="auto"/>
      </w:divBdr>
    </w:div>
    <w:div w:id="1572226869">
      <w:bodyDiv w:val="1"/>
      <w:marLeft w:val="0"/>
      <w:marRight w:val="0"/>
      <w:marTop w:val="0"/>
      <w:marBottom w:val="0"/>
      <w:divBdr>
        <w:top w:val="none" w:sz="0" w:space="0" w:color="auto"/>
        <w:left w:val="none" w:sz="0" w:space="0" w:color="auto"/>
        <w:bottom w:val="none" w:sz="0" w:space="0" w:color="auto"/>
        <w:right w:val="none" w:sz="0" w:space="0" w:color="auto"/>
      </w:divBdr>
    </w:div>
    <w:div w:id="1580864255">
      <w:bodyDiv w:val="1"/>
      <w:marLeft w:val="0"/>
      <w:marRight w:val="0"/>
      <w:marTop w:val="0"/>
      <w:marBottom w:val="0"/>
      <w:divBdr>
        <w:top w:val="none" w:sz="0" w:space="0" w:color="auto"/>
        <w:left w:val="none" w:sz="0" w:space="0" w:color="auto"/>
        <w:bottom w:val="none" w:sz="0" w:space="0" w:color="auto"/>
        <w:right w:val="none" w:sz="0" w:space="0" w:color="auto"/>
      </w:divBdr>
    </w:div>
    <w:div w:id="1593008282">
      <w:bodyDiv w:val="1"/>
      <w:marLeft w:val="0"/>
      <w:marRight w:val="0"/>
      <w:marTop w:val="0"/>
      <w:marBottom w:val="0"/>
      <w:divBdr>
        <w:top w:val="none" w:sz="0" w:space="0" w:color="auto"/>
        <w:left w:val="none" w:sz="0" w:space="0" w:color="auto"/>
        <w:bottom w:val="none" w:sz="0" w:space="0" w:color="auto"/>
        <w:right w:val="none" w:sz="0" w:space="0" w:color="auto"/>
      </w:divBdr>
    </w:div>
    <w:div w:id="1638414835">
      <w:bodyDiv w:val="1"/>
      <w:marLeft w:val="0"/>
      <w:marRight w:val="0"/>
      <w:marTop w:val="0"/>
      <w:marBottom w:val="0"/>
      <w:divBdr>
        <w:top w:val="none" w:sz="0" w:space="0" w:color="auto"/>
        <w:left w:val="none" w:sz="0" w:space="0" w:color="auto"/>
        <w:bottom w:val="none" w:sz="0" w:space="0" w:color="auto"/>
        <w:right w:val="none" w:sz="0" w:space="0" w:color="auto"/>
      </w:divBdr>
    </w:div>
    <w:div w:id="1639799868">
      <w:bodyDiv w:val="1"/>
      <w:marLeft w:val="0"/>
      <w:marRight w:val="0"/>
      <w:marTop w:val="0"/>
      <w:marBottom w:val="0"/>
      <w:divBdr>
        <w:top w:val="none" w:sz="0" w:space="0" w:color="auto"/>
        <w:left w:val="none" w:sz="0" w:space="0" w:color="auto"/>
        <w:bottom w:val="none" w:sz="0" w:space="0" w:color="auto"/>
        <w:right w:val="none" w:sz="0" w:space="0" w:color="auto"/>
      </w:divBdr>
    </w:div>
    <w:div w:id="1648170609">
      <w:bodyDiv w:val="1"/>
      <w:marLeft w:val="0"/>
      <w:marRight w:val="0"/>
      <w:marTop w:val="0"/>
      <w:marBottom w:val="0"/>
      <w:divBdr>
        <w:top w:val="none" w:sz="0" w:space="0" w:color="auto"/>
        <w:left w:val="none" w:sz="0" w:space="0" w:color="auto"/>
        <w:bottom w:val="none" w:sz="0" w:space="0" w:color="auto"/>
        <w:right w:val="none" w:sz="0" w:space="0" w:color="auto"/>
      </w:divBdr>
    </w:div>
    <w:div w:id="1651207542">
      <w:bodyDiv w:val="1"/>
      <w:marLeft w:val="0"/>
      <w:marRight w:val="0"/>
      <w:marTop w:val="0"/>
      <w:marBottom w:val="0"/>
      <w:divBdr>
        <w:top w:val="none" w:sz="0" w:space="0" w:color="auto"/>
        <w:left w:val="none" w:sz="0" w:space="0" w:color="auto"/>
        <w:bottom w:val="none" w:sz="0" w:space="0" w:color="auto"/>
        <w:right w:val="none" w:sz="0" w:space="0" w:color="auto"/>
      </w:divBdr>
    </w:div>
    <w:div w:id="1652249623">
      <w:bodyDiv w:val="1"/>
      <w:marLeft w:val="0"/>
      <w:marRight w:val="0"/>
      <w:marTop w:val="0"/>
      <w:marBottom w:val="0"/>
      <w:divBdr>
        <w:top w:val="none" w:sz="0" w:space="0" w:color="auto"/>
        <w:left w:val="none" w:sz="0" w:space="0" w:color="auto"/>
        <w:bottom w:val="none" w:sz="0" w:space="0" w:color="auto"/>
        <w:right w:val="none" w:sz="0" w:space="0" w:color="auto"/>
      </w:divBdr>
    </w:div>
    <w:div w:id="1676305626">
      <w:bodyDiv w:val="1"/>
      <w:marLeft w:val="0"/>
      <w:marRight w:val="0"/>
      <w:marTop w:val="0"/>
      <w:marBottom w:val="0"/>
      <w:divBdr>
        <w:top w:val="none" w:sz="0" w:space="0" w:color="auto"/>
        <w:left w:val="none" w:sz="0" w:space="0" w:color="auto"/>
        <w:bottom w:val="none" w:sz="0" w:space="0" w:color="auto"/>
        <w:right w:val="none" w:sz="0" w:space="0" w:color="auto"/>
      </w:divBdr>
    </w:div>
    <w:div w:id="1678732189">
      <w:bodyDiv w:val="1"/>
      <w:marLeft w:val="0"/>
      <w:marRight w:val="0"/>
      <w:marTop w:val="0"/>
      <w:marBottom w:val="0"/>
      <w:divBdr>
        <w:top w:val="none" w:sz="0" w:space="0" w:color="auto"/>
        <w:left w:val="none" w:sz="0" w:space="0" w:color="auto"/>
        <w:bottom w:val="none" w:sz="0" w:space="0" w:color="auto"/>
        <w:right w:val="none" w:sz="0" w:space="0" w:color="auto"/>
      </w:divBdr>
    </w:div>
    <w:div w:id="1685551277">
      <w:bodyDiv w:val="1"/>
      <w:marLeft w:val="0"/>
      <w:marRight w:val="0"/>
      <w:marTop w:val="0"/>
      <w:marBottom w:val="0"/>
      <w:divBdr>
        <w:top w:val="none" w:sz="0" w:space="0" w:color="auto"/>
        <w:left w:val="none" w:sz="0" w:space="0" w:color="auto"/>
        <w:bottom w:val="none" w:sz="0" w:space="0" w:color="auto"/>
        <w:right w:val="none" w:sz="0" w:space="0" w:color="auto"/>
      </w:divBdr>
    </w:div>
    <w:div w:id="1716005922">
      <w:bodyDiv w:val="1"/>
      <w:marLeft w:val="0"/>
      <w:marRight w:val="0"/>
      <w:marTop w:val="0"/>
      <w:marBottom w:val="0"/>
      <w:divBdr>
        <w:top w:val="none" w:sz="0" w:space="0" w:color="auto"/>
        <w:left w:val="none" w:sz="0" w:space="0" w:color="auto"/>
        <w:bottom w:val="none" w:sz="0" w:space="0" w:color="auto"/>
        <w:right w:val="none" w:sz="0" w:space="0" w:color="auto"/>
      </w:divBdr>
    </w:div>
    <w:div w:id="1730764812">
      <w:bodyDiv w:val="1"/>
      <w:marLeft w:val="0"/>
      <w:marRight w:val="0"/>
      <w:marTop w:val="0"/>
      <w:marBottom w:val="0"/>
      <w:divBdr>
        <w:top w:val="none" w:sz="0" w:space="0" w:color="auto"/>
        <w:left w:val="none" w:sz="0" w:space="0" w:color="auto"/>
        <w:bottom w:val="none" w:sz="0" w:space="0" w:color="auto"/>
        <w:right w:val="none" w:sz="0" w:space="0" w:color="auto"/>
      </w:divBdr>
    </w:div>
    <w:div w:id="1745255539">
      <w:bodyDiv w:val="1"/>
      <w:marLeft w:val="0"/>
      <w:marRight w:val="0"/>
      <w:marTop w:val="0"/>
      <w:marBottom w:val="0"/>
      <w:divBdr>
        <w:top w:val="none" w:sz="0" w:space="0" w:color="auto"/>
        <w:left w:val="none" w:sz="0" w:space="0" w:color="auto"/>
        <w:bottom w:val="none" w:sz="0" w:space="0" w:color="auto"/>
        <w:right w:val="none" w:sz="0" w:space="0" w:color="auto"/>
      </w:divBdr>
    </w:div>
    <w:div w:id="1748964588">
      <w:bodyDiv w:val="1"/>
      <w:marLeft w:val="0"/>
      <w:marRight w:val="0"/>
      <w:marTop w:val="0"/>
      <w:marBottom w:val="0"/>
      <w:divBdr>
        <w:top w:val="none" w:sz="0" w:space="0" w:color="auto"/>
        <w:left w:val="none" w:sz="0" w:space="0" w:color="auto"/>
        <w:bottom w:val="none" w:sz="0" w:space="0" w:color="auto"/>
        <w:right w:val="none" w:sz="0" w:space="0" w:color="auto"/>
      </w:divBdr>
    </w:div>
    <w:div w:id="1751610730">
      <w:bodyDiv w:val="1"/>
      <w:marLeft w:val="0"/>
      <w:marRight w:val="0"/>
      <w:marTop w:val="0"/>
      <w:marBottom w:val="0"/>
      <w:divBdr>
        <w:top w:val="none" w:sz="0" w:space="0" w:color="auto"/>
        <w:left w:val="none" w:sz="0" w:space="0" w:color="auto"/>
        <w:bottom w:val="none" w:sz="0" w:space="0" w:color="auto"/>
        <w:right w:val="none" w:sz="0" w:space="0" w:color="auto"/>
      </w:divBdr>
    </w:div>
    <w:div w:id="1752238691">
      <w:bodyDiv w:val="1"/>
      <w:marLeft w:val="0"/>
      <w:marRight w:val="0"/>
      <w:marTop w:val="0"/>
      <w:marBottom w:val="0"/>
      <w:divBdr>
        <w:top w:val="none" w:sz="0" w:space="0" w:color="auto"/>
        <w:left w:val="none" w:sz="0" w:space="0" w:color="auto"/>
        <w:bottom w:val="none" w:sz="0" w:space="0" w:color="auto"/>
        <w:right w:val="none" w:sz="0" w:space="0" w:color="auto"/>
      </w:divBdr>
    </w:div>
    <w:div w:id="1767192001">
      <w:bodyDiv w:val="1"/>
      <w:marLeft w:val="0"/>
      <w:marRight w:val="0"/>
      <w:marTop w:val="0"/>
      <w:marBottom w:val="0"/>
      <w:divBdr>
        <w:top w:val="none" w:sz="0" w:space="0" w:color="auto"/>
        <w:left w:val="none" w:sz="0" w:space="0" w:color="auto"/>
        <w:bottom w:val="none" w:sz="0" w:space="0" w:color="auto"/>
        <w:right w:val="none" w:sz="0" w:space="0" w:color="auto"/>
      </w:divBdr>
    </w:div>
    <w:div w:id="1776828867">
      <w:bodyDiv w:val="1"/>
      <w:marLeft w:val="0"/>
      <w:marRight w:val="0"/>
      <w:marTop w:val="0"/>
      <w:marBottom w:val="0"/>
      <w:divBdr>
        <w:top w:val="none" w:sz="0" w:space="0" w:color="auto"/>
        <w:left w:val="none" w:sz="0" w:space="0" w:color="auto"/>
        <w:bottom w:val="none" w:sz="0" w:space="0" w:color="auto"/>
        <w:right w:val="none" w:sz="0" w:space="0" w:color="auto"/>
      </w:divBdr>
    </w:div>
    <w:div w:id="1789623416">
      <w:bodyDiv w:val="1"/>
      <w:marLeft w:val="0"/>
      <w:marRight w:val="0"/>
      <w:marTop w:val="0"/>
      <w:marBottom w:val="0"/>
      <w:divBdr>
        <w:top w:val="none" w:sz="0" w:space="0" w:color="auto"/>
        <w:left w:val="none" w:sz="0" w:space="0" w:color="auto"/>
        <w:bottom w:val="none" w:sz="0" w:space="0" w:color="auto"/>
        <w:right w:val="none" w:sz="0" w:space="0" w:color="auto"/>
      </w:divBdr>
    </w:div>
    <w:div w:id="1798454801">
      <w:bodyDiv w:val="1"/>
      <w:marLeft w:val="0"/>
      <w:marRight w:val="0"/>
      <w:marTop w:val="0"/>
      <w:marBottom w:val="0"/>
      <w:divBdr>
        <w:top w:val="none" w:sz="0" w:space="0" w:color="auto"/>
        <w:left w:val="none" w:sz="0" w:space="0" w:color="auto"/>
        <w:bottom w:val="none" w:sz="0" w:space="0" w:color="auto"/>
        <w:right w:val="none" w:sz="0" w:space="0" w:color="auto"/>
      </w:divBdr>
    </w:div>
    <w:div w:id="1802727964">
      <w:bodyDiv w:val="1"/>
      <w:marLeft w:val="0"/>
      <w:marRight w:val="0"/>
      <w:marTop w:val="0"/>
      <w:marBottom w:val="0"/>
      <w:divBdr>
        <w:top w:val="none" w:sz="0" w:space="0" w:color="auto"/>
        <w:left w:val="none" w:sz="0" w:space="0" w:color="auto"/>
        <w:bottom w:val="none" w:sz="0" w:space="0" w:color="auto"/>
        <w:right w:val="none" w:sz="0" w:space="0" w:color="auto"/>
      </w:divBdr>
    </w:div>
    <w:div w:id="1806387598">
      <w:bodyDiv w:val="1"/>
      <w:marLeft w:val="0"/>
      <w:marRight w:val="0"/>
      <w:marTop w:val="0"/>
      <w:marBottom w:val="0"/>
      <w:divBdr>
        <w:top w:val="none" w:sz="0" w:space="0" w:color="auto"/>
        <w:left w:val="none" w:sz="0" w:space="0" w:color="auto"/>
        <w:bottom w:val="none" w:sz="0" w:space="0" w:color="auto"/>
        <w:right w:val="none" w:sz="0" w:space="0" w:color="auto"/>
      </w:divBdr>
    </w:div>
    <w:div w:id="1815293633">
      <w:bodyDiv w:val="1"/>
      <w:marLeft w:val="0"/>
      <w:marRight w:val="0"/>
      <w:marTop w:val="0"/>
      <w:marBottom w:val="0"/>
      <w:divBdr>
        <w:top w:val="none" w:sz="0" w:space="0" w:color="auto"/>
        <w:left w:val="none" w:sz="0" w:space="0" w:color="auto"/>
        <w:bottom w:val="none" w:sz="0" w:space="0" w:color="auto"/>
        <w:right w:val="none" w:sz="0" w:space="0" w:color="auto"/>
      </w:divBdr>
    </w:div>
    <w:div w:id="1823812618">
      <w:bodyDiv w:val="1"/>
      <w:marLeft w:val="0"/>
      <w:marRight w:val="0"/>
      <w:marTop w:val="0"/>
      <w:marBottom w:val="0"/>
      <w:divBdr>
        <w:top w:val="none" w:sz="0" w:space="0" w:color="auto"/>
        <w:left w:val="none" w:sz="0" w:space="0" w:color="auto"/>
        <w:bottom w:val="none" w:sz="0" w:space="0" w:color="auto"/>
        <w:right w:val="none" w:sz="0" w:space="0" w:color="auto"/>
      </w:divBdr>
    </w:div>
    <w:div w:id="1831020458">
      <w:bodyDiv w:val="1"/>
      <w:marLeft w:val="0"/>
      <w:marRight w:val="0"/>
      <w:marTop w:val="0"/>
      <w:marBottom w:val="0"/>
      <w:divBdr>
        <w:top w:val="none" w:sz="0" w:space="0" w:color="auto"/>
        <w:left w:val="none" w:sz="0" w:space="0" w:color="auto"/>
        <w:bottom w:val="none" w:sz="0" w:space="0" w:color="auto"/>
        <w:right w:val="none" w:sz="0" w:space="0" w:color="auto"/>
      </w:divBdr>
    </w:div>
    <w:div w:id="1848978092">
      <w:bodyDiv w:val="1"/>
      <w:marLeft w:val="0"/>
      <w:marRight w:val="0"/>
      <w:marTop w:val="0"/>
      <w:marBottom w:val="0"/>
      <w:divBdr>
        <w:top w:val="none" w:sz="0" w:space="0" w:color="auto"/>
        <w:left w:val="none" w:sz="0" w:space="0" w:color="auto"/>
        <w:bottom w:val="none" w:sz="0" w:space="0" w:color="auto"/>
        <w:right w:val="none" w:sz="0" w:space="0" w:color="auto"/>
      </w:divBdr>
    </w:div>
    <w:div w:id="1871068671">
      <w:bodyDiv w:val="1"/>
      <w:marLeft w:val="0"/>
      <w:marRight w:val="0"/>
      <w:marTop w:val="0"/>
      <w:marBottom w:val="0"/>
      <w:divBdr>
        <w:top w:val="none" w:sz="0" w:space="0" w:color="auto"/>
        <w:left w:val="none" w:sz="0" w:space="0" w:color="auto"/>
        <w:bottom w:val="none" w:sz="0" w:space="0" w:color="auto"/>
        <w:right w:val="none" w:sz="0" w:space="0" w:color="auto"/>
      </w:divBdr>
    </w:div>
    <w:div w:id="1874341903">
      <w:bodyDiv w:val="1"/>
      <w:marLeft w:val="0"/>
      <w:marRight w:val="0"/>
      <w:marTop w:val="0"/>
      <w:marBottom w:val="0"/>
      <w:divBdr>
        <w:top w:val="none" w:sz="0" w:space="0" w:color="auto"/>
        <w:left w:val="none" w:sz="0" w:space="0" w:color="auto"/>
        <w:bottom w:val="none" w:sz="0" w:space="0" w:color="auto"/>
        <w:right w:val="none" w:sz="0" w:space="0" w:color="auto"/>
      </w:divBdr>
    </w:div>
    <w:div w:id="1897548808">
      <w:bodyDiv w:val="1"/>
      <w:marLeft w:val="0"/>
      <w:marRight w:val="0"/>
      <w:marTop w:val="0"/>
      <w:marBottom w:val="0"/>
      <w:divBdr>
        <w:top w:val="none" w:sz="0" w:space="0" w:color="auto"/>
        <w:left w:val="none" w:sz="0" w:space="0" w:color="auto"/>
        <w:bottom w:val="none" w:sz="0" w:space="0" w:color="auto"/>
        <w:right w:val="none" w:sz="0" w:space="0" w:color="auto"/>
      </w:divBdr>
    </w:div>
    <w:div w:id="1903447726">
      <w:bodyDiv w:val="1"/>
      <w:marLeft w:val="0"/>
      <w:marRight w:val="0"/>
      <w:marTop w:val="0"/>
      <w:marBottom w:val="0"/>
      <w:divBdr>
        <w:top w:val="none" w:sz="0" w:space="0" w:color="auto"/>
        <w:left w:val="none" w:sz="0" w:space="0" w:color="auto"/>
        <w:bottom w:val="none" w:sz="0" w:space="0" w:color="auto"/>
        <w:right w:val="none" w:sz="0" w:space="0" w:color="auto"/>
      </w:divBdr>
    </w:div>
    <w:div w:id="1916352759">
      <w:bodyDiv w:val="1"/>
      <w:marLeft w:val="0"/>
      <w:marRight w:val="0"/>
      <w:marTop w:val="0"/>
      <w:marBottom w:val="0"/>
      <w:divBdr>
        <w:top w:val="none" w:sz="0" w:space="0" w:color="auto"/>
        <w:left w:val="none" w:sz="0" w:space="0" w:color="auto"/>
        <w:bottom w:val="none" w:sz="0" w:space="0" w:color="auto"/>
        <w:right w:val="none" w:sz="0" w:space="0" w:color="auto"/>
      </w:divBdr>
    </w:div>
    <w:div w:id="1921520020">
      <w:bodyDiv w:val="1"/>
      <w:marLeft w:val="0"/>
      <w:marRight w:val="0"/>
      <w:marTop w:val="0"/>
      <w:marBottom w:val="0"/>
      <w:divBdr>
        <w:top w:val="none" w:sz="0" w:space="0" w:color="auto"/>
        <w:left w:val="none" w:sz="0" w:space="0" w:color="auto"/>
        <w:bottom w:val="none" w:sz="0" w:space="0" w:color="auto"/>
        <w:right w:val="none" w:sz="0" w:space="0" w:color="auto"/>
      </w:divBdr>
    </w:div>
    <w:div w:id="1924872247">
      <w:bodyDiv w:val="1"/>
      <w:marLeft w:val="0"/>
      <w:marRight w:val="0"/>
      <w:marTop w:val="0"/>
      <w:marBottom w:val="0"/>
      <w:divBdr>
        <w:top w:val="none" w:sz="0" w:space="0" w:color="auto"/>
        <w:left w:val="none" w:sz="0" w:space="0" w:color="auto"/>
        <w:bottom w:val="none" w:sz="0" w:space="0" w:color="auto"/>
        <w:right w:val="none" w:sz="0" w:space="0" w:color="auto"/>
      </w:divBdr>
    </w:div>
    <w:div w:id="1942176689">
      <w:bodyDiv w:val="1"/>
      <w:marLeft w:val="0"/>
      <w:marRight w:val="0"/>
      <w:marTop w:val="0"/>
      <w:marBottom w:val="0"/>
      <w:divBdr>
        <w:top w:val="none" w:sz="0" w:space="0" w:color="auto"/>
        <w:left w:val="none" w:sz="0" w:space="0" w:color="auto"/>
        <w:bottom w:val="none" w:sz="0" w:space="0" w:color="auto"/>
        <w:right w:val="none" w:sz="0" w:space="0" w:color="auto"/>
      </w:divBdr>
    </w:div>
    <w:div w:id="1969359290">
      <w:bodyDiv w:val="1"/>
      <w:marLeft w:val="0"/>
      <w:marRight w:val="0"/>
      <w:marTop w:val="0"/>
      <w:marBottom w:val="0"/>
      <w:divBdr>
        <w:top w:val="none" w:sz="0" w:space="0" w:color="auto"/>
        <w:left w:val="none" w:sz="0" w:space="0" w:color="auto"/>
        <w:bottom w:val="none" w:sz="0" w:space="0" w:color="auto"/>
        <w:right w:val="none" w:sz="0" w:space="0" w:color="auto"/>
      </w:divBdr>
    </w:div>
    <w:div w:id="1986664459">
      <w:bodyDiv w:val="1"/>
      <w:marLeft w:val="0"/>
      <w:marRight w:val="0"/>
      <w:marTop w:val="0"/>
      <w:marBottom w:val="0"/>
      <w:divBdr>
        <w:top w:val="none" w:sz="0" w:space="0" w:color="auto"/>
        <w:left w:val="none" w:sz="0" w:space="0" w:color="auto"/>
        <w:bottom w:val="none" w:sz="0" w:space="0" w:color="auto"/>
        <w:right w:val="none" w:sz="0" w:space="0" w:color="auto"/>
      </w:divBdr>
    </w:div>
    <w:div w:id="2017538015">
      <w:bodyDiv w:val="1"/>
      <w:marLeft w:val="0"/>
      <w:marRight w:val="0"/>
      <w:marTop w:val="0"/>
      <w:marBottom w:val="0"/>
      <w:divBdr>
        <w:top w:val="none" w:sz="0" w:space="0" w:color="auto"/>
        <w:left w:val="none" w:sz="0" w:space="0" w:color="auto"/>
        <w:bottom w:val="none" w:sz="0" w:space="0" w:color="auto"/>
        <w:right w:val="none" w:sz="0" w:space="0" w:color="auto"/>
      </w:divBdr>
    </w:div>
    <w:div w:id="2017539159">
      <w:bodyDiv w:val="1"/>
      <w:marLeft w:val="0"/>
      <w:marRight w:val="0"/>
      <w:marTop w:val="0"/>
      <w:marBottom w:val="0"/>
      <w:divBdr>
        <w:top w:val="none" w:sz="0" w:space="0" w:color="auto"/>
        <w:left w:val="none" w:sz="0" w:space="0" w:color="auto"/>
        <w:bottom w:val="none" w:sz="0" w:space="0" w:color="auto"/>
        <w:right w:val="none" w:sz="0" w:space="0" w:color="auto"/>
      </w:divBdr>
    </w:div>
    <w:div w:id="2018919026">
      <w:bodyDiv w:val="1"/>
      <w:marLeft w:val="0"/>
      <w:marRight w:val="0"/>
      <w:marTop w:val="0"/>
      <w:marBottom w:val="0"/>
      <w:divBdr>
        <w:top w:val="none" w:sz="0" w:space="0" w:color="auto"/>
        <w:left w:val="none" w:sz="0" w:space="0" w:color="auto"/>
        <w:bottom w:val="none" w:sz="0" w:space="0" w:color="auto"/>
        <w:right w:val="none" w:sz="0" w:space="0" w:color="auto"/>
      </w:divBdr>
    </w:div>
    <w:div w:id="2026667392">
      <w:bodyDiv w:val="1"/>
      <w:marLeft w:val="0"/>
      <w:marRight w:val="0"/>
      <w:marTop w:val="0"/>
      <w:marBottom w:val="0"/>
      <w:divBdr>
        <w:top w:val="none" w:sz="0" w:space="0" w:color="auto"/>
        <w:left w:val="none" w:sz="0" w:space="0" w:color="auto"/>
        <w:bottom w:val="none" w:sz="0" w:space="0" w:color="auto"/>
        <w:right w:val="none" w:sz="0" w:space="0" w:color="auto"/>
      </w:divBdr>
    </w:div>
    <w:div w:id="2028360779">
      <w:bodyDiv w:val="1"/>
      <w:marLeft w:val="0"/>
      <w:marRight w:val="0"/>
      <w:marTop w:val="0"/>
      <w:marBottom w:val="0"/>
      <w:divBdr>
        <w:top w:val="none" w:sz="0" w:space="0" w:color="auto"/>
        <w:left w:val="none" w:sz="0" w:space="0" w:color="auto"/>
        <w:bottom w:val="none" w:sz="0" w:space="0" w:color="auto"/>
        <w:right w:val="none" w:sz="0" w:space="0" w:color="auto"/>
      </w:divBdr>
    </w:div>
    <w:div w:id="2028486750">
      <w:bodyDiv w:val="1"/>
      <w:marLeft w:val="0"/>
      <w:marRight w:val="0"/>
      <w:marTop w:val="0"/>
      <w:marBottom w:val="0"/>
      <w:divBdr>
        <w:top w:val="none" w:sz="0" w:space="0" w:color="auto"/>
        <w:left w:val="none" w:sz="0" w:space="0" w:color="auto"/>
        <w:bottom w:val="none" w:sz="0" w:space="0" w:color="auto"/>
        <w:right w:val="none" w:sz="0" w:space="0" w:color="auto"/>
      </w:divBdr>
    </w:div>
    <w:div w:id="2032489573">
      <w:bodyDiv w:val="1"/>
      <w:marLeft w:val="0"/>
      <w:marRight w:val="0"/>
      <w:marTop w:val="0"/>
      <w:marBottom w:val="0"/>
      <w:divBdr>
        <w:top w:val="none" w:sz="0" w:space="0" w:color="auto"/>
        <w:left w:val="none" w:sz="0" w:space="0" w:color="auto"/>
        <w:bottom w:val="none" w:sz="0" w:space="0" w:color="auto"/>
        <w:right w:val="none" w:sz="0" w:space="0" w:color="auto"/>
      </w:divBdr>
    </w:div>
    <w:div w:id="2037464597">
      <w:bodyDiv w:val="1"/>
      <w:marLeft w:val="0"/>
      <w:marRight w:val="0"/>
      <w:marTop w:val="0"/>
      <w:marBottom w:val="0"/>
      <w:divBdr>
        <w:top w:val="none" w:sz="0" w:space="0" w:color="auto"/>
        <w:left w:val="none" w:sz="0" w:space="0" w:color="auto"/>
        <w:bottom w:val="none" w:sz="0" w:space="0" w:color="auto"/>
        <w:right w:val="none" w:sz="0" w:space="0" w:color="auto"/>
      </w:divBdr>
    </w:div>
    <w:div w:id="2039742516">
      <w:bodyDiv w:val="1"/>
      <w:marLeft w:val="0"/>
      <w:marRight w:val="0"/>
      <w:marTop w:val="0"/>
      <w:marBottom w:val="0"/>
      <w:divBdr>
        <w:top w:val="none" w:sz="0" w:space="0" w:color="auto"/>
        <w:left w:val="none" w:sz="0" w:space="0" w:color="auto"/>
        <w:bottom w:val="none" w:sz="0" w:space="0" w:color="auto"/>
        <w:right w:val="none" w:sz="0" w:space="0" w:color="auto"/>
      </w:divBdr>
    </w:div>
    <w:div w:id="2041278991">
      <w:bodyDiv w:val="1"/>
      <w:marLeft w:val="0"/>
      <w:marRight w:val="0"/>
      <w:marTop w:val="0"/>
      <w:marBottom w:val="0"/>
      <w:divBdr>
        <w:top w:val="none" w:sz="0" w:space="0" w:color="auto"/>
        <w:left w:val="none" w:sz="0" w:space="0" w:color="auto"/>
        <w:bottom w:val="none" w:sz="0" w:space="0" w:color="auto"/>
        <w:right w:val="none" w:sz="0" w:space="0" w:color="auto"/>
      </w:divBdr>
    </w:div>
    <w:div w:id="2076001119">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102290689">
      <w:bodyDiv w:val="1"/>
      <w:marLeft w:val="0"/>
      <w:marRight w:val="0"/>
      <w:marTop w:val="0"/>
      <w:marBottom w:val="0"/>
      <w:divBdr>
        <w:top w:val="none" w:sz="0" w:space="0" w:color="auto"/>
        <w:left w:val="none" w:sz="0" w:space="0" w:color="auto"/>
        <w:bottom w:val="none" w:sz="0" w:space="0" w:color="auto"/>
        <w:right w:val="none" w:sz="0" w:space="0" w:color="auto"/>
      </w:divBdr>
    </w:div>
    <w:div w:id="21269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portal/sites/IdentityGuidelines/images/SealSimplifi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27A7-72C2-4268-9DFF-BA2D08B8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5866</Words>
  <Characters>33439</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Leanne</dc:creator>
  <cp:keywords/>
  <dc:description/>
  <cp:lastModifiedBy>Booher, Mary</cp:lastModifiedBy>
  <cp:revision>2</cp:revision>
  <cp:lastPrinted>2019-05-14T22:47:00Z</cp:lastPrinted>
  <dcterms:created xsi:type="dcterms:W3CDTF">2019-05-16T18:17:00Z</dcterms:created>
  <dcterms:modified xsi:type="dcterms:W3CDTF">2019-05-16T18:17:00Z</dcterms:modified>
</cp:coreProperties>
</file>