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3A" w:rsidRPr="00786ABF" w:rsidRDefault="007D123A" w:rsidP="00FE608F">
      <w:pPr>
        <w:pStyle w:val="Title"/>
        <w:spacing w:after="120"/>
        <w:ind w:left="720" w:right="720"/>
        <w:rPr>
          <w:bCs/>
          <w:szCs w:val="24"/>
        </w:rPr>
      </w:pPr>
      <w:r w:rsidRPr="00786ABF">
        <w:rPr>
          <w:bCs/>
          <w:szCs w:val="24"/>
        </w:rPr>
        <w:t xml:space="preserve">RESOLUTION NO. </w:t>
      </w:r>
      <w:r w:rsidR="00A74E15">
        <w:rPr>
          <w:bCs/>
          <w:szCs w:val="24"/>
        </w:rPr>
        <w:t>2014-96</w:t>
      </w:r>
    </w:p>
    <w:p w:rsidR="007D123A" w:rsidRPr="00786ABF" w:rsidRDefault="007D123A" w:rsidP="00FE608F">
      <w:pPr>
        <w:pStyle w:val="BodyText"/>
        <w:spacing w:before="120" w:after="120"/>
        <w:ind w:left="720" w:right="720"/>
        <w:jc w:val="center"/>
        <w:rPr>
          <w:rFonts w:ascii="Times New Roman" w:hAnsi="Times New Roman"/>
          <w:b/>
          <w:sz w:val="24"/>
          <w:szCs w:val="24"/>
        </w:rPr>
      </w:pPr>
      <w:r w:rsidRPr="00786ABF">
        <w:rPr>
          <w:rFonts w:ascii="Times New Roman" w:hAnsi="Times New Roman"/>
          <w:b/>
          <w:sz w:val="24"/>
          <w:szCs w:val="24"/>
        </w:rPr>
        <w:t xml:space="preserve">RESOLUTION OF </w:t>
      </w:r>
      <w:r w:rsidR="004A159B" w:rsidRPr="00786ABF">
        <w:rPr>
          <w:rFonts w:ascii="Times New Roman" w:hAnsi="Times New Roman"/>
          <w:b/>
          <w:sz w:val="24"/>
          <w:szCs w:val="24"/>
        </w:rPr>
        <w:t>THE BOARD</w:t>
      </w:r>
      <w:r w:rsidRPr="00786ABF">
        <w:rPr>
          <w:rFonts w:ascii="Times New Roman" w:hAnsi="Times New Roman"/>
          <w:b/>
          <w:sz w:val="24"/>
          <w:szCs w:val="24"/>
        </w:rPr>
        <w:t xml:space="preserve"> OF SU</w:t>
      </w:r>
      <w:r w:rsidR="002428AE">
        <w:rPr>
          <w:rFonts w:ascii="Times New Roman" w:hAnsi="Times New Roman"/>
          <w:b/>
          <w:sz w:val="24"/>
          <w:szCs w:val="24"/>
        </w:rPr>
        <w:t xml:space="preserve">PERVISORS OF THE COUNTY OF NAPA, STATE OF CALIFORNIA </w:t>
      </w:r>
      <w:r w:rsidR="004A159B" w:rsidRPr="00786ABF">
        <w:rPr>
          <w:rFonts w:ascii="Times New Roman" w:hAnsi="Times New Roman"/>
          <w:b/>
          <w:sz w:val="24"/>
          <w:szCs w:val="24"/>
        </w:rPr>
        <w:t xml:space="preserve">APPROVING </w:t>
      </w:r>
      <w:r w:rsidR="0010589F">
        <w:rPr>
          <w:rFonts w:ascii="Times New Roman" w:hAnsi="Times New Roman"/>
          <w:b/>
          <w:sz w:val="24"/>
          <w:szCs w:val="24"/>
        </w:rPr>
        <w:t xml:space="preserve">DISBURSEMENT OF FUNDS </w:t>
      </w:r>
      <w:r w:rsidRPr="00786ABF">
        <w:rPr>
          <w:rFonts w:ascii="Times New Roman" w:hAnsi="Times New Roman"/>
          <w:b/>
          <w:sz w:val="24"/>
          <w:szCs w:val="24"/>
        </w:rPr>
        <w:t xml:space="preserve">FROM THE COUNTY OF NAPA AFFORDABLE HOUSING FUND TO </w:t>
      </w:r>
      <w:r w:rsidR="0010589F">
        <w:rPr>
          <w:rFonts w:ascii="Times New Roman" w:hAnsi="Times New Roman"/>
          <w:b/>
          <w:sz w:val="24"/>
          <w:szCs w:val="24"/>
        </w:rPr>
        <w:t xml:space="preserve">BRIDGE HOUSING CORPORATION IN CONNECTION WITH A LOAN PREVIOUSLY APPROVED </w:t>
      </w:r>
      <w:r w:rsidRPr="00786ABF">
        <w:rPr>
          <w:rFonts w:ascii="Times New Roman" w:hAnsi="Times New Roman"/>
          <w:b/>
          <w:sz w:val="24"/>
          <w:szCs w:val="24"/>
        </w:rPr>
        <w:t xml:space="preserve">TO ASSIST </w:t>
      </w:r>
      <w:r w:rsidR="00AB51E7" w:rsidRPr="00786ABF">
        <w:rPr>
          <w:rFonts w:ascii="Times New Roman" w:hAnsi="Times New Roman"/>
          <w:b/>
          <w:sz w:val="24"/>
          <w:szCs w:val="24"/>
        </w:rPr>
        <w:t xml:space="preserve">IN THE </w:t>
      </w:r>
      <w:r w:rsidR="006B6239">
        <w:rPr>
          <w:rFonts w:ascii="Times New Roman" w:hAnsi="Times New Roman"/>
          <w:b/>
          <w:sz w:val="24"/>
          <w:szCs w:val="24"/>
        </w:rPr>
        <w:t>DEVELOPMENT OF</w:t>
      </w:r>
      <w:r w:rsidR="00AB51E7" w:rsidRPr="00786ABF">
        <w:rPr>
          <w:rFonts w:ascii="Times New Roman" w:hAnsi="Times New Roman"/>
          <w:b/>
          <w:sz w:val="24"/>
          <w:szCs w:val="24"/>
        </w:rPr>
        <w:t xml:space="preserve"> </w:t>
      </w:r>
      <w:r w:rsidR="006B6239">
        <w:rPr>
          <w:rFonts w:ascii="Times New Roman" w:hAnsi="Times New Roman"/>
          <w:b/>
          <w:sz w:val="24"/>
          <w:szCs w:val="24"/>
        </w:rPr>
        <w:t>AFFORDABLE</w:t>
      </w:r>
      <w:r w:rsidR="00AB51E7" w:rsidRPr="00786ABF">
        <w:rPr>
          <w:rFonts w:ascii="Times New Roman" w:hAnsi="Times New Roman"/>
          <w:b/>
          <w:sz w:val="24"/>
          <w:szCs w:val="24"/>
        </w:rPr>
        <w:t xml:space="preserve"> HOUSING </w:t>
      </w:r>
      <w:r w:rsidR="006B6239">
        <w:rPr>
          <w:rFonts w:ascii="Times New Roman" w:hAnsi="Times New Roman"/>
          <w:b/>
          <w:sz w:val="24"/>
          <w:szCs w:val="24"/>
        </w:rPr>
        <w:t xml:space="preserve">UNITS </w:t>
      </w:r>
    </w:p>
    <w:p w:rsidR="008E3232" w:rsidRDefault="008E3232" w:rsidP="00FE608F">
      <w:pPr>
        <w:spacing w:before="120" w:after="120"/>
        <w:ind w:firstLine="720"/>
        <w:rPr>
          <w:snapToGrid/>
          <w:szCs w:val="24"/>
        </w:rPr>
      </w:pPr>
      <w:r>
        <w:rPr>
          <w:b/>
        </w:rPr>
        <w:t xml:space="preserve">WHEREAS, </w:t>
      </w:r>
      <w:r w:rsidRPr="00A962BD">
        <w:rPr>
          <w:snapToGrid/>
          <w:szCs w:val="24"/>
        </w:rPr>
        <w:t xml:space="preserve">on June 30, 2010, the County </w:t>
      </w:r>
      <w:r w:rsidR="002428AE">
        <w:rPr>
          <w:snapToGrid/>
          <w:szCs w:val="24"/>
        </w:rPr>
        <w:t xml:space="preserve">of Napa (“County”) </w:t>
      </w:r>
      <w:r w:rsidRPr="00A962BD">
        <w:rPr>
          <w:snapToGrid/>
          <w:szCs w:val="24"/>
        </w:rPr>
        <w:t>issued a Notice of Funding Availability (</w:t>
      </w:r>
      <w:r>
        <w:rPr>
          <w:snapToGrid/>
          <w:szCs w:val="24"/>
        </w:rPr>
        <w:t>“</w:t>
      </w:r>
      <w:r w:rsidRPr="00A962BD">
        <w:rPr>
          <w:snapToGrid/>
          <w:szCs w:val="24"/>
        </w:rPr>
        <w:t>NOFA</w:t>
      </w:r>
      <w:r>
        <w:rPr>
          <w:snapToGrid/>
          <w:szCs w:val="24"/>
        </w:rPr>
        <w:t>”</w:t>
      </w:r>
      <w:r w:rsidRPr="00A962BD">
        <w:rPr>
          <w:snapToGrid/>
          <w:szCs w:val="24"/>
        </w:rPr>
        <w:t>) for Development of Affordable Rental Housing</w:t>
      </w:r>
      <w:r>
        <w:rPr>
          <w:snapToGrid/>
          <w:szCs w:val="24"/>
        </w:rPr>
        <w:t xml:space="preserve"> and </w:t>
      </w:r>
      <w:r w:rsidRPr="00A962BD">
        <w:rPr>
          <w:snapToGrid/>
          <w:szCs w:val="24"/>
        </w:rPr>
        <w:t xml:space="preserve">made </w:t>
      </w:r>
      <w:r>
        <w:rPr>
          <w:snapToGrid/>
          <w:szCs w:val="24"/>
        </w:rPr>
        <w:t>Five Million Dollars ($5,000,000)</w:t>
      </w:r>
      <w:r w:rsidRPr="00A962BD">
        <w:rPr>
          <w:snapToGrid/>
          <w:szCs w:val="24"/>
        </w:rPr>
        <w:t xml:space="preserve"> available through its NOFA for projects located anywhere in Napa County</w:t>
      </w:r>
      <w:r>
        <w:rPr>
          <w:snapToGrid/>
          <w:szCs w:val="24"/>
        </w:rPr>
        <w:t xml:space="preserve">; and </w:t>
      </w:r>
    </w:p>
    <w:p w:rsidR="008E3232" w:rsidRPr="00A962BD" w:rsidRDefault="008E3232" w:rsidP="00FE608F">
      <w:pPr>
        <w:spacing w:before="120" w:after="120"/>
        <w:ind w:firstLine="720"/>
        <w:rPr>
          <w:snapToGrid/>
          <w:szCs w:val="24"/>
        </w:rPr>
      </w:pPr>
      <w:r w:rsidRPr="00A962BD">
        <w:rPr>
          <w:b/>
          <w:snapToGrid/>
          <w:szCs w:val="24"/>
        </w:rPr>
        <w:t>WHEREAS</w:t>
      </w:r>
      <w:r>
        <w:rPr>
          <w:snapToGrid/>
          <w:szCs w:val="24"/>
        </w:rPr>
        <w:t xml:space="preserve">, </w:t>
      </w:r>
      <w:r w:rsidRPr="00A962BD">
        <w:rPr>
          <w:snapToGrid/>
          <w:szCs w:val="24"/>
        </w:rPr>
        <w:t xml:space="preserve">the City of Napa </w:t>
      </w:r>
      <w:r>
        <w:rPr>
          <w:snapToGrid/>
          <w:szCs w:val="24"/>
        </w:rPr>
        <w:t xml:space="preserve">(“City”) simultaneously </w:t>
      </w:r>
      <w:r w:rsidRPr="00A962BD">
        <w:rPr>
          <w:snapToGrid/>
          <w:szCs w:val="24"/>
        </w:rPr>
        <w:t>made</w:t>
      </w:r>
      <w:r>
        <w:rPr>
          <w:snapToGrid/>
          <w:szCs w:val="24"/>
        </w:rPr>
        <w:t xml:space="preserve"> Three Million Five Hundred Thousand Dollars ($3,500,000) of its trust fund </w:t>
      </w:r>
      <w:r w:rsidRPr="00A962BD">
        <w:rPr>
          <w:snapToGrid/>
          <w:szCs w:val="24"/>
        </w:rPr>
        <w:t>available for any projects located within the City’s boundaries</w:t>
      </w:r>
      <w:r>
        <w:rPr>
          <w:snapToGrid/>
          <w:szCs w:val="24"/>
        </w:rPr>
        <w:t xml:space="preserve">; and </w:t>
      </w:r>
    </w:p>
    <w:p w:rsidR="008E3232" w:rsidRDefault="008E3232" w:rsidP="00FE608F">
      <w:pPr>
        <w:widowControl/>
        <w:spacing w:before="120" w:after="120"/>
        <w:ind w:firstLine="720"/>
        <w:rPr>
          <w:snapToGrid/>
          <w:szCs w:val="24"/>
        </w:rPr>
      </w:pPr>
      <w:r w:rsidRPr="000F098C">
        <w:rPr>
          <w:b/>
          <w:snapToGrid/>
          <w:szCs w:val="24"/>
        </w:rPr>
        <w:t>WHEREAS</w:t>
      </w:r>
      <w:r w:rsidRPr="00A962BD">
        <w:rPr>
          <w:snapToGrid/>
          <w:szCs w:val="24"/>
        </w:rPr>
        <w:t xml:space="preserve">, County and City received five high-quality proposals for new affordable housing developments, all located within the City of Napa; and </w:t>
      </w:r>
    </w:p>
    <w:p w:rsidR="008E3232" w:rsidRDefault="008E3232" w:rsidP="00FE608F">
      <w:pPr>
        <w:spacing w:before="120" w:after="120"/>
        <w:ind w:firstLine="720"/>
        <w:rPr>
          <w:szCs w:val="24"/>
        </w:rPr>
      </w:pPr>
      <w:r>
        <w:rPr>
          <w:b/>
          <w:szCs w:val="24"/>
        </w:rPr>
        <w:t xml:space="preserve">WHEREAS, </w:t>
      </w:r>
      <w:r>
        <w:rPr>
          <w:szCs w:val="24"/>
        </w:rPr>
        <w:t>County and City jointly selected the proposals for the development of the Si</w:t>
      </w:r>
      <w:r w:rsidR="003468CB">
        <w:rPr>
          <w:szCs w:val="24"/>
        </w:rPr>
        <w:t>lverado Creek Residences project</w:t>
      </w:r>
      <w:r w:rsidR="00DB4EE0">
        <w:rPr>
          <w:szCs w:val="24"/>
        </w:rPr>
        <w:t>, to be developed by BRIDGE Housing Corporation, a California non-profit corporation (“BRIDGE”)</w:t>
      </w:r>
      <w:r>
        <w:rPr>
          <w:szCs w:val="24"/>
        </w:rPr>
        <w:t>; and</w:t>
      </w:r>
    </w:p>
    <w:p w:rsidR="003468CB" w:rsidRDefault="003468CB" w:rsidP="00FE608F">
      <w:pPr>
        <w:spacing w:before="120" w:after="120"/>
        <w:ind w:firstLine="720"/>
        <w:rPr>
          <w:szCs w:val="24"/>
        </w:rPr>
      </w:pPr>
      <w:r w:rsidRPr="006B3D43">
        <w:rPr>
          <w:b/>
          <w:szCs w:val="24"/>
        </w:rPr>
        <w:t>WHEREAS</w:t>
      </w:r>
      <w:r>
        <w:rPr>
          <w:szCs w:val="24"/>
        </w:rPr>
        <w:t xml:space="preserve">, the Silverado Creek Residences project later underwent a name change and is now known as the Napa Creekside Apartments project (“the Project”); and </w:t>
      </w:r>
    </w:p>
    <w:p w:rsidR="008E3232" w:rsidRDefault="008E3232" w:rsidP="00FE608F">
      <w:pPr>
        <w:spacing w:before="120" w:after="120"/>
        <w:ind w:firstLine="720"/>
        <w:rPr>
          <w:szCs w:val="24"/>
        </w:rPr>
      </w:pPr>
      <w:r>
        <w:rPr>
          <w:b/>
          <w:szCs w:val="24"/>
        </w:rPr>
        <w:t>WHEREAS</w:t>
      </w:r>
      <w:r>
        <w:rPr>
          <w:szCs w:val="24"/>
        </w:rPr>
        <w:t xml:space="preserve">, the Project includes the redevelopment of the vacant Sunrise Senior Living Property located in the City of Napa at 3700 Valle Verde Drive and will provide </w:t>
      </w:r>
      <w:r w:rsidR="003468CB">
        <w:rPr>
          <w:szCs w:val="24"/>
        </w:rPr>
        <w:t>fifty six (56)</w:t>
      </w:r>
      <w:r>
        <w:rPr>
          <w:szCs w:val="24"/>
        </w:rPr>
        <w:t xml:space="preserve"> units of affordable rental housing and </w:t>
      </w:r>
      <w:r w:rsidR="003468CB">
        <w:rPr>
          <w:szCs w:val="24"/>
        </w:rPr>
        <w:t>one (1) manager’s unit</w:t>
      </w:r>
      <w:r>
        <w:rPr>
          <w:szCs w:val="24"/>
        </w:rPr>
        <w:t>; and</w:t>
      </w:r>
    </w:p>
    <w:p w:rsidR="007A198D" w:rsidRDefault="007A198D" w:rsidP="00FE608F">
      <w:pPr>
        <w:spacing w:before="120" w:after="120"/>
        <w:ind w:firstLine="720"/>
        <w:rPr>
          <w:szCs w:val="24"/>
        </w:rPr>
      </w:pPr>
      <w:r>
        <w:rPr>
          <w:b/>
          <w:szCs w:val="24"/>
        </w:rPr>
        <w:t xml:space="preserve">WHEREAS, </w:t>
      </w:r>
      <w:r>
        <w:rPr>
          <w:szCs w:val="24"/>
        </w:rPr>
        <w:t xml:space="preserve">by Resolution No. </w:t>
      </w:r>
      <w:r w:rsidR="006B3D43">
        <w:rPr>
          <w:szCs w:val="24"/>
        </w:rPr>
        <w:t>2011-0</w:t>
      </w:r>
      <w:r w:rsidR="006B6239">
        <w:rPr>
          <w:szCs w:val="24"/>
        </w:rPr>
        <w:t>2</w:t>
      </w:r>
      <w:r w:rsidR="008E3232">
        <w:rPr>
          <w:szCs w:val="24"/>
        </w:rPr>
        <w:t xml:space="preserve">, </w:t>
      </w:r>
      <w:r>
        <w:rPr>
          <w:szCs w:val="24"/>
        </w:rPr>
        <w:t xml:space="preserve">the Board of Supervisors </w:t>
      </w:r>
      <w:r w:rsidR="006B6239">
        <w:rPr>
          <w:szCs w:val="24"/>
        </w:rPr>
        <w:t>reserved Two Million Nine Hundred Three Thousand Eight Hundred Sixty Two Dollars ($2,903,862)</w:t>
      </w:r>
      <w:r>
        <w:rPr>
          <w:szCs w:val="24"/>
        </w:rPr>
        <w:t xml:space="preserve"> from the Napa County Affordable Housing Fund </w:t>
      </w:r>
      <w:r w:rsidRPr="00786ABF">
        <w:rPr>
          <w:szCs w:val="24"/>
        </w:rPr>
        <w:t xml:space="preserve">to assist with the </w:t>
      </w:r>
      <w:r w:rsidR="006B6239">
        <w:rPr>
          <w:szCs w:val="24"/>
        </w:rPr>
        <w:t xml:space="preserve">development </w:t>
      </w:r>
      <w:r w:rsidR="008E3232">
        <w:rPr>
          <w:szCs w:val="24"/>
        </w:rPr>
        <w:t>of the Project</w:t>
      </w:r>
      <w:r w:rsidR="00213044">
        <w:rPr>
          <w:szCs w:val="24"/>
        </w:rPr>
        <w:t>; and</w:t>
      </w:r>
    </w:p>
    <w:p w:rsidR="00213044" w:rsidRDefault="00213044" w:rsidP="00213044">
      <w:pPr>
        <w:spacing w:before="120" w:after="120"/>
        <w:ind w:firstLine="720"/>
        <w:rPr>
          <w:szCs w:val="24"/>
        </w:rPr>
      </w:pPr>
      <w:r w:rsidRPr="00213044">
        <w:rPr>
          <w:b/>
          <w:szCs w:val="24"/>
        </w:rPr>
        <w:t>WHEREAS</w:t>
      </w:r>
      <w:r>
        <w:rPr>
          <w:szCs w:val="24"/>
        </w:rPr>
        <w:t>, the Project is located within the jurisdiction of the City and is subject to review and approval by the City, with County having no authority to approve entitlements for use for the Project; and</w:t>
      </w:r>
    </w:p>
    <w:p w:rsidR="000155DB" w:rsidRDefault="000155DB" w:rsidP="000155DB">
      <w:pPr>
        <w:spacing w:before="120" w:after="120"/>
        <w:rPr>
          <w:szCs w:val="24"/>
        </w:rPr>
      </w:pPr>
      <w:r>
        <w:rPr>
          <w:szCs w:val="24"/>
        </w:rPr>
        <w:tab/>
      </w:r>
      <w:r w:rsidRPr="000155DB">
        <w:rPr>
          <w:b/>
          <w:szCs w:val="24"/>
        </w:rPr>
        <w:t>WHEREAS</w:t>
      </w:r>
      <w:r>
        <w:rPr>
          <w:szCs w:val="24"/>
        </w:rPr>
        <w:t xml:space="preserve">, BRIDGE seeks disbursement of </w:t>
      </w:r>
      <w:r w:rsidR="0023208E">
        <w:rPr>
          <w:szCs w:val="24"/>
        </w:rPr>
        <w:t>One Million Three Hundred Seventeen Thousand Nine Hundred Eighty-Five Dollars (</w:t>
      </w:r>
      <w:r>
        <w:rPr>
          <w:szCs w:val="24"/>
        </w:rPr>
        <w:t>$1,317,985</w:t>
      </w:r>
      <w:r w:rsidR="0023208E">
        <w:rPr>
          <w:szCs w:val="24"/>
        </w:rPr>
        <w:t>)</w:t>
      </w:r>
      <w:r>
        <w:rPr>
          <w:szCs w:val="24"/>
        </w:rPr>
        <w:t xml:space="preserve"> of the loan amount to cover predevelopment costs and also seeks to extend the reservation period</w:t>
      </w:r>
      <w:r w:rsidR="00D60F99">
        <w:rPr>
          <w:szCs w:val="24"/>
        </w:rPr>
        <w:t xml:space="preserve"> for a construction loan; and</w:t>
      </w:r>
    </w:p>
    <w:p w:rsidR="00D60F99" w:rsidRDefault="00D60F99" w:rsidP="000155DB">
      <w:pPr>
        <w:spacing w:before="120" w:after="120"/>
        <w:rPr>
          <w:szCs w:val="24"/>
        </w:rPr>
      </w:pPr>
      <w:r>
        <w:rPr>
          <w:szCs w:val="24"/>
        </w:rPr>
        <w:tab/>
      </w:r>
      <w:r w:rsidRPr="00213044">
        <w:rPr>
          <w:b/>
          <w:szCs w:val="24"/>
        </w:rPr>
        <w:t>WHEREAS</w:t>
      </w:r>
      <w:r>
        <w:rPr>
          <w:szCs w:val="24"/>
        </w:rPr>
        <w:t>, the County does not commit to or otherwise endorse the Project by approving a predevelopment loan; and</w:t>
      </w:r>
    </w:p>
    <w:p w:rsidR="00D60F99" w:rsidRDefault="00D60F99" w:rsidP="000155DB">
      <w:pPr>
        <w:spacing w:before="120" w:after="120"/>
        <w:rPr>
          <w:szCs w:val="24"/>
        </w:rPr>
      </w:pPr>
      <w:r>
        <w:rPr>
          <w:szCs w:val="24"/>
        </w:rPr>
        <w:tab/>
      </w:r>
      <w:r w:rsidRPr="00213044">
        <w:rPr>
          <w:b/>
          <w:szCs w:val="24"/>
        </w:rPr>
        <w:t>WHEREAS</w:t>
      </w:r>
      <w:r>
        <w:rPr>
          <w:szCs w:val="24"/>
        </w:rPr>
        <w:t xml:space="preserve">, </w:t>
      </w:r>
      <w:r w:rsidR="00213044">
        <w:rPr>
          <w:szCs w:val="24"/>
        </w:rPr>
        <w:t>approval of a predevelopment loan will not commit the County to any particular physical feature of the Project so as to preclude any alternatives or mitigation measures that may otherwise be required to be considered, including the alternative of not going forward with the Project; and</w:t>
      </w:r>
    </w:p>
    <w:p w:rsidR="00213044" w:rsidRDefault="00213044" w:rsidP="000155DB">
      <w:pPr>
        <w:spacing w:before="120" w:after="120"/>
        <w:rPr>
          <w:szCs w:val="24"/>
        </w:rPr>
      </w:pPr>
      <w:r>
        <w:rPr>
          <w:szCs w:val="24"/>
        </w:rPr>
        <w:tab/>
      </w:r>
      <w:r w:rsidRPr="00914ED1">
        <w:rPr>
          <w:b/>
          <w:szCs w:val="24"/>
        </w:rPr>
        <w:t>WHEREAS</w:t>
      </w:r>
      <w:r>
        <w:rPr>
          <w:szCs w:val="24"/>
        </w:rPr>
        <w:t xml:space="preserve">, should the Project not proceed, the predevelopment loan would be due and payable and will </w:t>
      </w:r>
      <w:r w:rsidR="0023208E">
        <w:rPr>
          <w:szCs w:val="24"/>
        </w:rPr>
        <w:t>be secured by a deed of trust.</w:t>
      </w:r>
    </w:p>
    <w:p w:rsidR="000155DB" w:rsidRDefault="00213044" w:rsidP="00213044">
      <w:pPr>
        <w:spacing w:before="120" w:after="120"/>
        <w:rPr>
          <w:szCs w:val="24"/>
        </w:rPr>
      </w:pPr>
      <w:r>
        <w:rPr>
          <w:szCs w:val="24"/>
        </w:rPr>
        <w:lastRenderedPageBreak/>
        <w:tab/>
      </w:r>
      <w:r w:rsidR="00C73DE5" w:rsidRPr="00786ABF">
        <w:rPr>
          <w:b/>
          <w:szCs w:val="24"/>
        </w:rPr>
        <w:t>NOW, THEREFORE, BE IT RESOLVED</w:t>
      </w:r>
      <w:r w:rsidR="00C73DE5" w:rsidRPr="00786ABF">
        <w:rPr>
          <w:szCs w:val="24"/>
        </w:rPr>
        <w:t xml:space="preserve"> that the Board of Supervisors of the County of Napa hereby approves</w:t>
      </w:r>
      <w:r w:rsidR="000155DB">
        <w:rPr>
          <w:szCs w:val="24"/>
        </w:rPr>
        <w:t xml:space="preserve"> disbursement of One </w:t>
      </w:r>
      <w:r w:rsidR="008E3232">
        <w:rPr>
          <w:szCs w:val="24"/>
        </w:rPr>
        <w:t xml:space="preserve">Million </w:t>
      </w:r>
      <w:r w:rsidR="000155DB">
        <w:rPr>
          <w:szCs w:val="24"/>
        </w:rPr>
        <w:t xml:space="preserve">Three Hundred Seventeen Dollars </w:t>
      </w:r>
      <w:r w:rsidR="008E3232">
        <w:rPr>
          <w:szCs w:val="24"/>
        </w:rPr>
        <w:t xml:space="preserve">Nine Hundred </w:t>
      </w:r>
      <w:r w:rsidR="0023208E">
        <w:rPr>
          <w:szCs w:val="24"/>
        </w:rPr>
        <w:t>Eighty-</w:t>
      </w:r>
      <w:r w:rsidR="000155DB">
        <w:rPr>
          <w:szCs w:val="24"/>
        </w:rPr>
        <w:t>Five Dollars</w:t>
      </w:r>
      <w:r w:rsidR="008E3232">
        <w:rPr>
          <w:szCs w:val="24"/>
        </w:rPr>
        <w:t xml:space="preserve"> ($</w:t>
      </w:r>
      <w:r w:rsidR="000155DB">
        <w:rPr>
          <w:szCs w:val="24"/>
        </w:rPr>
        <w:t>1,317,985</w:t>
      </w:r>
      <w:r w:rsidR="008E3232">
        <w:rPr>
          <w:szCs w:val="24"/>
        </w:rPr>
        <w:t xml:space="preserve">) from the </w:t>
      </w:r>
      <w:r w:rsidR="0023208E">
        <w:rPr>
          <w:szCs w:val="24"/>
        </w:rPr>
        <w:t xml:space="preserve">loan of </w:t>
      </w:r>
      <w:r w:rsidR="000155DB">
        <w:rPr>
          <w:szCs w:val="24"/>
        </w:rPr>
        <w:t>Two Million Nine Hundred Three Thousan</w:t>
      </w:r>
      <w:r w:rsidR="0023208E">
        <w:rPr>
          <w:szCs w:val="24"/>
        </w:rPr>
        <w:t>d Eight Hundred Sixty-Two Dollars ($2,903,862)</w:t>
      </w:r>
      <w:r w:rsidR="000155DB">
        <w:rPr>
          <w:szCs w:val="24"/>
        </w:rPr>
        <w:t xml:space="preserve"> previously made, to cover predevelopment costs</w:t>
      </w:r>
      <w:r w:rsidR="00D60F99">
        <w:rPr>
          <w:szCs w:val="24"/>
        </w:rPr>
        <w:t>.</w:t>
      </w:r>
    </w:p>
    <w:p w:rsidR="00F2423A" w:rsidRPr="00F2423A" w:rsidRDefault="00213044" w:rsidP="00F2423A">
      <w:pPr>
        <w:spacing w:before="120" w:after="120"/>
      </w:pPr>
      <w:r>
        <w:rPr>
          <w:szCs w:val="24"/>
        </w:rPr>
        <w:tab/>
      </w:r>
      <w:r w:rsidRPr="000155DB">
        <w:rPr>
          <w:b/>
          <w:szCs w:val="24"/>
        </w:rPr>
        <w:t>BE IT FURTHER RESOLVED</w:t>
      </w:r>
      <w:r w:rsidR="003A689E">
        <w:rPr>
          <w:b/>
          <w:szCs w:val="24"/>
        </w:rPr>
        <w:t xml:space="preserve"> </w:t>
      </w:r>
      <w:r w:rsidR="003A689E">
        <w:rPr>
          <w:szCs w:val="24"/>
        </w:rPr>
        <w:t xml:space="preserve">that the predevelopment loan shall </w:t>
      </w:r>
      <w:r w:rsidR="00F2423A" w:rsidRPr="00F2423A">
        <w:t>be made to BRIDGE Norcal, a BRIDGE affiliate, and s</w:t>
      </w:r>
      <w:r w:rsidR="00F2423A">
        <w:t xml:space="preserve">ecured by a deed of trust upon that property commonly known as the Sunrise Senior Living Property, </w:t>
      </w:r>
      <w:r w:rsidR="00F2423A" w:rsidRPr="00F2423A">
        <w:t>which is owned by BRIDGE Norcal.</w:t>
      </w:r>
    </w:p>
    <w:p w:rsidR="00213044" w:rsidRPr="00213044" w:rsidRDefault="00213044" w:rsidP="00213044">
      <w:pPr>
        <w:spacing w:before="120" w:after="120"/>
        <w:rPr>
          <w:szCs w:val="24"/>
        </w:rPr>
      </w:pPr>
      <w:r>
        <w:rPr>
          <w:b/>
          <w:szCs w:val="24"/>
        </w:rPr>
        <w:tab/>
      </w:r>
      <w:r w:rsidRPr="000155DB">
        <w:rPr>
          <w:b/>
          <w:szCs w:val="24"/>
        </w:rPr>
        <w:t>BE IT FURTHER RESOLVED</w:t>
      </w:r>
      <w:r>
        <w:rPr>
          <w:b/>
          <w:szCs w:val="24"/>
        </w:rPr>
        <w:t xml:space="preserve"> </w:t>
      </w:r>
      <w:r>
        <w:rPr>
          <w:szCs w:val="24"/>
        </w:rPr>
        <w:t>that</w:t>
      </w:r>
      <w:r w:rsidR="003A689E">
        <w:rPr>
          <w:szCs w:val="24"/>
        </w:rPr>
        <w:t xml:space="preserve"> as a condition of the predevelopment loan,</w:t>
      </w:r>
      <w:r>
        <w:rPr>
          <w:szCs w:val="24"/>
        </w:rPr>
        <w:t xml:space="preserve"> </w:t>
      </w:r>
      <w:r w:rsidR="003A689E">
        <w:rPr>
          <w:szCs w:val="24"/>
        </w:rPr>
        <w:t>BRIDGE shall enter into an indemnity agreement whereby BRIDGE will indemnify the County against all third-party claims.</w:t>
      </w:r>
    </w:p>
    <w:p w:rsidR="000155DB" w:rsidRDefault="007D123A" w:rsidP="00FE608F">
      <w:pPr>
        <w:spacing w:before="120" w:after="120"/>
        <w:ind w:firstLine="720"/>
        <w:rPr>
          <w:szCs w:val="24"/>
        </w:rPr>
      </w:pPr>
      <w:r w:rsidRPr="000155DB">
        <w:rPr>
          <w:b/>
          <w:szCs w:val="24"/>
        </w:rPr>
        <w:t>BE IT FURTHER RESOLVED</w:t>
      </w:r>
      <w:r w:rsidR="000155DB">
        <w:rPr>
          <w:b/>
          <w:szCs w:val="24"/>
        </w:rPr>
        <w:t xml:space="preserve"> </w:t>
      </w:r>
      <w:r w:rsidR="000155DB">
        <w:rPr>
          <w:szCs w:val="24"/>
        </w:rPr>
        <w:t xml:space="preserve">that the reservation period for the </w:t>
      </w:r>
      <w:r w:rsidR="00CE10F5">
        <w:rPr>
          <w:szCs w:val="24"/>
        </w:rPr>
        <w:t>entire</w:t>
      </w:r>
      <w:r w:rsidR="00213044">
        <w:rPr>
          <w:szCs w:val="24"/>
        </w:rPr>
        <w:t xml:space="preserve"> loan</w:t>
      </w:r>
      <w:r w:rsidR="00CE10F5">
        <w:rPr>
          <w:szCs w:val="24"/>
        </w:rPr>
        <w:t xml:space="preserve"> previously made (Two Million Nine Hundred Three Thousand Eight Hundred Sixty-Two Dollars ($2,903,862)) </w:t>
      </w:r>
      <w:r w:rsidR="00213044">
        <w:rPr>
          <w:szCs w:val="24"/>
        </w:rPr>
        <w:t>is extended to December 31, 2017.</w:t>
      </w:r>
    </w:p>
    <w:p w:rsidR="007D123A" w:rsidRDefault="000155DB" w:rsidP="00FE608F">
      <w:pPr>
        <w:spacing w:before="120" w:after="120"/>
        <w:ind w:firstLine="720"/>
        <w:rPr>
          <w:szCs w:val="24"/>
        </w:rPr>
      </w:pPr>
      <w:r w:rsidRPr="000155DB">
        <w:rPr>
          <w:b/>
          <w:szCs w:val="24"/>
        </w:rPr>
        <w:t>BE IT FURTHER RESOLVED</w:t>
      </w:r>
      <w:r w:rsidR="007D123A" w:rsidRPr="00786ABF">
        <w:rPr>
          <w:b/>
          <w:szCs w:val="24"/>
        </w:rPr>
        <w:t xml:space="preserve"> </w:t>
      </w:r>
      <w:r w:rsidR="007D123A" w:rsidRPr="00786ABF">
        <w:rPr>
          <w:szCs w:val="24"/>
        </w:rPr>
        <w:t>that the Board of Supervisors of the County of Napa hereby authorize the Chair</w:t>
      </w:r>
      <w:r w:rsidR="0023208E">
        <w:rPr>
          <w:szCs w:val="24"/>
        </w:rPr>
        <w:t>man</w:t>
      </w:r>
      <w:r w:rsidR="007D123A" w:rsidRPr="00786ABF">
        <w:rPr>
          <w:szCs w:val="24"/>
        </w:rPr>
        <w:t xml:space="preserve"> to execute all necessary loan documents to effect the loan and regulatory requirements as approved by County Counsel and further authorize the Chair</w:t>
      </w:r>
      <w:r w:rsidR="0023208E">
        <w:rPr>
          <w:szCs w:val="24"/>
        </w:rPr>
        <w:t>man</w:t>
      </w:r>
      <w:r w:rsidR="007D123A" w:rsidRPr="00786ABF">
        <w:rPr>
          <w:szCs w:val="24"/>
        </w:rPr>
        <w:t xml:space="preserve"> to sign all necessary related loan transaction documents as required for ongoing future maintenance and monitoring responsibilities as approved by County Counsel.</w:t>
      </w:r>
    </w:p>
    <w:p w:rsidR="00602064" w:rsidRPr="00786ABF" w:rsidRDefault="00602064" w:rsidP="00FE608F">
      <w:pPr>
        <w:suppressAutoHyphens/>
        <w:spacing w:before="120" w:after="120"/>
      </w:pPr>
      <w:r w:rsidRPr="00786ABF">
        <w:tab/>
      </w:r>
      <w:r w:rsidRPr="00786ABF">
        <w:rPr>
          <w:b/>
        </w:rPr>
        <w:t>THE FOREGOING RESOLUTION WAS DULY AND REGULARLY ADOPTED</w:t>
      </w:r>
      <w:r w:rsidRPr="00786ABF">
        <w:t xml:space="preserve"> by the Board of Supervisors of the County of Napa, State of California, at a regular meeting of the Board held on the</w:t>
      </w:r>
      <w:r w:rsidR="007B70D2">
        <w:t xml:space="preserve"> 19</w:t>
      </w:r>
      <w:r w:rsidR="00005797" w:rsidRPr="00005797">
        <w:rPr>
          <w:szCs w:val="24"/>
          <w:vertAlign w:val="superscript"/>
        </w:rPr>
        <w:t>th</w:t>
      </w:r>
      <w:r w:rsidR="00005797">
        <w:rPr>
          <w:szCs w:val="24"/>
        </w:rPr>
        <w:t xml:space="preserve"> of </w:t>
      </w:r>
      <w:r w:rsidR="007B70D2">
        <w:rPr>
          <w:szCs w:val="24"/>
        </w:rPr>
        <w:t>August</w:t>
      </w:r>
      <w:r w:rsidR="00553B3E">
        <w:rPr>
          <w:szCs w:val="24"/>
        </w:rPr>
        <w:t>,</w:t>
      </w:r>
      <w:r w:rsidR="007B70D2">
        <w:rPr>
          <w:szCs w:val="24"/>
        </w:rPr>
        <w:t xml:space="preserve"> </w:t>
      </w:r>
      <w:r w:rsidR="00AB7521">
        <w:rPr>
          <w:szCs w:val="24"/>
        </w:rPr>
        <w:t>201</w:t>
      </w:r>
      <w:r w:rsidR="007B70D2">
        <w:rPr>
          <w:szCs w:val="24"/>
        </w:rPr>
        <w:t>4</w:t>
      </w:r>
      <w:r w:rsidRPr="00786ABF">
        <w:t>, by the following vote:</w:t>
      </w:r>
    </w:p>
    <w:p w:rsidR="00602064" w:rsidRDefault="00602064" w:rsidP="00553B3E">
      <w:pPr>
        <w:suppressAutoHyphens/>
        <w:spacing w:before="240"/>
        <w:jc w:val="both"/>
      </w:pPr>
      <w:r w:rsidRPr="00786ABF">
        <w:tab/>
        <w:t>AYES:</w:t>
      </w:r>
      <w:r w:rsidRPr="00786ABF">
        <w:tab/>
      </w:r>
      <w:r w:rsidRPr="00786ABF">
        <w:tab/>
        <w:t>SUPERVISORS</w:t>
      </w:r>
      <w:r w:rsidRPr="00786ABF">
        <w:tab/>
      </w:r>
      <w:r w:rsidR="00553B3E">
        <w:t>WAGENKNECHT, CALDWELL, DILLON,</w:t>
      </w:r>
    </w:p>
    <w:p w:rsidR="00553B3E" w:rsidRPr="00786ABF" w:rsidRDefault="00553B3E" w:rsidP="00553B3E">
      <w:pPr>
        <w:suppressAutoHyphens/>
        <w:jc w:val="both"/>
      </w:pPr>
      <w:r>
        <w:tab/>
      </w:r>
      <w:r>
        <w:tab/>
      </w:r>
      <w:r>
        <w:tab/>
      </w:r>
      <w:r>
        <w:tab/>
      </w:r>
      <w:r>
        <w:tab/>
      </w:r>
      <w:r>
        <w:tab/>
        <w:t>DODD and LUCE</w:t>
      </w:r>
    </w:p>
    <w:p w:rsidR="00602064" w:rsidRPr="00786ABF" w:rsidRDefault="00553B3E" w:rsidP="00553B3E">
      <w:pPr>
        <w:suppressAutoHyphens/>
        <w:spacing w:before="240" w:after="120"/>
        <w:jc w:val="both"/>
      </w:pPr>
      <w:r>
        <w:tab/>
      </w:r>
      <w:r w:rsidR="00602064" w:rsidRPr="00786ABF">
        <w:t>NOES:</w:t>
      </w:r>
      <w:r w:rsidR="00602064" w:rsidRPr="00786ABF">
        <w:tab/>
      </w:r>
      <w:r w:rsidR="00602064" w:rsidRPr="00786ABF">
        <w:tab/>
        <w:t>SUPERVISORS</w:t>
      </w:r>
      <w:r w:rsidR="00602064" w:rsidRPr="00786ABF">
        <w:tab/>
      </w:r>
      <w:r>
        <w:t>NONE</w:t>
      </w:r>
    </w:p>
    <w:p w:rsidR="00602064" w:rsidRDefault="00602064" w:rsidP="00553B3E">
      <w:pPr>
        <w:suppressAutoHyphens/>
        <w:spacing w:before="240" w:after="120"/>
        <w:jc w:val="both"/>
        <w:rPr>
          <w:szCs w:val="24"/>
        </w:rPr>
      </w:pPr>
      <w:r w:rsidRPr="00786ABF">
        <w:rPr>
          <w:szCs w:val="24"/>
        </w:rPr>
        <w:tab/>
        <w:t>ABSENT:</w:t>
      </w:r>
      <w:r w:rsidRPr="00786ABF">
        <w:rPr>
          <w:szCs w:val="24"/>
        </w:rPr>
        <w:tab/>
        <w:t>SUPERVISORS</w:t>
      </w:r>
      <w:r w:rsidRPr="00786ABF">
        <w:rPr>
          <w:szCs w:val="24"/>
        </w:rPr>
        <w:tab/>
      </w:r>
      <w:r w:rsidR="00553B3E">
        <w:rPr>
          <w:szCs w:val="24"/>
        </w:rPr>
        <w:t>NONE</w:t>
      </w:r>
    </w:p>
    <w:p w:rsidR="00553B3E" w:rsidRPr="00786ABF" w:rsidRDefault="00553B3E" w:rsidP="00FE608F">
      <w:pPr>
        <w:suppressAutoHyphens/>
        <w:spacing w:before="120" w:after="120"/>
        <w:jc w:val="both"/>
        <w:rPr>
          <w:szCs w:val="24"/>
        </w:rPr>
      </w:pPr>
    </w:p>
    <w:p w:rsidR="00602064" w:rsidRPr="00786ABF" w:rsidRDefault="00602064" w:rsidP="00602064">
      <w:pPr>
        <w:suppressAutoHyphens/>
        <w:jc w:val="both"/>
        <w:rPr>
          <w:szCs w:val="24"/>
        </w:rPr>
      </w:pPr>
      <w:r w:rsidRPr="00786ABF">
        <w:rPr>
          <w:szCs w:val="24"/>
        </w:rPr>
        <w:tab/>
      </w:r>
      <w:r w:rsidRPr="00786ABF">
        <w:rPr>
          <w:szCs w:val="24"/>
        </w:rPr>
        <w:tab/>
      </w:r>
      <w:r w:rsidRPr="00786ABF">
        <w:rPr>
          <w:szCs w:val="24"/>
        </w:rPr>
        <w:tab/>
      </w:r>
      <w:r w:rsidRPr="00786ABF">
        <w:rPr>
          <w:szCs w:val="24"/>
        </w:rPr>
        <w:tab/>
      </w:r>
      <w:r w:rsidRPr="00786ABF">
        <w:rPr>
          <w:szCs w:val="24"/>
        </w:rPr>
        <w:tab/>
      </w:r>
      <w:r w:rsidRPr="00786ABF">
        <w:rPr>
          <w:szCs w:val="24"/>
        </w:rPr>
        <w:tab/>
        <w:t>__________________________________</w:t>
      </w:r>
    </w:p>
    <w:p w:rsidR="00602064" w:rsidRPr="00786ABF" w:rsidRDefault="00602064" w:rsidP="00602064">
      <w:pPr>
        <w:suppressAutoHyphens/>
        <w:rPr>
          <w:szCs w:val="24"/>
        </w:rPr>
      </w:pPr>
      <w:r w:rsidRPr="00786ABF">
        <w:rPr>
          <w:szCs w:val="24"/>
        </w:rPr>
        <w:tab/>
      </w:r>
      <w:r w:rsidRPr="00786ABF">
        <w:rPr>
          <w:szCs w:val="24"/>
        </w:rPr>
        <w:tab/>
      </w:r>
      <w:r w:rsidRPr="00786ABF">
        <w:rPr>
          <w:szCs w:val="24"/>
        </w:rPr>
        <w:tab/>
      </w:r>
      <w:bookmarkStart w:id="0" w:name="_GoBack"/>
      <w:bookmarkEnd w:id="0"/>
      <w:r w:rsidRPr="00786ABF">
        <w:rPr>
          <w:szCs w:val="24"/>
        </w:rPr>
        <w:tab/>
      </w:r>
      <w:r w:rsidRPr="00786ABF">
        <w:rPr>
          <w:szCs w:val="24"/>
        </w:rPr>
        <w:tab/>
      </w:r>
      <w:r w:rsidRPr="00786ABF">
        <w:rPr>
          <w:szCs w:val="24"/>
        </w:rPr>
        <w:tab/>
      </w:r>
      <w:r w:rsidR="007B70D2">
        <w:rPr>
          <w:szCs w:val="24"/>
        </w:rPr>
        <w:t>MARK LUCE</w:t>
      </w:r>
      <w:r w:rsidRPr="00786ABF">
        <w:rPr>
          <w:szCs w:val="24"/>
        </w:rPr>
        <w:t>, Chair</w:t>
      </w:r>
      <w:r w:rsidR="00AB7521">
        <w:rPr>
          <w:szCs w:val="24"/>
        </w:rPr>
        <w:t>man</w:t>
      </w:r>
    </w:p>
    <w:p w:rsidR="00602064" w:rsidRPr="00786ABF" w:rsidRDefault="00602064" w:rsidP="00602064">
      <w:pPr>
        <w:suppressAutoHyphens/>
        <w:rPr>
          <w:szCs w:val="24"/>
        </w:rPr>
      </w:pPr>
      <w:r w:rsidRPr="00786ABF">
        <w:rPr>
          <w:szCs w:val="24"/>
        </w:rPr>
        <w:tab/>
      </w:r>
      <w:r w:rsidRPr="00786ABF">
        <w:rPr>
          <w:szCs w:val="24"/>
        </w:rPr>
        <w:tab/>
      </w:r>
      <w:r w:rsidRPr="00786ABF">
        <w:rPr>
          <w:szCs w:val="24"/>
        </w:rPr>
        <w:tab/>
      </w:r>
      <w:r w:rsidRPr="00786ABF">
        <w:rPr>
          <w:szCs w:val="24"/>
        </w:rPr>
        <w:tab/>
      </w:r>
      <w:r w:rsidRPr="00786ABF">
        <w:rPr>
          <w:szCs w:val="24"/>
        </w:rPr>
        <w:tab/>
      </w:r>
      <w:r w:rsidRPr="00786ABF">
        <w:rPr>
          <w:szCs w:val="24"/>
        </w:rPr>
        <w:tab/>
        <w:t>Napa County Board of Supervisors</w:t>
      </w:r>
    </w:p>
    <w:p w:rsidR="00602064" w:rsidRPr="00786ABF" w:rsidRDefault="00602064" w:rsidP="00602064">
      <w:pPr>
        <w:suppressAutoHyphens/>
        <w:rPr>
          <w:szCs w:val="24"/>
        </w:rPr>
      </w:pPr>
      <w:r w:rsidRPr="00786ABF">
        <w:t>ATTEST: GLADYS I. COIL</w:t>
      </w:r>
    </w:p>
    <w:p w:rsidR="00602064" w:rsidRPr="00786ABF" w:rsidRDefault="00602064" w:rsidP="00602064">
      <w:pPr>
        <w:suppressAutoHyphens/>
        <w:jc w:val="both"/>
      </w:pPr>
      <w:r w:rsidRPr="00786ABF">
        <w:t>Clerk of the Board of Supervisors</w:t>
      </w:r>
    </w:p>
    <w:p w:rsidR="00602064" w:rsidRPr="00786ABF" w:rsidRDefault="00602064" w:rsidP="00602064">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ind w:firstLine="90"/>
        <w:jc w:val="center"/>
        <w:rPr>
          <w:b/>
          <w:sz w:val="16"/>
        </w:rPr>
      </w:pPr>
      <w:r w:rsidRPr="00786ABF">
        <w:rPr>
          <w:b/>
          <w:sz w:val="16"/>
        </w:rPr>
        <w:t>APPROVED BY THE NAPA COUNTY</w:t>
      </w:r>
    </w:p>
    <w:p w:rsidR="00602064" w:rsidRPr="00786ABF" w:rsidRDefault="00602064" w:rsidP="00602064">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ind w:firstLine="90"/>
        <w:jc w:val="center"/>
        <w:rPr>
          <w:b/>
          <w:sz w:val="16"/>
        </w:rPr>
      </w:pPr>
      <w:r w:rsidRPr="00786ABF">
        <w:rPr>
          <w:b/>
          <w:sz w:val="16"/>
        </w:rPr>
        <w:t>BOARD OF SUPERVISORS</w:t>
      </w:r>
    </w:p>
    <w:p w:rsidR="00602064" w:rsidRPr="00786ABF" w:rsidRDefault="00602064" w:rsidP="00602064">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ind w:firstLine="90"/>
        <w:jc w:val="both"/>
        <w:rPr>
          <w:sz w:val="16"/>
        </w:rPr>
      </w:pPr>
    </w:p>
    <w:p w:rsidR="00602064" w:rsidRPr="00786ABF" w:rsidRDefault="00602064" w:rsidP="00602064">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jc w:val="both"/>
        <w:rPr>
          <w:sz w:val="16"/>
        </w:rPr>
      </w:pPr>
      <w:r w:rsidRPr="00786ABF">
        <w:rPr>
          <w:sz w:val="16"/>
        </w:rPr>
        <w:t xml:space="preserve">  Date:   </w:t>
      </w:r>
      <w:r w:rsidR="00553B3E">
        <w:rPr>
          <w:sz w:val="16"/>
        </w:rPr>
        <w:t>August 19, 2014</w:t>
      </w:r>
    </w:p>
    <w:p w:rsidR="00602064" w:rsidRPr="00786ABF" w:rsidRDefault="00602064" w:rsidP="00602064">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ind w:firstLine="86"/>
        <w:rPr>
          <w:sz w:val="16"/>
        </w:rPr>
      </w:pPr>
    </w:p>
    <w:p w:rsidR="00602064" w:rsidRDefault="00602064" w:rsidP="00602064">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ind w:firstLine="86"/>
        <w:rPr>
          <w:sz w:val="16"/>
        </w:rPr>
      </w:pPr>
      <w:r w:rsidRPr="00786ABF">
        <w:rPr>
          <w:sz w:val="16"/>
        </w:rPr>
        <w:t>Processed by:</w:t>
      </w:r>
    </w:p>
    <w:p w:rsidR="00553B3E" w:rsidRPr="00786ABF" w:rsidRDefault="00553B3E" w:rsidP="00602064">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ind w:firstLine="86"/>
        <w:rPr>
          <w:sz w:val="16"/>
        </w:rPr>
      </w:pPr>
    </w:p>
    <w:p w:rsidR="00602064" w:rsidRPr="00786ABF" w:rsidRDefault="00602064" w:rsidP="00602064">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ind w:firstLine="86"/>
        <w:rPr>
          <w:sz w:val="16"/>
        </w:rPr>
      </w:pPr>
      <w:r w:rsidRPr="00786ABF">
        <w:rPr>
          <w:sz w:val="16"/>
          <w:u w:val="single"/>
        </w:rPr>
        <w:t>______________________________</w:t>
      </w:r>
    </w:p>
    <w:p w:rsidR="00602064" w:rsidRPr="00786ABF" w:rsidRDefault="00602064" w:rsidP="00602064">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ind w:firstLine="86"/>
        <w:rPr>
          <w:sz w:val="16"/>
        </w:rPr>
      </w:pPr>
      <w:r w:rsidRPr="00786ABF">
        <w:rPr>
          <w:sz w:val="16"/>
        </w:rPr>
        <w:t>Deputy Clerk of the Board</w:t>
      </w:r>
    </w:p>
    <w:p w:rsidR="00602064" w:rsidRPr="00786ABF" w:rsidRDefault="00602064" w:rsidP="00602064">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ind w:firstLine="86"/>
        <w:rPr>
          <w:sz w:val="16"/>
        </w:rPr>
      </w:pPr>
    </w:p>
    <w:p w:rsidR="00602064" w:rsidRPr="00786ABF" w:rsidRDefault="00602064" w:rsidP="00602064">
      <w:pPr>
        <w:suppressAutoHyphens/>
        <w:jc w:val="both"/>
      </w:pPr>
    </w:p>
    <w:p w:rsidR="00602064" w:rsidRPr="00786ABF" w:rsidRDefault="00602064" w:rsidP="00FE608F">
      <w:pPr>
        <w:framePr w:w="3222" w:h="1430" w:hSpace="180" w:wrap="auto" w:vAnchor="text" w:hAnchor="page" w:x="1756" w:y="563"/>
        <w:pBdr>
          <w:top w:val="double" w:sz="6" w:space="1" w:color="auto"/>
          <w:left w:val="double" w:sz="6" w:space="1" w:color="auto"/>
          <w:bottom w:val="double" w:sz="6" w:space="1" w:color="auto"/>
          <w:right w:val="double" w:sz="6" w:space="1" w:color="auto"/>
        </w:pBdr>
        <w:shd w:val="pct5" w:color="auto" w:fill="auto"/>
        <w:jc w:val="center"/>
        <w:rPr>
          <w:b/>
          <w:sz w:val="20"/>
        </w:rPr>
      </w:pPr>
      <w:r w:rsidRPr="00786ABF">
        <w:rPr>
          <w:b/>
          <w:sz w:val="20"/>
        </w:rPr>
        <w:t>APPROVED AS TO FORM</w:t>
      </w:r>
    </w:p>
    <w:p w:rsidR="00602064" w:rsidRPr="00786ABF" w:rsidRDefault="00602064" w:rsidP="00FE608F">
      <w:pPr>
        <w:framePr w:w="3222" w:h="1430" w:hSpace="180" w:wrap="auto" w:vAnchor="text" w:hAnchor="page" w:x="1756" w:y="563"/>
        <w:pBdr>
          <w:top w:val="double" w:sz="6" w:space="1" w:color="auto"/>
          <w:left w:val="double" w:sz="6" w:space="1" w:color="auto"/>
          <w:bottom w:val="double" w:sz="6" w:space="1" w:color="auto"/>
          <w:right w:val="double" w:sz="6" w:space="1" w:color="auto"/>
        </w:pBdr>
        <w:shd w:val="pct5" w:color="auto" w:fill="auto"/>
        <w:jc w:val="center"/>
        <w:rPr>
          <w:sz w:val="20"/>
        </w:rPr>
      </w:pPr>
      <w:r w:rsidRPr="00786ABF">
        <w:rPr>
          <w:sz w:val="20"/>
        </w:rPr>
        <w:t>Office of County Counsel</w:t>
      </w:r>
    </w:p>
    <w:p w:rsidR="00602064" w:rsidRPr="00786ABF" w:rsidRDefault="00602064" w:rsidP="00FE608F">
      <w:pPr>
        <w:framePr w:w="3222" w:h="1430" w:hSpace="180" w:wrap="auto" w:vAnchor="text" w:hAnchor="page" w:x="1756" w:y="563"/>
        <w:pBdr>
          <w:top w:val="double" w:sz="6" w:space="1" w:color="auto"/>
          <w:left w:val="double" w:sz="6" w:space="1" w:color="auto"/>
          <w:bottom w:val="double" w:sz="6" w:space="1" w:color="auto"/>
          <w:right w:val="double" w:sz="6" w:space="1" w:color="auto"/>
        </w:pBdr>
        <w:shd w:val="pct5" w:color="auto" w:fill="auto"/>
        <w:rPr>
          <w:sz w:val="20"/>
        </w:rPr>
      </w:pPr>
    </w:p>
    <w:p w:rsidR="00602064" w:rsidRPr="001142DF" w:rsidRDefault="00602064" w:rsidP="00FE608F">
      <w:pPr>
        <w:framePr w:w="3222" w:h="1430" w:hSpace="180" w:wrap="auto" w:vAnchor="text" w:hAnchor="page" w:x="1756" w:y="563"/>
        <w:pBdr>
          <w:top w:val="double" w:sz="6" w:space="1" w:color="auto"/>
          <w:left w:val="double" w:sz="6" w:space="1" w:color="auto"/>
          <w:bottom w:val="double" w:sz="6" w:space="1" w:color="auto"/>
          <w:right w:val="double" w:sz="6" w:space="1" w:color="auto"/>
        </w:pBdr>
        <w:shd w:val="pct5" w:color="auto" w:fill="auto"/>
        <w:rPr>
          <w:sz w:val="20"/>
          <w:u w:val="single"/>
        </w:rPr>
      </w:pPr>
      <w:r w:rsidRPr="00786ABF">
        <w:rPr>
          <w:sz w:val="20"/>
        </w:rPr>
        <w:t>By:</w:t>
      </w:r>
      <w:r w:rsidR="001142DF">
        <w:rPr>
          <w:sz w:val="20"/>
        </w:rPr>
        <w:t xml:space="preserve"> </w:t>
      </w:r>
      <w:r w:rsidR="00437931">
        <w:rPr>
          <w:sz w:val="20"/>
        </w:rPr>
        <w:t>Silva Darbinian (e-signature</w:t>
      </w:r>
      <w:r w:rsidR="007B70D2">
        <w:rPr>
          <w:sz w:val="20"/>
        </w:rPr>
        <w:t>)</w:t>
      </w:r>
    </w:p>
    <w:p w:rsidR="00602064" w:rsidRPr="00786ABF" w:rsidRDefault="00602064" w:rsidP="00FE608F">
      <w:pPr>
        <w:framePr w:w="3222" w:h="1430" w:hSpace="180" w:wrap="auto" w:vAnchor="text" w:hAnchor="page" w:x="1756" w:y="563"/>
        <w:pBdr>
          <w:top w:val="double" w:sz="6" w:space="1" w:color="auto"/>
          <w:left w:val="double" w:sz="6" w:space="1" w:color="auto"/>
          <w:bottom w:val="double" w:sz="6" w:space="1" w:color="auto"/>
          <w:right w:val="double" w:sz="6" w:space="1" w:color="auto"/>
        </w:pBdr>
        <w:shd w:val="pct5" w:color="auto" w:fill="auto"/>
        <w:rPr>
          <w:sz w:val="20"/>
        </w:rPr>
      </w:pPr>
    </w:p>
    <w:p w:rsidR="00602064" w:rsidRPr="00786ABF" w:rsidRDefault="00602064" w:rsidP="00FE608F">
      <w:pPr>
        <w:framePr w:w="3222" w:h="1430" w:hSpace="180" w:wrap="auto" w:vAnchor="text" w:hAnchor="page" w:x="1756" w:y="563"/>
        <w:pBdr>
          <w:top w:val="double" w:sz="6" w:space="1" w:color="auto"/>
          <w:left w:val="double" w:sz="6" w:space="1" w:color="auto"/>
          <w:bottom w:val="double" w:sz="6" w:space="1" w:color="auto"/>
          <w:right w:val="double" w:sz="6" w:space="1" w:color="auto"/>
        </w:pBdr>
        <w:shd w:val="pct5" w:color="auto" w:fill="auto"/>
        <w:rPr>
          <w:sz w:val="20"/>
          <w:u w:val="single"/>
        </w:rPr>
      </w:pPr>
      <w:r w:rsidRPr="00786ABF">
        <w:rPr>
          <w:sz w:val="20"/>
        </w:rPr>
        <w:t xml:space="preserve">Date: </w:t>
      </w:r>
      <w:r w:rsidR="001142DF" w:rsidRPr="00553B3E">
        <w:rPr>
          <w:sz w:val="20"/>
        </w:rPr>
        <w:t xml:space="preserve">  </w:t>
      </w:r>
      <w:r w:rsidR="007B70D2">
        <w:rPr>
          <w:sz w:val="20"/>
          <w:u w:val="single"/>
        </w:rPr>
        <w:t>August 13, 2014</w:t>
      </w:r>
    </w:p>
    <w:p w:rsidR="00602064" w:rsidRPr="00786ABF" w:rsidRDefault="00602064" w:rsidP="00FE608F">
      <w:pPr>
        <w:framePr w:w="3222" w:h="1430" w:hSpace="180" w:wrap="auto" w:vAnchor="text" w:hAnchor="page" w:x="1756" w:y="563"/>
        <w:pBdr>
          <w:top w:val="double" w:sz="6" w:space="1" w:color="auto"/>
          <w:left w:val="double" w:sz="6" w:space="1" w:color="auto"/>
          <w:bottom w:val="double" w:sz="6" w:space="1" w:color="auto"/>
          <w:right w:val="double" w:sz="6" w:space="1" w:color="auto"/>
        </w:pBdr>
        <w:shd w:val="pct5" w:color="auto" w:fill="auto"/>
        <w:rPr>
          <w:b/>
          <w:sz w:val="20"/>
        </w:rPr>
      </w:pPr>
    </w:p>
    <w:p w:rsidR="00602064" w:rsidRPr="00786ABF" w:rsidRDefault="00602064" w:rsidP="00FE608F">
      <w:pPr>
        <w:suppressAutoHyphens/>
        <w:jc w:val="both"/>
      </w:pPr>
      <w:r w:rsidRPr="00786ABF">
        <w:t xml:space="preserve">By:_____________________       </w:t>
      </w:r>
      <w:r w:rsidRPr="00786ABF">
        <w:tab/>
        <w:t xml:space="preserve"> </w:t>
      </w:r>
    </w:p>
    <w:sectPr w:rsidR="00602064" w:rsidRPr="00786ABF" w:rsidSect="00FE608F">
      <w:footerReference w:type="even" r:id="rId9"/>
      <w:footerReference w:type="default" r:id="rId10"/>
      <w:footerReference w:type="first" r:id="rId11"/>
      <w:endnotePr>
        <w:numFmt w:val="decimal"/>
      </w:endnotePr>
      <w:type w:val="continuous"/>
      <w:pgSz w:w="12240" w:h="15840" w:code="1"/>
      <w:pgMar w:top="1440" w:right="1296" w:bottom="1440" w:left="1296" w:header="576" w:footer="5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43" w:rsidRDefault="006B3D43">
      <w:r>
        <w:separator/>
      </w:r>
    </w:p>
  </w:endnote>
  <w:endnote w:type="continuationSeparator" w:id="0">
    <w:p w:rsidR="006B3D43" w:rsidRDefault="006B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43" w:rsidRDefault="00682443" w:rsidP="00037F36">
    <w:pPr>
      <w:pStyle w:val="Footer"/>
      <w:framePr w:wrap="around" w:vAnchor="text" w:hAnchor="margin" w:xAlign="center" w:y="1"/>
      <w:rPr>
        <w:rStyle w:val="PageNumber"/>
      </w:rPr>
    </w:pPr>
    <w:r>
      <w:rPr>
        <w:rStyle w:val="PageNumber"/>
      </w:rPr>
      <w:fldChar w:fldCharType="begin"/>
    </w:r>
    <w:r w:rsidR="006B3D43">
      <w:rPr>
        <w:rStyle w:val="PageNumber"/>
      </w:rPr>
      <w:instrText xml:space="preserve">PAGE  </w:instrText>
    </w:r>
    <w:r>
      <w:rPr>
        <w:rStyle w:val="PageNumber"/>
      </w:rPr>
      <w:fldChar w:fldCharType="end"/>
    </w:r>
  </w:p>
  <w:p w:rsidR="006B3D43" w:rsidRDefault="006B3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43" w:rsidRDefault="00682443" w:rsidP="00037F36">
    <w:pPr>
      <w:pStyle w:val="Footer"/>
      <w:framePr w:wrap="around" w:vAnchor="text" w:hAnchor="margin" w:xAlign="center" w:y="1"/>
      <w:rPr>
        <w:rStyle w:val="PageNumber"/>
      </w:rPr>
    </w:pPr>
    <w:r>
      <w:rPr>
        <w:rStyle w:val="PageNumber"/>
      </w:rPr>
      <w:fldChar w:fldCharType="begin"/>
    </w:r>
    <w:r w:rsidR="006B3D43">
      <w:rPr>
        <w:rStyle w:val="PageNumber"/>
      </w:rPr>
      <w:instrText xml:space="preserve">PAGE  </w:instrText>
    </w:r>
    <w:r>
      <w:rPr>
        <w:rStyle w:val="PageNumber"/>
      </w:rPr>
      <w:fldChar w:fldCharType="separate"/>
    </w:r>
    <w:r w:rsidR="00553B3E">
      <w:rPr>
        <w:rStyle w:val="PageNumber"/>
        <w:noProof/>
      </w:rPr>
      <w:t>1</w:t>
    </w:r>
    <w:r>
      <w:rPr>
        <w:rStyle w:val="PageNumber"/>
      </w:rPr>
      <w:fldChar w:fldCharType="end"/>
    </w:r>
  </w:p>
  <w:p w:rsidR="006B3D43" w:rsidRPr="00152CFE" w:rsidRDefault="006B3D43" w:rsidP="00152CFE">
    <w:pPr>
      <w:rPr>
        <w:sz w:val="18"/>
        <w:szCs w:val="18"/>
      </w:rPr>
    </w:pPr>
    <w:r w:rsidRPr="00152CFE">
      <w:rPr>
        <w:sz w:val="18"/>
        <w:szCs w:val="18"/>
      </w:rPr>
      <w:t>cc\D\HSG\Housing Trust Fund</w:t>
    </w:r>
  </w:p>
  <w:p w:rsidR="006B3D43" w:rsidRPr="00152CFE" w:rsidRDefault="006B3D43" w:rsidP="00AB7521">
    <w:pPr>
      <w:rPr>
        <w:sz w:val="18"/>
        <w:szCs w:val="18"/>
      </w:rPr>
    </w:pPr>
    <w:r>
      <w:rPr>
        <w:sz w:val="18"/>
        <w:szCs w:val="18"/>
      </w:rPr>
      <w:t>Napa Creekside (Silverado Creek)\</w:t>
    </w:r>
    <w:r w:rsidR="007B70D2" w:rsidRPr="007B70D2">
      <w:t xml:space="preserve"> </w:t>
    </w:r>
    <w:r w:rsidR="007B70D2" w:rsidRPr="007B70D2">
      <w:rPr>
        <w:sz w:val="18"/>
        <w:szCs w:val="18"/>
      </w:rPr>
      <w:t>Predevelopment Funding Resolution August 2014.docx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43" w:rsidRDefault="006B3D43">
    <w:pPr>
      <w:pStyle w:val="Footer"/>
      <w:rPr>
        <w:sz w:val="20"/>
      </w:rPr>
    </w:pPr>
    <w:r w:rsidRPr="008112B8">
      <w:rPr>
        <w:sz w:val="20"/>
      </w:rPr>
      <w:t>Cc/d/Housing/HousingTrustFund/</w:t>
    </w:r>
  </w:p>
  <w:p w:rsidR="006B3D43" w:rsidRPr="008112B8" w:rsidRDefault="006B3D43">
    <w:pPr>
      <w:pStyle w:val="Footer"/>
      <w:rPr>
        <w:sz w:val="20"/>
      </w:rPr>
    </w:pPr>
    <w:r>
      <w:rPr>
        <w:sz w:val="20"/>
      </w:rPr>
      <w:t>Silverado Creek Residences\Funding Resolution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43" w:rsidRDefault="006B3D43">
      <w:r>
        <w:separator/>
      </w:r>
    </w:p>
  </w:footnote>
  <w:footnote w:type="continuationSeparator" w:id="0">
    <w:p w:rsidR="006B3D43" w:rsidRDefault="006B3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55D"/>
    <w:multiLevelType w:val="hybridMultilevel"/>
    <w:tmpl w:val="444ECBD0"/>
    <w:lvl w:ilvl="0" w:tplc="115423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3993B8C"/>
    <w:multiLevelType w:val="singleLevel"/>
    <w:tmpl w:val="36ACE492"/>
    <w:lvl w:ilvl="0">
      <w:start w:val="1"/>
      <w:numFmt w:val="upperLetter"/>
      <w:lvlText w:val="%1)"/>
      <w:lvlJc w:val="left"/>
      <w:pPr>
        <w:tabs>
          <w:tab w:val="num" w:pos="2160"/>
        </w:tabs>
        <w:ind w:left="2160" w:hanging="720"/>
      </w:pPr>
      <w:rPr>
        <w:rFonts w:hint="default"/>
        <w:u w:val="none"/>
      </w:rPr>
    </w:lvl>
  </w:abstractNum>
  <w:abstractNum w:abstractNumId="2">
    <w:nsid w:val="72FF7BB7"/>
    <w:multiLevelType w:val="hybridMultilevel"/>
    <w:tmpl w:val="409859DC"/>
    <w:lvl w:ilvl="0" w:tplc="BF38800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92"/>
    <w:rsid w:val="00005797"/>
    <w:rsid w:val="00006034"/>
    <w:rsid w:val="000155DB"/>
    <w:rsid w:val="00037F36"/>
    <w:rsid w:val="00092D51"/>
    <w:rsid w:val="000D0720"/>
    <w:rsid w:val="000F0BDE"/>
    <w:rsid w:val="0010589F"/>
    <w:rsid w:val="001142DF"/>
    <w:rsid w:val="00115D95"/>
    <w:rsid w:val="00152CFE"/>
    <w:rsid w:val="00175B7C"/>
    <w:rsid w:val="00213044"/>
    <w:rsid w:val="0023208E"/>
    <w:rsid w:val="002428AE"/>
    <w:rsid w:val="00264870"/>
    <w:rsid w:val="00340C16"/>
    <w:rsid w:val="00342CCD"/>
    <w:rsid w:val="003468CB"/>
    <w:rsid w:val="00370DCB"/>
    <w:rsid w:val="003A689E"/>
    <w:rsid w:val="004020C5"/>
    <w:rsid w:val="00413202"/>
    <w:rsid w:val="00422A43"/>
    <w:rsid w:val="00427805"/>
    <w:rsid w:val="00437931"/>
    <w:rsid w:val="004955A4"/>
    <w:rsid w:val="004A159B"/>
    <w:rsid w:val="004D11B5"/>
    <w:rsid w:val="004D3A8F"/>
    <w:rsid w:val="004F3F5F"/>
    <w:rsid w:val="004F61CE"/>
    <w:rsid w:val="0050197F"/>
    <w:rsid w:val="00506A22"/>
    <w:rsid w:val="00511DE4"/>
    <w:rsid w:val="005121F8"/>
    <w:rsid w:val="00540FCE"/>
    <w:rsid w:val="00553B3E"/>
    <w:rsid w:val="005D1724"/>
    <w:rsid w:val="00602064"/>
    <w:rsid w:val="00660442"/>
    <w:rsid w:val="00667546"/>
    <w:rsid w:val="00682443"/>
    <w:rsid w:val="006B3D43"/>
    <w:rsid w:val="006B6239"/>
    <w:rsid w:val="006E47C4"/>
    <w:rsid w:val="00745DCB"/>
    <w:rsid w:val="00761A30"/>
    <w:rsid w:val="00786ABF"/>
    <w:rsid w:val="007947E6"/>
    <w:rsid w:val="007A198D"/>
    <w:rsid w:val="007B70D2"/>
    <w:rsid w:val="007D123A"/>
    <w:rsid w:val="00810E06"/>
    <w:rsid w:val="008112B8"/>
    <w:rsid w:val="0085789A"/>
    <w:rsid w:val="00870770"/>
    <w:rsid w:val="008731A9"/>
    <w:rsid w:val="00881CFD"/>
    <w:rsid w:val="008E3232"/>
    <w:rsid w:val="00913D17"/>
    <w:rsid w:val="00914ED1"/>
    <w:rsid w:val="00941CA5"/>
    <w:rsid w:val="009F084C"/>
    <w:rsid w:val="00A25462"/>
    <w:rsid w:val="00A26069"/>
    <w:rsid w:val="00A27C5F"/>
    <w:rsid w:val="00A3280C"/>
    <w:rsid w:val="00A74E15"/>
    <w:rsid w:val="00AA1358"/>
    <w:rsid w:val="00AA178B"/>
    <w:rsid w:val="00AB51E7"/>
    <w:rsid w:val="00AB7521"/>
    <w:rsid w:val="00AE13DE"/>
    <w:rsid w:val="00B2571F"/>
    <w:rsid w:val="00B3396B"/>
    <w:rsid w:val="00B63D3B"/>
    <w:rsid w:val="00B82235"/>
    <w:rsid w:val="00BB6392"/>
    <w:rsid w:val="00C47B36"/>
    <w:rsid w:val="00C51F4E"/>
    <w:rsid w:val="00C73DE5"/>
    <w:rsid w:val="00C94C6E"/>
    <w:rsid w:val="00CE10F5"/>
    <w:rsid w:val="00CE56AB"/>
    <w:rsid w:val="00D26769"/>
    <w:rsid w:val="00D53A50"/>
    <w:rsid w:val="00D60F99"/>
    <w:rsid w:val="00DB4EE0"/>
    <w:rsid w:val="00DD13E5"/>
    <w:rsid w:val="00DE56D7"/>
    <w:rsid w:val="00F10B6F"/>
    <w:rsid w:val="00F2423A"/>
    <w:rsid w:val="00F24276"/>
    <w:rsid w:val="00F4298F"/>
    <w:rsid w:val="00F6726F"/>
    <w:rsid w:val="00FE608F"/>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1A9"/>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31A9"/>
  </w:style>
  <w:style w:type="paragraph" w:styleId="Header">
    <w:name w:val="header"/>
    <w:basedOn w:val="Normal"/>
    <w:rsid w:val="008731A9"/>
    <w:pPr>
      <w:tabs>
        <w:tab w:val="center" w:pos="4320"/>
        <w:tab w:val="right" w:pos="8640"/>
      </w:tabs>
    </w:pPr>
  </w:style>
  <w:style w:type="paragraph" w:styleId="Footer">
    <w:name w:val="footer"/>
    <w:basedOn w:val="Normal"/>
    <w:rsid w:val="008731A9"/>
    <w:pPr>
      <w:tabs>
        <w:tab w:val="center" w:pos="4320"/>
        <w:tab w:val="right" w:pos="8640"/>
      </w:tabs>
    </w:pPr>
  </w:style>
  <w:style w:type="paragraph" w:styleId="Title">
    <w:name w:val="Title"/>
    <w:basedOn w:val="Normal"/>
    <w:qFormat/>
    <w:rsid w:val="008731A9"/>
    <w:pPr>
      <w:jc w:val="center"/>
    </w:pPr>
    <w:rPr>
      <w:b/>
    </w:rPr>
  </w:style>
  <w:style w:type="paragraph" w:styleId="BodyTextIndent">
    <w:name w:val="Body Text Indent"/>
    <w:basedOn w:val="Normal"/>
    <w:rsid w:val="008731A9"/>
    <w:pPr>
      <w:ind w:left="1440" w:hanging="720"/>
    </w:pPr>
  </w:style>
  <w:style w:type="character" w:styleId="PageNumber">
    <w:name w:val="page number"/>
    <w:basedOn w:val="DefaultParagraphFont"/>
    <w:rsid w:val="008731A9"/>
  </w:style>
  <w:style w:type="paragraph" w:styleId="BodyText">
    <w:name w:val="Body Text"/>
    <w:basedOn w:val="Normal"/>
    <w:rsid w:val="008731A9"/>
    <w:rPr>
      <w:rFonts w:ascii="Arial" w:hAnsi="Arial"/>
      <w:bCs/>
      <w:sz w:val="20"/>
    </w:rPr>
  </w:style>
  <w:style w:type="paragraph" w:styleId="PlainText">
    <w:name w:val="Plain Text"/>
    <w:basedOn w:val="Normal"/>
    <w:link w:val="PlainTextChar"/>
    <w:uiPriority w:val="99"/>
    <w:unhideWhenUsed/>
    <w:rsid w:val="00437931"/>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437931"/>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1A9"/>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31A9"/>
  </w:style>
  <w:style w:type="paragraph" w:styleId="Header">
    <w:name w:val="header"/>
    <w:basedOn w:val="Normal"/>
    <w:rsid w:val="008731A9"/>
    <w:pPr>
      <w:tabs>
        <w:tab w:val="center" w:pos="4320"/>
        <w:tab w:val="right" w:pos="8640"/>
      </w:tabs>
    </w:pPr>
  </w:style>
  <w:style w:type="paragraph" w:styleId="Footer">
    <w:name w:val="footer"/>
    <w:basedOn w:val="Normal"/>
    <w:rsid w:val="008731A9"/>
    <w:pPr>
      <w:tabs>
        <w:tab w:val="center" w:pos="4320"/>
        <w:tab w:val="right" w:pos="8640"/>
      </w:tabs>
    </w:pPr>
  </w:style>
  <w:style w:type="paragraph" w:styleId="Title">
    <w:name w:val="Title"/>
    <w:basedOn w:val="Normal"/>
    <w:qFormat/>
    <w:rsid w:val="008731A9"/>
    <w:pPr>
      <w:jc w:val="center"/>
    </w:pPr>
    <w:rPr>
      <w:b/>
    </w:rPr>
  </w:style>
  <w:style w:type="paragraph" w:styleId="BodyTextIndent">
    <w:name w:val="Body Text Indent"/>
    <w:basedOn w:val="Normal"/>
    <w:rsid w:val="008731A9"/>
    <w:pPr>
      <w:ind w:left="1440" w:hanging="720"/>
    </w:pPr>
  </w:style>
  <w:style w:type="character" w:styleId="PageNumber">
    <w:name w:val="page number"/>
    <w:basedOn w:val="DefaultParagraphFont"/>
    <w:rsid w:val="008731A9"/>
  </w:style>
  <w:style w:type="paragraph" w:styleId="BodyText">
    <w:name w:val="Body Text"/>
    <w:basedOn w:val="Normal"/>
    <w:rsid w:val="008731A9"/>
    <w:rPr>
      <w:rFonts w:ascii="Arial" w:hAnsi="Arial"/>
      <w:bCs/>
      <w:sz w:val="20"/>
    </w:rPr>
  </w:style>
  <w:style w:type="paragraph" w:styleId="PlainText">
    <w:name w:val="Plain Text"/>
    <w:basedOn w:val="Normal"/>
    <w:link w:val="PlainTextChar"/>
    <w:uiPriority w:val="99"/>
    <w:unhideWhenUsed/>
    <w:rsid w:val="00437931"/>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437931"/>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2034">
      <w:bodyDiv w:val="1"/>
      <w:marLeft w:val="0"/>
      <w:marRight w:val="0"/>
      <w:marTop w:val="0"/>
      <w:marBottom w:val="0"/>
      <w:divBdr>
        <w:top w:val="none" w:sz="0" w:space="0" w:color="auto"/>
        <w:left w:val="none" w:sz="0" w:space="0" w:color="auto"/>
        <w:bottom w:val="none" w:sz="0" w:space="0" w:color="auto"/>
        <w:right w:val="none" w:sz="0" w:space="0" w:color="auto"/>
      </w:divBdr>
    </w:div>
    <w:div w:id="10776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E9FE2-7E95-4CFB-AC3E-3AC6B3F6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RESOLUTION NO</vt:lpstr>
    </vt:vector>
  </TitlesOfParts>
  <Company>City of Napa</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Delaire, Chaney</dc:creator>
  <cp:lastModifiedBy>Morgan, Greg</cp:lastModifiedBy>
  <cp:revision>2</cp:revision>
  <cp:lastPrinted>2014-08-13T18:16:00Z</cp:lastPrinted>
  <dcterms:created xsi:type="dcterms:W3CDTF">2014-08-19T18:41:00Z</dcterms:created>
  <dcterms:modified xsi:type="dcterms:W3CDTF">2014-08-19T18:41:00Z</dcterms:modified>
</cp:coreProperties>
</file>