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0D" w:rsidRDefault="00E85C0D" w:rsidP="00E85C0D">
      <w:pPr>
        <w:ind w:left="-720" w:right="-1080"/>
        <w:jc w:val="center"/>
        <w:rPr>
          <w:rFonts w:ascii="Arial" w:hAnsi="Arial"/>
          <w:sz w:val="144"/>
          <w:szCs w:val="144"/>
        </w:rPr>
      </w:pPr>
      <w:r>
        <w:rPr>
          <w:rFonts w:ascii="Arial" w:hAnsi="Arial"/>
          <w:sz w:val="144"/>
          <w:szCs w:val="144"/>
        </w:rPr>
        <w:t>“A”</w:t>
      </w:r>
    </w:p>
    <w:p w:rsidR="00E85C0D" w:rsidRDefault="00E85C0D" w:rsidP="00E85C0D">
      <w:pPr>
        <w:ind w:left="-720" w:right="-1080"/>
        <w:jc w:val="center"/>
        <w:rPr>
          <w:rFonts w:ascii="Arial" w:hAnsi="Arial"/>
          <w:sz w:val="56"/>
          <w:szCs w:val="56"/>
        </w:rPr>
      </w:pPr>
    </w:p>
    <w:p w:rsidR="00E85C0D" w:rsidRPr="002C078F" w:rsidRDefault="00E85C0D" w:rsidP="00E85C0D">
      <w:pPr>
        <w:ind w:left="-720" w:right="-1080"/>
        <w:jc w:val="center"/>
        <w:rPr>
          <w:rFonts w:ascii="Arial" w:hAnsi="Arial"/>
          <w:sz w:val="56"/>
          <w:szCs w:val="56"/>
        </w:rPr>
      </w:pPr>
      <w:r>
        <w:rPr>
          <w:rFonts w:ascii="Arial" w:hAnsi="Arial"/>
          <w:sz w:val="56"/>
          <w:szCs w:val="56"/>
        </w:rPr>
        <w:t>Recommended Findings</w:t>
      </w: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Pr="00E85C0D" w:rsidRDefault="00E85C0D" w:rsidP="00E85C0D">
      <w:pPr>
        <w:rPr>
          <w:rFonts w:asciiTheme="minorHAnsi" w:hAnsiTheme="minorHAnsi"/>
          <w:sz w:val="20"/>
          <w:szCs w:val="20"/>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4E07C8" w:rsidRDefault="004E07C8" w:rsidP="00E85C0D">
      <w:pPr>
        <w:autoSpaceDE w:val="0"/>
        <w:autoSpaceDN w:val="0"/>
        <w:adjustRightInd w:val="0"/>
        <w:rPr>
          <w:rFonts w:ascii="Arial" w:eastAsiaTheme="minorHAnsi" w:hAnsi="Arial"/>
          <w:b/>
          <w:bCs/>
          <w:color w:val="auto"/>
          <w:spacing w:val="0"/>
          <w:sz w:val="22"/>
          <w:szCs w:val="22"/>
        </w:rPr>
      </w:pPr>
    </w:p>
    <w:p w:rsidR="00E85C0D" w:rsidRPr="00E85C0D" w:rsidRDefault="009B756B"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lastRenderedPageBreak/>
        <w:t>ATTACHMENT</w:t>
      </w:r>
      <w:r w:rsidR="00E85C0D" w:rsidRPr="00E85C0D">
        <w:rPr>
          <w:rFonts w:ascii="Arial" w:eastAsiaTheme="minorHAnsi" w:hAnsi="Arial"/>
          <w:b/>
          <w:bCs/>
          <w:color w:val="auto"/>
          <w:spacing w:val="0"/>
          <w:sz w:val="22"/>
          <w:szCs w:val="22"/>
        </w:rPr>
        <w:t xml:space="preserve"> A -</w:t>
      </w:r>
      <w:r w:rsidR="006A3880">
        <w:rPr>
          <w:rFonts w:ascii="Arial" w:eastAsiaTheme="minorHAnsi" w:hAnsi="Arial"/>
          <w:b/>
          <w:bCs/>
          <w:color w:val="auto"/>
          <w:spacing w:val="0"/>
          <w:sz w:val="22"/>
          <w:szCs w:val="22"/>
        </w:rPr>
        <w:t xml:space="preserve"> RECOMMENDED</w:t>
      </w:r>
      <w:r w:rsidR="00E85C0D" w:rsidRPr="00E85C0D">
        <w:rPr>
          <w:rFonts w:ascii="Arial" w:eastAsiaTheme="minorHAnsi" w:hAnsi="Arial"/>
          <w:b/>
          <w:bCs/>
          <w:color w:val="auto"/>
          <w:spacing w:val="0"/>
          <w:sz w:val="22"/>
          <w:szCs w:val="22"/>
        </w:rPr>
        <w:t xml:space="preserve"> FINDINGS</w:t>
      </w:r>
    </w:p>
    <w:p w:rsidR="00E85C0D" w:rsidRPr="00E85C0D" w:rsidRDefault="00E85C0D" w:rsidP="00A101AA">
      <w:pPr>
        <w:autoSpaceDE w:val="0"/>
        <w:autoSpaceDN w:val="0"/>
        <w:adjustRightInd w:val="0"/>
        <w:jc w:val="center"/>
        <w:rPr>
          <w:rFonts w:ascii="Arial" w:eastAsiaTheme="minorHAnsi" w:hAnsi="Arial"/>
          <w:b/>
          <w:bCs/>
          <w:color w:val="auto"/>
          <w:spacing w:val="0"/>
          <w:sz w:val="22"/>
          <w:szCs w:val="22"/>
        </w:rPr>
      </w:pPr>
      <w:r w:rsidRPr="00E85C0D">
        <w:rPr>
          <w:rFonts w:ascii="Arial" w:eastAsiaTheme="minorHAnsi" w:hAnsi="Arial"/>
          <w:b/>
          <w:bCs/>
          <w:color w:val="auto"/>
          <w:spacing w:val="0"/>
          <w:sz w:val="22"/>
          <w:szCs w:val="22"/>
        </w:rPr>
        <w:t xml:space="preserve">PLANNING COMMISSION HEARING – </w:t>
      </w:r>
      <w:r w:rsidR="00C61E4C">
        <w:rPr>
          <w:rFonts w:ascii="Arial" w:eastAsiaTheme="minorHAnsi" w:hAnsi="Arial"/>
          <w:b/>
          <w:bCs/>
          <w:color w:val="auto"/>
          <w:spacing w:val="0"/>
          <w:sz w:val="22"/>
          <w:szCs w:val="22"/>
        </w:rPr>
        <w:t>DECEMBER</w:t>
      </w:r>
      <w:r w:rsidRPr="00E85C0D">
        <w:rPr>
          <w:rFonts w:ascii="Arial" w:eastAsiaTheme="minorHAnsi" w:hAnsi="Arial"/>
          <w:b/>
          <w:bCs/>
          <w:color w:val="auto"/>
          <w:spacing w:val="0"/>
          <w:sz w:val="22"/>
          <w:szCs w:val="22"/>
        </w:rPr>
        <w:t xml:space="preserve"> 20, 2017</w:t>
      </w:r>
    </w:p>
    <w:p w:rsidR="00E85C0D" w:rsidRPr="00E85C0D" w:rsidRDefault="00C61E4C"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QUAIL RIDGE TELECOMMUNICATIONS FACILITY</w:t>
      </w:r>
    </w:p>
    <w:p w:rsidR="00E85C0D" w:rsidRPr="00E85C0D" w:rsidRDefault="00C61E4C"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USE PERMIT</w:t>
      </w:r>
      <w:r w:rsidR="00E85C0D" w:rsidRPr="00E85C0D">
        <w:rPr>
          <w:rFonts w:ascii="Arial" w:eastAsiaTheme="minorHAnsi" w:hAnsi="Arial"/>
          <w:b/>
          <w:bCs/>
          <w:color w:val="auto"/>
          <w:spacing w:val="0"/>
          <w:sz w:val="22"/>
          <w:szCs w:val="22"/>
        </w:rPr>
        <w:t xml:space="preserve"> </w:t>
      </w:r>
      <w:r>
        <w:rPr>
          <w:rFonts w:ascii="Arial" w:eastAsiaTheme="minorHAnsi" w:hAnsi="Arial"/>
          <w:b/>
          <w:bCs/>
          <w:color w:val="auto"/>
          <w:spacing w:val="0"/>
          <w:sz w:val="22"/>
          <w:szCs w:val="22"/>
        </w:rPr>
        <w:t>P17-00232</w:t>
      </w:r>
    </w:p>
    <w:p w:rsidR="00E85C0D" w:rsidRPr="00E85C0D" w:rsidRDefault="00C61E4C"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6850 STATE HIGHWAY 128</w:t>
      </w:r>
      <w:r w:rsidR="00622899">
        <w:rPr>
          <w:rFonts w:ascii="Arial" w:eastAsiaTheme="minorHAnsi" w:hAnsi="Arial"/>
          <w:b/>
          <w:bCs/>
          <w:color w:val="auto"/>
          <w:spacing w:val="0"/>
          <w:sz w:val="22"/>
          <w:szCs w:val="22"/>
        </w:rPr>
        <w:t>, NAPA</w:t>
      </w:r>
    </w:p>
    <w:p w:rsidR="00E85C0D" w:rsidRPr="00E85C0D" w:rsidRDefault="00A101AA"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ASSESSOR’S PARCEL</w:t>
      </w:r>
      <w:r w:rsidR="00E85C0D" w:rsidRPr="00E85C0D">
        <w:rPr>
          <w:rFonts w:ascii="Arial" w:eastAsiaTheme="minorHAnsi" w:hAnsi="Arial"/>
          <w:b/>
          <w:bCs/>
          <w:color w:val="auto"/>
          <w:spacing w:val="0"/>
          <w:sz w:val="22"/>
          <w:szCs w:val="22"/>
        </w:rPr>
        <w:t xml:space="preserve"> N</w:t>
      </w:r>
      <w:r>
        <w:rPr>
          <w:rFonts w:ascii="Arial" w:eastAsiaTheme="minorHAnsi" w:hAnsi="Arial"/>
          <w:b/>
          <w:bCs/>
          <w:color w:val="auto"/>
          <w:spacing w:val="0"/>
          <w:sz w:val="22"/>
          <w:szCs w:val="22"/>
        </w:rPr>
        <w:t>O</w:t>
      </w:r>
      <w:r w:rsidR="00E85C0D" w:rsidRPr="00E85C0D">
        <w:rPr>
          <w:rFonts w:ascii="Arial" w:eastAsiaTheme="minorHAnsi" w:hAnsi="Arial"/>
          <w:b/>
          <w:bCs/>
          <w:color w:val="auto"/>
          <w:spacing w:val="0"/>
          <w:sz w:val="22"/>
          <w:szCs w:val="22"/>
        </w:rPr>
        <w:t>. 036-160-003</w:t>
      </w:r>
    </w:p>
    <w:p w:rsidR="004E07C8" w:rsidRDefault="004E07C8" w:rsidP="00E85C0D">
      <w:pPr>
        <w:autoSpaceDE w:val="0"/>
        <w:autoSpaceDN w:val="0"/>
        <w:adjustRightInd w:val="0"/>
        <w:rPr>
          <w:rFonts w:ascii="Arial" w:eastAsiaTheme="minorHAnsi" w:hAnsi="Arial"/>
          <w:b/>
          <w:bCs/>
          <w:color w:val="auto"/>
          <w:spacing w:val="0"/>
          <w:sz w:val="22"/>
          <w:szCs w:val="22"/>
        </w:rPr>
      </w:pPr>
    </w:p>
    <w:p w:rsidR="00E85C0D" w:rsidRPr="00E85C0D" w:rsidRDefault="00E85C0D" w:rsidP="00E85C0D">
      <w:pPr>
        <w:autoSpaceDE w:val="0"/>
        <w:autoSpaceDN w:val="0"/>
        <w:adjustRightInd w:val="0"/>
        <w:rPr>
          <w:rFonts w:ascii="Arial" w:eastAsiaTheme="minorHAnsi" w:hAnsi="Arial"/>
          <w:b/>
          <w:bCs/>
          <w:color w:val="auto"/>
          <w:spacing w:val="0"/>
          <w:sz w:val="22"/>
          <w:szCs w:val="22"/>
        </w:rPr>
      </w:pPr>
      <w:r w:rsidRPr="00E85C0D">
        <w:rPr>
          <w:rFonts w:ascii="Arial" w:eastAsiaTheme="minorHAnsi" w:hAnsi="Arial"/>
          <w:b/>
          <w:bCs/>
          <w:color w:val="auto"/>
          <w:spacing w:val="0"/>
          <w:sz w:val="22"/>
          <w:szCs w:val="22"/>
        </w:rPr>
        <w:t>ENVIRONMENTAL</w:t>
      </w:r>
      <w:r w:rsidR="00E43327">
        <w:rPr>
          <w:rFonts w:ascii="Arial" w:eastAsiaTheme="minorHAnsi" w:hAnsi="Arial"/>
          <w:b/>
          <w:bCs/>
          <w:color w:val="auto"/>
          <w:spacing w:val="0"/>
          <w:sz w:val="22"/>
          <w:szCs w:val="22"/>
        </w:rPr>
        <w:t xml:space="preserve"> DETERMINATION</w:t>
      </w:r>
      <w:r w:rsidRPr="00E85C0D">
        <w:rPr>
          <w:rFonts w:ascii="Arial" w:eastAsiaTheme="minorHAnsi" w:hAnsi="Arial"/>
          <w:b/>
          <w:bCs/>
          <w:color w:val="auto"/>
          <w:spacing w:val="0"/>
          <w:sz w:val="22"/>
          <w:szCs w:val="22"/>
        </w:rPr>
        <w:t>:</w:t>
      </w:r>
    </w:p>
    <w:p w:rsidR="00E85C0D" w:rsidRDefault="00E85C0D" w:rsidP="00E85C0D">
      <w:pPr>
        <w:autoSpaceDE w:val="0"/>
        <w:autoSpaceDN w:val="0"/>
        <w:adjustRightInd w:val="0"/>
        <w:rPr>
          <w:rFonts w:ascii="Arial" w:eastAsiaTheme="minorHAnsi" w:hAnsi="Arial"/>
          <w:bCs/>
          <w:color w:val="auto"/>
          <w:spacing w:val="0"/>
          <w:sz w:val="22"/>
          <w:szCs w:val="22"/>
        </w:rPr>
      </w:pPr>
    </w:p>
    <w:p w:rsidR="00156023" w:rsidRDefault="00E43327" w:rsidP="00156023">
      <w:pPr>
        <w:autoSpaceDE w:val="0"/>
        <w:autoSpaceDN w:val="0"/>
        <w:adjustRightInd w:val="0"/>
        <w:rPr>
          <w:rFonts w:ascii="Arial" w:eastAsiaTheme="minorHAnsi" w:hAnsi="Arial"/>
          <w:bCs/>
          <w:color w:val="auto"/>
          <w:spacing w:val="0"/>
          <w:sz w:val="22"/>
          <w:szCs w:val="22"/>
        </w:rPr>
      </w:pPr>
      <w:r w:rsidRPr="00156023">
        <w:rPr>
          <w:rFonts w:ascii="Arial" w:eastAsiaTheme="minorHAnsi" w:hAnsi="Arial"/>
          <w:bCs/>
          <w:color w:val="auto"/>
          <w:spacing w:val="0"/>
          <w:sz w:val="22"/>
          <w:szCs w:val="22"/>
        </w:rPr>
        <w:t>The Planning Commission (Commission</w:t>
      </w:r>
      <w:r w:rsidR="00156023" w:rsidRPr="00156023">
        <w:rPr>
          <w:rFonts w:ascii="Arial" w:eastAsiaTheme="minorHAnsi" w:hAnsi="Arial"/>
          <w:bCs/>
          <w:color w:val="auto"/>
          <w:spacing w:val="0"/>
          <w:sz w:val="22"/>
          <w:szCs w:val="22"/>
        </w:rPr>
        <w:t>) has received and reviewed the proposal pursuant to the provisions of the California Environmental Quality Act (CEQA) and of Napa County’s Local Procedures for Implementing CEQA, and finds that:</w:t>
      </w:r>
    </w:p>
    <w:p w:rsidR="00156023" w:rsidRPr="00156023" w:rsidRDefault="00156023" w:rsidP="00156023">
      <w:pPr>
        <w:autoSpaceDE w:val="0"/>
        <w:autoSpaceDN w:val="0"/>
        <w:adjustRightInd w:val="0"/>
        <w:rPr>
          <w:rFonts w:ascii="Arial" w:eastAsiaTheme="minorHAnsi" w:hAnsi="Arial"/>
          <w:bCs/>
          <w:color w:val="auto"/>
          <w:spacing w:val="0"/>
          <w:sz w:val="22"/>
          <w:szCs w:val="22"/>
        </w:rPr>
      </w:pPr>
    </w:p>
    <w:p w:rsidR="00156023" w:rsidRDefault="00156023" w:rsidP="00156023">
      <w:pPr>
        <w:pStyle w:val="ListParagraph"/>
        <w:numPr>
          <w:ilvl w:val="0"/>
          <w:numId w:val="5"/>
        </w:numPr>
        <w:autoSpaceDE w:val="0"/>
        <w:autoSpaceDN w:val="0"/>
        <w:adjustRightInd w:val="0"/>
        <w:rPr>
          <w:rFonts w:ascii="Arial" w:eastAsiaTheme="minorHAnsi" w:hAnsi="Arial"/>
          <w:bCs/>
          <w:color w:val="auto"/>
          <w:spacing w:val="0"/>
          <w:sz w:val="22"/>
          <w:szCs w:val="22"/>
        </w:rPr>
      </w:pPr>
      <w:r>
        <w:rPr>
          <w:rFonts w:ascii="Arial" w:eastAsiaTheme="minorHAnsi" w:hAnsi="Arial"/>
          <w:bCs/>
          <w:color w:val="auto"/>
          <w:spacing w:val="0"/>
          <w:sz w:val="22"/>
          <w:szCs w:val="22"/>
        </w:rPr>
        <w:t>This project is Categorically Exempt from CEQA under Section 15303 (d) of the CEQA Guidelines as a Class 3 Exemption, construction of new small structures or</w:t>
      </w:r>
      <w:r w:rsidR="0096003C">
        <w:rPr>
          <w:rFonts w:ascii="Arial" w:eastAsiaTheme="minorHAnsi" w:hAnsi="Arial"/>
          <w:bCs/>
          <w:color w:val="auto"/>
          <w:spacing w:val="0"/>
          <w:sz w:val="22"/>
          <w:szCs w:val="22"/>
        </w:rPr>
        <w:t xml:space="preserve"> conversion of small structures; and CEQA Guidelines Section 15304 (Categorical Exemption Class 4 Minor Alterations to Land), which exempts minor alterations to land including minor trenching where the surface is restored.</w:t>
      </w:r>
      <w:r>
        <w:rPr>
          <w:rFonts w:ascii="Arial" w:eastAsiaTheme="minorHAnsi" w:hAnsi="Arial"/>
          <w:bCs/>
          <w:color w:val="auto"/>
          <w:spacing w:val="0"/>
          <w:sz w:val="22"/>
          <w:szCs w:val="22"/>
        </w:rPr>
        <w:t xml:space="preserve"> The proposed project would disturb a small amount of the surface of the site. Documentation submitted by the applicant indicates that, as proposed, the project would not result in significant biological, hydrologic or cultural resource impacts.</w:t>
      </w:r>
    </w:p>
    <w:p w:rsidR="0096003C" w:rsidRDefault="0096003C" w:rsidP="0096003C">
      <w:pPr>
        <w:pStyle w:val="ListParagraph"/>
        <w:autoSpaceDE w:val="0"/>
        <w:autoSpaceDN w:val="0"/>
        <w:adjustRightInd w:val="0"/>
        <w:ind w:left="1170"/>
        <w:rPr>
          <w:rFonts w:ascii="Arial" w:eastAsiaTheme="minorHAnsi" w:hAnsi="Arial"/>
          <w:bCs/>
          <w:color w:val="auto"/>
          <w:spacing w:val="0"/>
          <w:sz w:val="22"/>
          <w:szCs w:val="22"/>
        </w:rPr>
      </w:pPr>
    </w:p>
    <w:p w:rsidR="0096003C" w:rsidRDefault="0096003C" w:rsidP="0096003C">
      <w:pPr>
        <w:pStyle w:val="ListParagraph"/>
        <w:autoSpaceDE w:val="0"/>
        <w:autoSpaceDN w:val="0"/>
        <w:adjustRightInd w:val="0"/>
        <w:ind w:left="1170"/>
        <w:rPr>
          <w:rFonts w:ascii="Arial" w:eastAsiaTheme="minorHAnsi" w:hAnsi="Arial"/>
          <w:bCs/>
          <w:color w:val="auto"/>
          <w:spacing w:val="0"/>
          <w:sz w:val="22"/>
          <w:szCs w:val="22"/>
        </w:rPr>
      </w:pPr>
    </w:p>
    <w:p w:rsidR="00E85C0D" w:rsidRPr="00156023" w:rsidRDefault="00E85C0D" w:rsidP="00156023">
      <w:pPr>
        <w:pStyle w:val="ListParagraph"/>
        <w:autoSpaceDE w:val="0"/>
        <w:autoSpaceDN w:val="0"/>
        <w:adjustRightInd w:val="0"/>
        <w:ind w:left="450"/>
        <w:rPr>
          <w:rFonts w:ascii="Arial" w:eastAsiaTheme="minorHAnsi" w:hAnsi="Arial"/>
          <w:bCs/>
          <w:color w:val="auto"/>
          <w:spacing w:val="0"/>
          <w:sz w:val="22"/>
          <w:szCs w:val="22"/>
        </w:rPr>
      </w:pPr>
    </w:p>
    <w:p w:rsidR="00E85C0D" w:rsidRPr="00E85C0D" w:rsidRDefault="00E85C0D" w:rsidP="00E85C0D">
      <w:pPr>
        <w:autoSpaceDE w:val="0"/>
        <w:autoSpaceDN w:val="0"/>
        <w:adjustRightInd w:val="0"/>
        <w:rPr>
          <w:rFonts w:ascii="Arial" w:eastAsiaTheme="minorHAnsi" w:hAnsi="Arial"/>
          <w:b/>
          <w:bCs/>
          <w:color w:val="auto"/>
          <w:spacing w:val="0"/>
          <w:sz w:val="22"/>
          <w:szCs w:val="22"/>
        </w:rPr>
      </w:pPr>
      <w:r w:rsidRPr="00E85C0D">
        <w:rPr>
          <w:rFonts w:ascii="Arial" w:eastAsiaTheme="minorHAnsi" w:hAnsi="Arial"/>
          <w:b/>
          <w:bCs/>
          <w:color w:val="auto"/>
          <w:spacing w:val="0"/>
          <w:sz w:val="22"/>
          <w:szCs w:val="22"/>
        </w:rPr>
        <w:t>USE PERMIT:</w:t>
      </w:r>
    </w:p>
    <w:p w:rsidR="00E85C0D" w:rsidRPr="00E85C0D" w:rsidRDefault="00E85C0D" w:rsidP="00E85C0D">
      <w:pPr>
        <w:autoSpaceDE w:val="0"/>
        <w:autoSpaceDN w:val="0"/>
        <w:adjustRightInd w:val="0"/>
        <w:rPr>
          <w:rFonts w:ascii="Arial" w:eastAsiaTheme="minorHAnsi" w:hAnsi="Arial"/>
          <w:color w:val="auto"/>
          <w:spacing w:val="0"/>
          <w:sz w:val="22"/>
          <w:szCs w:val="22"/>
        </w:rPr>
      </w:pPr>
      <w:r w:rsidRPr="00E85C0D">
        <w:rPr>
          <w:rFonts w:ascii="Arial" w:eastAsiaTheme="minorHAnsi" w:hAnsi="Arial"/>
          <w:color w:val="auto"/>
          <w:spacing w:val="0"/>
          <w:sz w:val="22"/>
          <w:szCs w:val="22"/>
        </w:rPr>
        <w:t>The Commission has reviewed the use permit request in accordance with the requirements of</w:t>
      </w:r>
    </w:p>
    <w:p w:rsidR="00E85C0D" w:rsidRPr="00E85C0D" w:rsidRDefault="00E85C0D" w:rsidP="00E85C0D">
      <w:pPr>
        <w:autoSpaceDE w:val="0"/>
        <w:autoSpaceDN w:val="0"/>
        <w:adjustRightInd w:val="0"/>
        <w:rPr>
          <w:rFonts w:ascii="Arial" w:eastAsiaTheme="minorHAnsi" w:hAnsi="Arial"/>
          <w:color w:val="auto"/>
          <w:spacing w:val="0"/>
          <w:sz w:val="22"/>
          <w:szCs w:val="22"/>
        </w:rPr>
      </w:pPr>
      <w:proofErr w:type="gramStart"/>
      <w:r w:rsidRPr="00E85C0D">
        <w:rPr>
          <w:rFonts w:ascii="Arial" w:eastAsiaTheme="minorHAnsi" w:hAnsi="Arial"/>
          <w:color w:val="auto"/>
          <w:spacing w:val="0"/>
          <w:sz w:val="22"/>
          <w:szCs w:val="22"/>
        </w:rPr>
        <w:t>the</w:t>
      </w:r>
      <w:proofErr w:type="gramEnd"/>
      <w:r w:rsidRPr="00E85C0D">
        <w:rPr>
          <w:rFonts w:ascii="Arial" w:eastAsiaTheme="minorHAnsi" w:hAnsi="Arial"/>
          <w:color w:val="auto"/>
          <w:spacing w:val="0"/>
          <w:sz w:val="22"/>
          <w:szCs w:val="22"/>
        </w:rPr>
        <w:t xml:space="preserve"> Napa County Code Section 18.124.070 and makes the following findings:</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43327">
      <w:pPr>
        <w:numPr>
          <w:ilvl w:val="0"/>
          <w:numId w:val="4"/>
        </w:numPr>
        <w:autoSpaceDE w:val="0"/>
        <w:autoSpaceDN w:val="0"/>
        <w:adjustRightInd w:val="0"/>
        <w:spacing w:after="200" w:line="276" w:lineRule="auto"/>
        <w:ind w:left="450" w:hanging="450"/>
        <w:contextualSpacing/>
        <w:rPr>
          <w:rFonts w:ascii="Arial" w:eastAsiaTheme="minorHAnsi" w:hAnsi="Arial"/>
          <w:color w:val="auto"/>
          <w:spacing w:val="0"/>
          <w:sz w:val="22"/>
          <w:szCs w:val="22"/>
        </w:rPr>
      </w:pPr>
      <w:r w:rsidRPr="00E85C0D">
        <w:rPr>
          <w:rFonts w:ascii="Arial" w:eastAsiaTheme="minorHAnsi" w:hAnsi="Arial"/>
          <w:color w:val="auto"/>
          <w:spacing w:val="0"/>
          <w:sz w:val="22"/>
          <w:szCs w:val="22"/>
        </w:rPr>
        <w:t>The Commission has the power to issue the Use Permit under the Zoning Regulations in effect as applied to property.</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85C0D">
      <w:pPr>
        <w:autoSpaceDE w:val="0"/>
        <w:autoSpaceDN w:val="0"/>
        <w:adjustRightInd w:val="0"/>
        <w:ind w:left="450"/>
        <w:rPr>
          <w:rFonts w:ascii="Arial" w:eastAsiaTheme="minorHAnsi" w:hAnsi="Arial"/>
          <w:color w:val="auto"/>
          <w:spacing w:val="0"/>
          <w:sz w:val="22"/>
          <w:szCs w:val="22"/>
        </w:rPr>
      </w:pPr>
      <w:r w:rsidRPr="00E85C0D">
        <w:rPr>
          <w:rFonts w:ascii="Arial" w:eastAsiaTheme="minorHAnsi" w:hAnsi="Arial"/>
          <w:b/>
          <w:bCs/>
          <w:color w:val="auto"/>
          <w:spacing w:val="0"/>
          <w:sz w:val="22"/>
          <w:szCs w:val="22"/>
        </w:rPr>
        <w:t xml:space="preserve">Analysis: </w:t>
      </w:r>
      <w:r w:rsidR="0096003C">
        <w:rPr>
          <w:rFonts w:ascii="Arial" w:eastAsiaTheme="minorHAnsi" w:hAnsi="Arial"/>
          <w:color w:val="auto"/>
          <w:spacing w:val="0"/>
          <w:sz w:val="22"/>
          <w:szCs w:val="22"/>
        </w:rPr>
        <w:t>Section 18.20</w:t>
      </w:r>
      <w:r w:rsidR="00156023">
        <w:rPr>
          <w:rFonts w:ascii="Arial" w:eastAsiaTheme="minorHAnsi" w:hAnsi="Arial"/>
          <w:color w:val="auto"/>
          <w:spacing w:val="0"/>
          <w:sz w:val="22"/>
          <w:szCs w:val="22"/>
        </w:rPr>
        <w:t>.0</w:t>
      </w:r>
      <w:r w:rsidR="0096003C">
        <w:rPr>
          <w:rFonts w:ascii="Arial" w:eastAsiaTheme="minorHAnsi" w:hAnsi="Arial"/>
          <w:color w:val="auto"/>
          <w:spacing w:val="0"/>
          <w:sz w:val="22"/>
          <w:szCs w:val="22"/>
        </w:rPr>
        <w:t>7</w:t>
      </w:r>
      <w:r w:rsidR="00156023">
        <w:rPr>
          <w:rFonts w:ascii="Arial" w:eastAsiaTheme="minorHAnsi" w:hAnsi="Arial"/>
          <w:color w:val="auto"/>
          <w:spacing w:val="0"/>
          <w:sz w:val="22"/>
          <w:szCs w:val="22"/>
        </w:rPr>
        <w:t>0(</w:t>
      </w:r>
      <w:r w:rsidR="0096003C">
        <w:rPr>
          <w:rFonts w:ascii="Arial" w:eastAsiaTheme="minorHAnsi" w:hAnsi="Arial"/>
          <w:color w:val="auto"/>
          <w:spacing w:val="0"/>
          <w:sz w:val="22"/>
          <w:szCs w:val="22"/>
        </w:rPr>
        <w:t>k</w:t>
      </w:r>
      <w:r w:rsidR="00156023">
        <w:rPr>
          <w:rFonts w:ascii="Arial" w:eastAsiaTheme="minorHAnsi" w:hAnsi="Arial"/>
          <w:color w:val="auto"/>
          <w:spacing w:val="0"/>
          <w:sz w:val="22"/>
          <w:szCs w:val="22"/>
        </w:rPr>
        <w:t xml:space="preserve">) of the County Code allows the Planning Commission to approve use permits for major telecommunication facilities in the </w:t>
      </w:r>
      <w:r w:rsidR="005C7C28">
        <w:rPr>
          <w:rFonts w:ascii="Arial" w:eastAsiaTheme="minorHAnsi" w:hAnsi="Arial"/>
          <w:color w:val="auto"/>
          <w:spacing w:val="0"/>
          <w:sz w:val="22"/>
          <w:szCs w:val="22"/>
        </w:rPr>
        <w:t>AW (Agricultural Watershed) zoning district</w:t>
      </w:r>
      <w:r w:rsidR="003824DC">
        <w:rPr>
          <w:rFonts w:ascii="Arial" w:eastAsiaTheme="minorHAnsi" w:hAnsi="Arial"/>
          <w:color w:val="auto"/>
          <w:spacing w:val="0"/>
          <w:sz w:val="22"/>
          <w:szCs w:val="22"/>
        </w:rPr>
        <w:t xml:space="preserve"> that exceed the authority for staff approval of smaller facilities.</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43327">
      <w:pPr>
        <w:numPr>
          <w:ilvl w:val="0"/>
          <w:numId w:val="4"/>
        </w:numPr>
        <w:tabs>
          <w:tab w:val="left" w:pos="0"/>
        </w:tabs>
        <w:autoSpaceDE w:val="0"/>
        <w:autoSpaceDN w:val="0"/>
        <w:adjustRightInd w:val="0"/>
        <w:spacing w:after="200" w:line="276" w:lineRule="auto"/>
        <w:ind w:left="450" w:hanging="450"/>
        <w:contextualSpacing/>
        <w:rPr>
          <w:rFonts w:ascii="Arial" w:eastAsiaTheme="minorHAnsi" w:hAnsi="Arial"/>
          <w:color w:val="auto"/>
          <w:spacing w:val="0"/>
          <w:sz w:val="22"/>
          <w:szCs w:val="22"/>
        </w:rPr>
      </w:pPr>
      <w:r w:rsidRPr="00E85C0D">
        <w:rPr>
          <w:rFonts w:ascii="Arial" w:eastAsiaTheme="minorHAnsi" w:hAnsi="Arial"/>
          <w:color w:val="auto"/>
          <w:spacing w:val="0"/>
          <w:sz w:val="22"/>
          <w:szCs w:val="22"/>
        </w:rPr>
        <w:t>The procedural requirements for a Use Permit set forth in Chapter 18.124 of the Napa</w:t>
      </w:r>
    </w:p>
    <w:p w:rsidR="00E85C0D" w:rsidRPr="00E85C0D" w:rsidRDefault="00E85C0D" w:rsidP="00E85C0D">
      <w:pPr>
        <w:autoSpaceDE w:val="0"/>
        <w:autoSpaceDN w:val="0"/>
        <w:adjustRightInd w:val="0"/>
        <w:ind w:firstLine="450"/>
        <w:rPr>
          <w:rFonts w:ascii="Arial" w:eastAsiaTheme="minorHAnsi" w:hAnsi="Arial"/>
          <w:color w:val="auto"/>
          <w:spacing w:val="0"/>
          <w:sz w:val="22"/>
          <w:szCs w:val="22"/>
        </w:rPr>
      </w:pPr>
      <w:r w:rsidRPr="00E85C0D">
        <w:rPr>
          <w:rFonts w:ascii="Arial" w:eastAsiaTheme="minorHAnsi" w:hAnsi="Arial"/>
          <w:color w:val="auto"/>
          <w:spacing w:val="0"/>
          <w:sz w:val="22"/>
          <w:szCs w:val="22"/>
        </w:rPr>
        <w:t xml:space="preserve">County Code (zoning regulations) </w:t>
      </w:r>
      <w:proofErr w:type="gramStart"/>
      <w:r w:rsidRPr="00E85C0D">
        <w:rPr>
          <w:rFonts w:ascii="Arial" w:eastAsiaTheme="minorHAnsi" w:hAnsi="Arial"/>
          <w:color w:val="auto"/>
          <w:spacing w:val="0"/>
          <w:sz w:val="22"/>
          <w:szCs w:val="22"/>
        </w:rPr>
        <w:t>have</w:t>
      </w:r>
      <w:proofErr w:type="gramEnd"/>
      <w:r w:rsidRPr="00E85C0D">
        <w:rPr>
          <w:rFonts w:ascii="Arial" w:eastAsiaTheme="minorHAnsi" w:hAnsi="Arial"/>
          <w:color w:val="auto"/>
          <w:spacing w:val="0"/>
          <w:sz w:val="22"/>
          <w:szCs w:val="22"/>
        </w:rPr>
        <w:t xml:space="preserve"> been met.</w:t>
      </w:r>
      <w:r w:rsidR="003824DC">
        <w:rPr>
          <w:rFonts w:ascii="Arial" w:eastAsiaTheme="minorHAnsi" w:hAnsi="Arial"/>
          <w:color w:val="auto"/>
          <w:spacing w:val="0"/>
          <w:sz w:val="22"/>
          <w:szCs w:val="22"/>
        </w:rPr>
        <w:t xml:space="preserve"> </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85C0D">
      <w:pPr>
        <w:autoSpaceDE w:val="0"/>
        <w:autoSpaceDN w:val="0"/>
        <w:adjustRightInd w:val="0"/>
        <w:ind w:left="450"/>
        <w:rPr>
          <w:rFonts w:ascii="Arial" w:eastAsiaTheme="minorHAnsi" w:hAnsi="Arial"/>
          <w:color w:val="auto"/>
          <w:spacing w:val="0"/>
          <w:sz w:val="22"/>
          <w:szCs w:val="22"/>
        </w:rPr>
      </w:pPr>
      <w:r w:rsidRPr="00E85C0D">
        <w:rPr>
          <w:rFonts w:ascii="Arial" w:eastAsiaTheme="minorHAnsi" w:hAnsi="Arial"/>
          <w:b/>
          <w:bCs/>
          <w:color w:val="auto"/>
          <w:spacing w:val="0"/>
          <w:sz w:val="22"/>
          <w:szCs w:val="22"/>
        </w:rPr>
        <w:t xml:space="preserve">Analysis: </w:t>
      </w:r>
      <w:r w:rsidR="0096003C">
        <w:rPr>
          <w:rFonts w:ascii="Arial" w:eastAsiaTheme="minorHAnsi" w:hAnsi="Arial"/>
          <w:color w:val="auto"/>
          <w:spacing w:val="0"/>
          <w:sz w:val="22"/>
          <w:szCs w:val="22"/>
        </w:rPr>
        <w:t>The application for a Use Permit has been appropriately filed, and notice and public hearing requirements of Napa County Code Section 18.136.040 and CEQA Guidelines Section 15072 have been met. On December 8, 2017, notice of public hearing and intent to adopt a Categorical Exemption was published in the Napa Valley Register, posted with the Napa County Clerk, and mailed via first class mail to owners of property within 1,000 feet of the subject parcel, and mailed via first class mail or electronic mail to the applicant, property owner, and other interested parties who had previously requested such notice.</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43327">
      <w:pPr>
        <w:numPr>
          <w:ilvl w:val="0"/>
          <w:numId w:val="4"/>
        </w:numPr>
        <w:autoSpaceDE w:val="0"/>
        <w:autoSpaceDN w:val="0"/>
        <w:adjustRightInd w:val="0"/>
        <w:spacing w:after="200" w:line="276" w:lineRule="auto"/>
        <w:ind w:left="450"/>
        <w:contextualSpacing/>
        <w:rPr>
          <w:rFonts w:ascii="Arial" w:eastAsiaTheme="minorHAnsi" w:hAnsi="Arial"/>
          <w:color w:val="auto"/>
          <w:spacing w:val="0"/>
          <w:sz w:val="22"/>
          <w:szCs w:val="22"/>
        </w:rPr>
      </w:pPr>
      <w:r w:rsidRPr="00E85C0D">
        <w:rPr>
          <w:rFonts w:ascii="Arial" w:eastAsiaTheme="minorHAnsi" w:hAnsi="Arial"/>
          <w:color w:val="auto"/>
          <w:spacing w:val="0"/>
          <w:sz w:val="22"/>
          <w:szCs w:val="22"/>
        </w:rPr>
        <w:t>The grant of the Use Permit, as conditioned, will not adversely affect the public health, safety or welfare of the County of Napa.</w:t>
      </w:r>
    </w:p>
    <w:p w:rsidR="00E85C0D" w:rsidRPr="00E85C0D" w:rsidRDefault="00E85C0D" w:rsidP="00E85C0D">
      <w:pPr>
        <w:autoSpaceDE w:val="0"/>
        <w:autoSpaceDN w:val="0"/>
        <w:adjustRightInd w:val="0"/>
        <w:rPr>
          <w:rFonts w:ascii="Arial" w:eastAsiaTheme="minorHAnsi" w:hAnsi="Arial"/>
          <w:b/>
          <w:bCs/>
          <w:color w:val="auto"/>
          <w:spacing w:val="0"/>
          <w:sz w:val="22"/>
          <w:szCs w:val="22"/>
        </w:rPr>
      </w:pPr>
    </w:p>
    <w:p w:rsidR="00B71D9F" w:rsidRDefault="00E85C0D" w:rsidP="00E85C0D">
      <w:pPr>
        <w:autoSpaceDE w:val="0"/>
        <w:autoSpaceDN w:val="0"/>
        <w:adjustRightInd w:val="0"/>
        <w:ind w:left="450"/>
        <w:rPr>
          <w:rFonts w:ascii="Arial" w:eastAsiaTheme="minorHAnsi" w:hAnsi="Arial"/>
          <w:color w:val="auto"/>
          <w:spacing w:val="0"/>
          <w:sz w:val="22"/>
          <w:szCs w:val="22"/>
        </w:rPr>
      </w:pPr>
      <w:r w:rsidRPr="00E85C0D">
        <w:rPr>
          <w:rFonts w:ascii="Arial" w:eastAsiaTheme="minorHAnsi" w:hAnsi="Arial"/>
          <w:b/>
          <w:bCs/>
          <w:color w:val="auto"/>
          <w:spacing w:val="0"/>
          <w:sz w:val="22"/>
          <w:szCs w:val="22"/>
        </w:rPr>
        <w:t xml:space="preserve">Analysis: </w:t>
      </w:r>
      <w:r w:rsidRPr="00E85C0D">
        <w:rPr>
          <w:rFonts w:ascii="Arial" w:eastAsiaTheme="minorHAnsi" w:hAnsi="Arial"/>
          <w:color w:val="auto"/>
          <w:spacing w:val="0"/>
          <w:sz w:val="22"/>
          <w:szCs w:val="22"/>
        </w:rPr>
        <w:t>Granting the Use Permit</w:t>
      </w:r>
      <w:r w:rsidR="00B71D9F">
        <w:rPr>
          <w:rFonts w:ascii="Arial" w:eastAsiaTheme="minorHAnsi" w:hAnsi="Arial"/>
          <w:color w:val="auto"/>
          <w:spacing w:val="0"/>
          <w:sz w:val="22"/>
          <w:szCs w:val="22"/>
        </w:rPr>
        <w:t xml:space="preserve"> for the telecommunications facility</w:t>
      </w:r>
      <w:r w:rsidRPr="00E85C0D">
        <w:rPr>
          <w:rFonts w:ascii="Arial" w:eastAsiaTheme="minorHAnsi" w:hAnsi="Arial"/>
          <w:color w:val="auto"/>
          <w:spacing w:val="0"/>
          <w:sz w:val="22"/>
          <w:szCs w:val="22"/>
        </w:rPr>
        <w:t xml:space="preserve"> as proposed and conditioned will not affect the health, safety or welfare of the County. Various County divisions and departments have reviewed the project </w:t>
      </w:r>
      <w:r w:rsidR="00B71D9F">
        <w:rPr>
          <w:rFonts w:ascii="Arial" w:eastAsiaTheme="minorHAnsi" w:hAnsi="Arial"/>
          <w:color w:val="auto"/>
          <w:spacing w:val="0"/>
          <w:sz w:val="22"/>
          <w:szCs w:val="22"/>
        </w:rPr>
        <w:t>regarding the necessity for building permits, fire protection, and similar requirements</w:t>
      </w:r>
      <w:r w:rsidRPr="00E85C0D">
        <w:rPr>
          <w:rFonts w:ascii="Arial" w:eastAsiaTheme="minorHAnsi" w:hAnsi="Arial"/>
          <w:color w:val="auto"/>
          <w:spacing w:val="0"/>
          <w:sz w:val="22"/>
          <w:szCs w:val="22"/>
        </w:rPr>
        <w:t>.</w:t>
      </w:r>
      <w:r w:rsidR="00B71D9F">
        <w:rPr>
          <w:rFonts w:ascii="Arial" w:eastAsiaTheme="minorHAnsi" w:hAnsi="Arial"/>
          <w:color w:val="auto"/>
          <w:spacing w:val="0"/>
          <w:sz w:val="22"/>
          <w:szCs w:val="22"/>
        </w:rPr>
        <w:t xml:space="preserve"> The proposed cell tower has been designed to </w:t>
      </w:r>
      <w:r w:rsidR="0071675A">
        <w:rPr>
          <w:rFonts w:ascii="Arial" w:eastAsiaTheme="minorHAnsi" w:hAnsi="Arial"/>
          <w:color w:val="auto"/>
          <w:spacing w:val="0"/>
          <w:sz w:val="22"/>
          <w:szCs w:val="22"/>
        </w:rPr>
        <w:t>have</w:t>
      </w:r>
      <w:r w:rsidR="00B71D9F">
        <w:rPr>
          <w:rFonts w:ascii="Arial" w:eastAsiaTheme="minorHAnsi" w:hAnsi="Arial"/>
          <w:color w:val="auto"/>
          <w:spacing w:val="0"/>
          <w:sz w:val="22"/>
          <w:szCs w:val="22"/>
        </w:rPr>
        <w:t xml:space="preserve"> the smallest visual impact possible from Highway 128. The project is also conditioned to conform </w:t>
      </w:r>
      <w:proofErr w:type="gramStart"/>
      <w:r w:rsidR="00B71D9F">
        <w:rPr>
          <w:rFonts w:ascii="Arial" w:eastAsiaTheme="minorHAnsi" w:hAnsi="Arial"/>
          <w:color w:val="auto"/>
          <w:spacing w:val="0"/>
          <w:sz w:val="22"/>
          <w:szCs w:val="22"/>
        </w:rPr>
        <w:t>with</w:t>
      </w:r>
      <w:proofErr w:type="gramEnd"/>
      <w:r w:rsidR="00B71D9F">
        <w:rPr>
          <w:rFonts w:ascii="Arial" w:eastAsiaTheme="minorHAnsi" w:hAnsi="Arial"/>
          <w:color w:val="auto"/>
          <w:spacing w:val="0"/>
          <w:sz w:val="22"/>
          <w:szCs w:val="22"/>
        </w:rPr>
        <w:t xml:space="preserve"> requirements and standards from other applicable Napa County Departments and agencies with authority over this project.</w:t>
      </w:r>
    </w:p>
    <w:p w:rsidR="00B71D9F" w:rsidRDefault="00B71D9F" w:rsidP="00E85C0D">
      <w:pPr>
        <w:autoSpaceDE w:val="0"/>
        <w:autoSpaceDN w:val="0"/>
        <w:adjustRightInd w:val="0"/>
        <w:ind w:left="450"/>
        <w:rPr>
          <w:rFonts w:ascii="Arial" w:eastAsiaTheme="minorHAnsi" w:hAnsi="Arial"/>
          <w:color w:val="auto"/>
          <w:spacing w:val="0"/>
          <w:sz w:val="22"/>
          <w:szCs w:val="22"/>
        </w:rPr>
      </w:pPr>
    </w:p>
    <w:p w:rsidR="00E85C0D" w:rsidRPr="00E85C0D" w:rsidRDefault="00B71D9F" w:rsidP="00E85C0D">
      <w:pPr>
        <w:autoSpaceDE w:val="0"/>
        <w:autoSpaceDN w:val="0"/>
        <w:adjustRightInd w:val="0"/>
        <w:ind w:left="450"/>
        <w:rPr>
          <w:rFonts w:ascii="Arial" w:eastAsiaTheme="minorHAnsi" w:hAnsi="Arial"/>
          <w:color w:val="auto"/>
          <w:spacing w:val="0"/>
          <w:sz w:val="22"/>
          <w:szCs w:val="22"/>
        </w:rPr>
      </w:pPr>
      <w:r>
        <w:rPr>
          <w:rFonts w:ascii="Arial" w:eastAsiaTheme="minorHAnsi" w:hAnsi="Arial"/>
          <w:color w:val="auto"/>
          <w:spacing w:val="0"/>
          <w:sz w:val="22"/>
          <w:szCs w:val="22"/>
        </w:rPr>
        <w:t>Therefore, as conditioned, the project would not adversely affect the public health, safety, or welfare.</w:t>
      </w:r>
      <w:r w:rsidR="00E85C0D" w:rsidRPr="00E85C0D">
        <w:rPr>
          <w:rFonts w:ascii="Arial" w:eastAsiaTheme="minorHAnsi" w:hAnsi="Arial"/>
          <w:color w:val="auto"/>
          <w:spacing w:val="0"/>
          <w:sz w:val="22"/>
          <w:szCs w:val="22"/>
        </w:rPr>
        <w:t xml:space="preserve"> </w:t>
      </w:r>
    </w:p>
    <w:p w:rsidR="00E85C0D" w:rsidRPr="00E85C0D" w:rsidRDefault="00E85C0D" w:rsidP="00E85C0D">
      <w:pPr>
        <w:autoSpaceDE w:val="0"/>
        <w:autoSpaceDN w:val="0"/>
        <w:adjustRightInd w:val="0"/>
        <w:rPr>
          <w:rFonts w:ascii="Arial" w:eastAsiaTheme="minorHAnsi" w:hAnsi="Arial"/>
          <w:color w:val="auto"/>
          <w:spacing w:val="0"/>
          <w:sz w:val="22"/>
          <w:szCs w:val="22"/>
        </w:rPr>
      </w:pPr>
    </w:p>
    <w:p w:rsidR="00E85C0D" w:rsidRPr="00E85C0D" w:rsidRDefault="00E85C0D" w:rsidP="00E43327">
      <w:pPr>
        <w:numPr>
          <w:ilvl w:val="0"/>
          <w:numId w:val="4"/>
        </w:numPr>
        <w:autoSpaceDE w:val="0"/>
        <w:autoSpaceDN w:val="0"/>
        <w:adjustRightInd w:val="0"/>
        <w:spacing w:after="200" w:line="276" w:lineRule="auto"/>
        <w:ind w:left="450"/>
        <w:contextualSpacing/>
        <w:rPr>
          <w:rFonts w:ascii="Arial" w:eastAsiaTheme="minorHAnsi" w:hAnsi="Arial"/>
          <w:color w:val="auto"/>
          <w:spacing w:val="0"/>
          <w:sz w:val="22"/>
          <w:szCs w:val="22"/>
        </w:rPr>
      </w:pPr>
      <w:r w:rsidRPr="00E85C0D">
        <w:rPr>
          <w:rFonts w:ascii="Arial" w:eastAsiaTheme="minorHAnsi" w:hAnsi="Arial"/>
          <w:color w:val="auto"/>
          <w:spacing w:val="0"/>
          <w:sz w:val="22"/>
          <w:szCs w:val="22"/>
        </w:rPr>
        <w:t>The proposed use complies with applicable provisions of the Napa County Code and is consistent with the policies and standards of the Napa County General Plan.</w:t>
      </w:r>
    </w:p>
    <w:p w:rsidR="00E85C0D" w:rsidRPr="00E85C0D" w:rsidRDefault="00E85C0D" w:rsidP="00E85C0D">
      <w:pPr>
        <w:autoSpaceDE w:val="0"/>
        <w:autoSpaceDN w:val="0"/>
        <w:adjustRightInd w:val="0"/>
        <w:ind w:left="450"/>
        <w:contextualSpacing/>
        <w:rPr>
          <w:rFonts w:ascii="Arial" w:eastAsiaTheme="minorHAnsi" w:hAnsi="Arial"/>
          <w:color w:val="auto"/>
          <w:spacing w:val="0"/>
          <w:sz w:val="22"/>
          <w:szCs w:val="22"/>
        </w:rPr>
      </w:pPr>
    </w:p>
    <w:p w:rsidR="00E85C0D" w:rsidRPr="00E85C0D" w:rsidRDefault="00E85C0D" w:rsidP="00E85C0D">
      <w:pPr>
        <w:spacing w:after="200" w:line="276" w:lineRule="auto"/>
        <w:ind w:left="450"/>
        <w:contextualSpacing/>
        <w:rPr>
          <w:rFonts w:ascii="Arial" w:eastAsiaTheme="minorHAnsi" w:hAnsi="Arial"/>
          <w:b/>
          <w:bCs/>
          <w:color w:val="auto"/>
          <w:spacing w:val="0"/>
          <w:sz w:val="22"/>
          <w:szCs w:val="22"/>
          <w:u w:val="single"/>
        </w:rPr>
      </w:pPr>
      <w:r w:rsidRPr="00E85C0D">
        <w:rPr>
          <w:rFonts w:ascii="Arial" w:eastAsiaTheme="minorHAnsi" w:hAnsi="Arial"/>
          <w:b/>
          <w:bCs/>
          <w:color w:val="auto"/>
          <w:spacing w:val="0"/>
          <w:sz w:val="22"/>
          <w:szCs w:val="22"/>
          <w:u w:val="single"/>
        </w:rPr>
        <w:t>Analysis: Compliance with the Zoning Ordinance</w:t>
      </w:r>
    </w:p>
    <w:p w:rsidR="00E85C0D" w:rsidRPr="00E85C0D" w:rsidRDefault="00E85C0D" w:rsidP="00E85C0D">
      <w:pPr>
        <w:spacing w:after="200" w:line="276" w:lineRule="auto"/>
        <w:ind w:left="450"/>
        <w:contextualSpacing/>
        <w:rPr>
          <w:rFonts w:ascii="Arial" w:eastAsiaTheme="minorHAnsi" w:hAnsi="Arial"/>
          <w:b/>
          <w:bCs/>
          <w:color w:val="auto"/>
          <w:spacing w:val="0"/>
          <w:sz w:val="22"/>
          <w:szCs w:val="22"/>
          <w:u w:val="single"/>
        </w:rPr>
      </w:pPr>
    </w:p>
    <w:p w:rsidR="00E85C0D" w:rsidRDefault="00E85C0D" w:rsidP="00E85C0D">
      <w:pPr>
        <w:spacing w:after="200" w:line="276" w:lineRule="auto"/>
        <w:ind w:left="450"/>
        <w:contextualSpacing/>
        <w:rPr>
          <w:rFonts w:ascii="Arial" w:eastAsiaTheme="minorHAnsi" w:hAnsi="Arial"/>
          <w:color w:val="auto"/>
          <w:spacing w:val="0"/>
          <w:sz w:val="22"/>
          <w:szCs w:val="22"/>
        </w:rPr>
      </w:pPr>
      <w:r w:rsidRPr="00E85C0D">
        <w:rPr>
          <w:rFonts w:ascii="Arial" w:eastAsiaTheme="minorHAnsi" w:hAnsi="Arial"/>
          <w:color w:val="auto"/>
          <w:spacing w:val="0"/>
          <w:sz w:val="22"/>
          <w:szCs w:val="22"/>
        </w:rPr>
        <w:t>The proposed use is consistent with the regulations of the A</w:t>
      </w:r>
      <w:r w:rsidR="003824DC">
        <w:rPr>
          <w:rFonts w:ascii="Arial" w:eastAsiaTheme="minorHAnsi" w:hAnsi="Arial"/>
          <w:color w:val="auto"/>
          <w:spacing w:val="0"/>
          <w:sz w:val="22"/>
          <w:szCs w:val="22"/>
        </w:rPr>
        <w:t>W</w:t>
      </w:r>
      <w:r w:rsidRPr="00E85C0D">
        <w:rPr>
          <w:rFonts w:ascii="Arial" w:eastAsiaTheme="minorHAnsi" w:hAnsi="Arial"/>
          <w:color w:val="auto"/>
          <w:spacing w:val="0"/>
          <w:sz w:val="22"/>
          <w:szCs w:val="22"/>
        </w:rPr>
        <w:t xml:space="preserve"> District in which the property is located. </w:t>
      </w:r>
      <w:r w:rsidR="003824DC">
        <w:rPr>
          <w:rFonts w:ascii="Arial" w:eastAsiaTheme="minorHAnsi" w:hAnsi="Arial"/>
          <w:color w:val="auto"/>
          <w:spacing w:val="0"/>
          <w:sz w:val="22"/>
          <w:szCs w:val="22"/>
        </w:rPr>
        <w:t>Major Telecommunication Facilities</w:t>
      </w:r>
      <w:r w:rsidRPr="00E85C0D">
        <w:rPr>
          <w:rFonts w:ascii="Arial" w:eastAsiaTheme="minorHAnsi" w:hAnsi="Arial"/>
          <w:color w:val="auto"/>
          <w:spacing w:val="0"/>
          <w:sz w:val="22"/>
          <w:szCs w:val="22"/>
        </w:rPr>
        <w:t xml:space="preserve"> are conditionally permitted uses in the A</w:t>
      </w:r>
      <w:r w:rsidR="003824DC">
        <w:rPr>
          <w:rFonts w:ascii="Arial" w:eastAsiaTheme="minorHAnsi" w:hAnsi="Arial"/>
          <w:color w:val="auto"/>
          <w:spacing w:val="0"/>
          <w:sz w:val="22"/>
          <w:szCs w:val="22"/>
        </w:rPr>
        <w:t>W</w:t>
      </w:r>
      <w:r w:rsidRPr="00E85C0D">
        <w:rPr>
          <w:rFonts w:ascii="Arial" w:eastAsiaTheme="minorHAnsi" w:hAnsi="Arial"/>
          <w:color w:val="auto"/>
          <w:spacing w:val="0"/>
          <w:sz w:val="22"/>
          <w:szCs w:val="22"/>
        </w:rPr>
        <w:t xml:space="preserve"> District</w:t>
      </w:r>
      <w:r w:rsidR="003824DC">
        <w:rPr>
          <w:rFonts w:ascii="Arial" w:eastAsiaTheme="minorHAnsi" w:hAnsi="Arial"/>
          <w:color w:val="auto"/>
          <w:spacing w:val="0"/>
          <w:sz w:val="22"/>
          <w:szCs w:val="22"/>
        </w:rPr>
        <w:t xml:space="preserve"> (Napa County Code Section 18.20</w:t>
      </w:r>
      <w:r w:rsidRPr="00E85C0D">
        <w:rPr>
          <w:rFonts w:ascii="Arial" w:eastAsiaTheme="minorHAnsi" w:hAnsi="Arial"/>
          <w:color w:val="auto"/>
          <w:spacing w:val="0"/>
          <w:sz w:val="22"/>
          <w:szCs w:val="22"/>
        </w:rPr>
        <w:t>.030</w:t>
      </w:r>
      <w:r w:rsidR="003A6B61">
        <w:rPr>
          <w:rFonts w:ascii="Arial" w:eastAsiaTheme="minorHAnsi" w:hAnsi="Arial"/>
          <w:color w:val="auto"/>
          <w:spacing w:val="0"/>
          <w:sz w:val="22"/>
          <w:szCs w:val="22"/>
        </w:rPr>
        <w:t>(K)</w:t>
      </w:r>
      <w:r w:rsidR="000450A3">
        <w:rPr>
          <w:rFonts w:ascii="Arial" w:eastAsiaTheme="minorHAnsi" w:hAnsi="Arial"/>
          <w:color w:val="auto"/>
          <w:spacing w:val="0"/>
          <w:sz w:val="22"/>
          <w:szCs w:val="22"/>
        </w:rPr>
        <w:t>). The proposed project is also substantially in conformance with the County’s Telecommunication Ordinance (Section 18.119.05) by creating a new telecommunications facility that expands the County’s emergency response network (subsection B.5)</w:t>
      </w:r>
    </w:p>
    <w:p w:rsidR="000450A3" w:rsidRPr="00E85C0D" w:rsidRDefault="000450A3" w:rsidP="00E85C0D">
      <w:pPr>
        <w:spacing w:after="200" w:line="276" w:lineRule="auto"/>
        <w:ind w:left="450"/>
        <w:contextualSpacing/>
        <w:rPr>
          <w:rFonts w:ascii="Arial" w:eastAsiaTheme="minorHAnsi" w:hAnsi="Arial"/>
          <w:b/>
          <w:bCs/>
          <w:color w:val="auto"/>
          <w:spacing w:val="0"/>
          <w:sz w:val="22"/>
          <w:szCs w:val="22"/>
        </w:rPr>
      </w:pPr>
    </w:p>
    <w:p w:rsidR="00E85C0D" w:rsidRPr="00E85C0D" w:rsidRDefault="00E85C0D" w:rsidP="00E85C0D">
      <w:pPr>
        <w:spacing w:after="200" w:line="276" w:lineRule="auto"/>
        <w:ind w:left="450"/>
        <w:contextualSpacing/>
        <w:rPr>
          <w:rFonts w:ascii="Arial" w:eastAsiaTheme="minorHAnsi" w:hAnsi="Arial"/>
          <w:b/>
          <w:bCs/>
          <w:color w:val="auto"/>
          <w:spacing w:val="0"/>
          <w:sz w:val="22"/>
          <w:szCs w:val="22"/>
          <w:u w:val="single"/>
        </w:rPr>
      </w:pPr>
      <w:r w:rsidRPr="00E85C0D">
        <w:rPr>
          <w:rFonts w:ascii="Arial" w:eastAsiaTheme="minorHAnsi" w:hAnsi="Arial"/>
          <w:b/>
          <w:bCs/>
          <w:color w:val="auto"/>
          <w:spacing w:val="0"/>
          <w:sz w:val="22"/>
          <w:szCs w:val="22"/>
          <w:u w:val="single"/>
        </w:rPr>
        <w:t>Analysis: Consistency with the General Plan</w:t>
      </w:r>
    </w:p>
    <w:p w:rsidR="00E85C0D" w:rsidRDefault="00E85C0D" w:rsidP="00E85C0D">
      <w:pPr>
        <w:spacing w:after="200" w:line="276" w:lineRule="auto"/>
        <w:ind w:left="450"/>
        <w:contextualSpacing/>
        <w:rPr>
          <w:rFonts w:ascii="Arial" w:eastAsiaTheme="minorHAnsi" w:hAnsi="Arial"/>
          <w:b/>
          <w:bCs/>
          <w:color w:val="auto"/>
          <w:spacing w:val="0"/>
          <w:sz w:val="22"/>
          <w:szCs w:val="22"/>
          <w:u w:val="single"/>
        </w:rPr>
      </w:pPr>
    </w:p>
    <w:p w:rsidR="00651916" w:rsidRDefault="00651916" w:rsidP="00E85C0D">
      <w:pPr>
        <w:spacing w:after="200" w:line="276" w:lineRule="auto"/>
        <w:ind w:left="450"/>
        <w:contextualSpacing/>
        <w:rPr>
          <w:rFonts w:ascii="Arial" w:eastAsiaTheme="minorHAnsi" w:hAnsi="Arial"/>
          <w:bCs/>
          <w:color w:val="auto"/>
          <w:spacing w:val="0"/>
          <w:sz w:val="22"/>
          <w:szCs w:val="22"/>
        </w:rPr>
      </w:pPr>
      <w:r>
        <w:rPr>
          <w:rFonts w:ascii="Arial" w:eastAsiaTheme="minorHAnsi" w:hAnsi="Arial"/>
          <w:bCs/>
          <w:color w:val="auto"/>
          <w:spacing w:val="0"/>
          <w:sz w:val="22"/>
          <w:szCs w:val="22"/>
        </w:rPr>
        <w:t xml:space="preserve">The proposed telecommunications facility is consistent with Goal CC-1 of the Community Character Element of the General Plan, which mandates that the County should “preserve, improve and provide visual access to the beauty of Napa County.” The original proposal </w:t>
      </w:r>
      <w:r w:rsidR="002E7261">
        <w:rPr>
          <w:rFonts w:ascii="Arial" w:eastAsiaTheme="minorHAnsi" w:hAnsi="Arial"/>
          <w:bCs/>
          <w:color w:val="auto"/>
          <w:spacing w:val="0"/>
          <w:sz w:val="22"/>
          <w:szCs w:val="22"/>
        </w:rPr>
        <w:t xml:space="preserve">included a design for an approximately 90-foot tall “mono-pine”, which was </w:t>
      </w:r>
      <w:r w:rsidR="004C776A">
        <w:rPr>
          <w:rFonts w:ascii="Arial" w:eastAsiaTheme="minorHAnsi" w:hAnsi="Arial"/>
          <w:bCs/>
          <w:color w:val="auto"/>
          <w:spacing w:val="0"/>
          <w:sz w:val="22"/>
          <w:szCs w:val="22"/>
        </w:rPr>
        <w:t>out of</w:t>
      </w:r>
      <w:r w:rsidR="002E7261">
        <w:rPr>
          <w:rFonts w:ascii="Arial" w:eastAsiaTheme="minorHAnsi" w:hAnsi="Arial"/>
          <w:bCs/>
          <w:color w:val="auto"/>
          <w:spacing w:val="0"/>
          <w:sz w:val="22"/>
          <w:szCs w:val="22"/>
        </w:rPr>
        <w:t xml:space="preserve"> character with the existing vegetation on site. The applicant revised the application to the proposed mono-pole design, which has a significantly smaller silhouette, preserving the natural character of t</w:t>
      </w:r>
      <w:r w:rsidR="002F1D84">
        <w:rPr>
          <w:rFonts w:ascii="Arial" w:eastAsiaTheme="minorHAnsi" w:hAnsi="Arial"/>
          <w:bCs/>
          <w:color w:val="auto"/>
          <w:spacing w:val="0"/>
          <w:sz w:val="22"/>
          <w:szCs w:val="22"/>
        </w:rPr>
        <w:t>he surrounding area to</w:t>
      </w:r>
      <w:bookmarkStart w:id="0" w:name="_GoBack"/>
      <w:bookmarkEnd w:id="0"/>
      <w:r w:rsidR="002F1D84">
        <w:rPr>
          <w:rFonts w:ascii="Arial" w:eastAsiaTheme="minorHAnsi" w:hAnsi="Arial"/>
          <w:bCs/>
          <w:color w:val="auto"/>
          <w:spacing w:val="0"/>
          <w:sz w:val="22"/>
          <w:szCs w:val="22"/>
        </w:rPr>
        <w:t xml:space="preserve"> the best possible degree. The proposed facility would also be consistent with Policy CC-14 of the Community Character Element since it is designed to be effectively unnoticeable from nearby roadways as demonstrated by the </w:t>
      </w:r>
      <w:proofErr w:type="spellStart"/>
      <w:r w:rsidR="002F1D84">
        <w:rPr>
          <w:rFonts w:ascii="Arial" w:eastAsiaTheme="minorHAnsi" w:hAnsi="Arial"/>
          <w:bCs/>
          <w:color w:val="auto"/>
          <w:spacing w:val="0"/>
          <w:sz w:val="22"/>
          <w:szCs w:val="22"/>
        </w:rPr>
        <w:t>photosimulations</w:t>
      </w:r>
      <w:proofErr w:type="spellEnd"/>
      <w:r w:rsidR="002F1D84">
        <w:rPr>
          <w:rFonts w:ascii="Arial" w:eastAsiaTheme="minorHAnsi" w:hAnsi="Arial"/>
          <w:bCs/>
          <w:color w:val="auto"/>
          <w:spacing w:val="0"/>
          <w:sz w:val="22"/>
          <w:szCs w:val="22"/>
        </w:rPr>
        <w:t>.</w:t>
      </w:r>
    </w:p>
    <w:p w:rsidR="0071675A" w:rsidRDefault="0071675A" w:rsidP="00E85C0D">
      <w:pPr>
        <w:spacing w:after="200" w:line="276" w:lineRule="auto"/>
        <w:ind w:left="450"/>
        <w:contextualSpacing/>
        <w:rPr>
          <w:rFonts w:ascii="Arial" w:eastAsiaTheme="minorHAnsi" w:hAnsi="Arial"/>
          <w:bCs/>
          <w:color w:val="auto"/>
          <w:spacing w:val="0"/>
          <w:sz w:val="22"/>
          <w:szCs w:val="22"/>
        </w:rPr>
      </w:pPr>
    </w:p>
    <w:p w:rsidR="00E85C0D" w:rsidRPr="0071675A" w:rsidRDefault="0071675A" w:rsidP="00E85C0D">
      <w:pPr>
        <w:spacing w:after="200" w:line="276" w:lineRule="auto"/>
        <w:ind w:left="450"/>
        <w:contextualSpacing/>
        <w:rPr>
          <w:rFonts w:ascii="Arial" w:eastAsiaTheme="minorHAnsi" w:hAnsi="Arial"/>
          <w:color w:val="auto"/>
          <w:spacing w:val="0"/>
          <w:sz w:val="22"/>
          <w:szCs w:val="22"/>
        </w:rPr>
      </w:pPr>
      <w:r w:rsidRPr="0071675A">
        <w:rPr>
          <w:rFonts w:ascii="Arial" w:hAnsi="Arial"/>
          <w:color w:val="auto"/>
          <w:sz w:val="22"/>
          <w:szCs w:val="22"/>
        </w:rPr>
        <w:t>The project is also consistent with General Plan Conservation Policy CON-53 and CON-55, which require that applicants, who are seeking discretionary land use approvals, prove that adequate water supplies are available to serve the proposed use without causing significant negative impacts to shared groundwater resources.</w:t>
      </w:r>
      <w:r>
        <w:rPr>
          <w:rFonts w:ascii="Arial" w:hAnsi="Arial"/>
          <w:color w:val="auto"/>
          <w:sz w:val="22"/>
          <w:szCs w:val="22"/>
        </w:rPr>
        <w:t xml:space="preserve"> The project as proposed has no employees and no uses which require </w:t>
      </w:r>
      <w:proofErr w:type="gramStart"/>
      <w:r w:rsidR="004C776A">
        <w:rPr>
          <w:rFonts w:ascii="Arial" w:hAnsi="Arial"/>
          <w:color w:val="auto"/>
          <w:sz w:val="22"/>
          <w:szCs w:val="22"/>
        </w:rPr>
        <w:t>water,</w:t>
      </w:r>
      <w:proofErr w:type="gramEnd"/>
      <w:r>
        <w:rPr>
          <w:rFonts w:ascii="Arial" w:hAnsi="Arial"/>
          <w:color w:val="auto"/>
          <w:sz w:val="22"/>
          <w:szCs w:val="22"/>
        </w:rPr>
        <w:t xml:space="preserve"> therefore it will have no impact on the groundwater sources of the area.</w:t>
      </w:r>
    </w:p>
    <w:sectPr w:rsidR="00E85C0D" w:rsidRPr="0071675A" w:rsidSect="002746B5">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0D" w:rsidRDefault="00E85C0D" w:rsidP="00E85C0D">
      <w:r>
        <w:separator/>
      </w:r>
    </w:p>
  </w:endnote>
  <w:endnote w:type="continuationSeparator" w:id="0">
    <w:p w:rsidR="00E85C0D" w:rsidRDefault="00E85C0D" w:rsidP="00E8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B5" w:rsidRPr="002746B5" w:rsidRDefault="002746B5" w:rsidP="002746B5">
    <w:pPr>
      <w:pStyle w:val="Footer"/>
      <w:jc w:val="right"/>
      <w:rPr>
        <w:rFonts w:ascii="Arial" w:hAnsi="Arial"/>
        <w:color w:val="auto"/>
        <w:sz w:val="20"/>
        <w:szCs w:val="20"/>
      </w:rPr>
    </w:pPr>
    <w:r w:rsidRPr="002746B5">
      <w:rPr>
        <w:rFonts w:ascii="Arial" w:hAnsi="Arial"/>
        <w:color w:val="auto"/>
        <w:sz w:val="20"/>
        <w:szCs w:val="20"/>
      </w:rPr>
      <w:t>Recommended Findings</w:t>
    </w:r>
    <w:r>
      <w:rPr>
        <w:rFonts w:ascii="Arial" w:hAnsi="Arial"/>
        <w:color w:val="auto"/>
        <w:sz w:val="20"/>
        <w:szCs w:val="20"/>
      </w:rPr>
      <w:tab/>
    </w:r>
    <w:r>
      <w:rPr>
        <w:rFonts w:ascii="Arial" w:hAnsi="Arial"/>
        <w:color w:val="auto"/>
        <w:sz w:val="20"/>
        <w:szCs w:val="20"/>
      </w:rPr>
      <w:tab/>
      <w:t xml:space="preserve"> </w:t>
    </w:r>
    <w:r w:rsidRPr="002746B5">
      <w:rPr>
        <w:rFonts w:ascii="Arial" w:hAnsi="Arial"/>
        <w:color w:val="auto"/>
        <w:sz w:val="20"/>
        <w:szCs w:val="20"/>
      </w:rPr>
      <w:t xml:space="preserve">Page </w:t>
    </w:r>
    <w:r w:rsidRPr="002746B5">
      <w:rPr>
        <w:rFonts w:ascii="Arial" w:hAnsi="Arial"/>
        <w:b/>
        <w:color w:val="auto"/>
        <w:sz w:val="20"/>
        <w:szCs w:val="20"/>
      </w:rPr>
      <w:fldChar w:fldCharType="begin"/>
    </w:r>
    <w:r w:rsidRPr="002746B5">
      <w:rPr>
        <w:rFonts w:ascii="Arial" w:hAnsi="Arial"/>
        <w:b/>
        <w:color w:val="auto"/>
        <w:sz w:val="20"/>
        <w:szCs w:val="20"/>
      </w:rPr>
      <w:instrText xml:space="preserve"> PAGE  \* Arabic  \* MERGEFORMAT </w:instrText>
    </w:r>
    <w:r w:rsidRPr="002746B5">
      <w:rPr>
        <w:rFonts w:ascii="Arial" w:hAnsi="Arial"/>
        <w:b/>
        <w:color w:val="auto"/>
        <w:sz w:val="20"/>
        <w:szCs w:val="20"/>
      </w:rPr>
      <w:fldChar w:fldCharType="separate"/>
    </w:r>
    <w:r w:rsidR="004C776A">
      <w:rPr>
        <w:rFonts w:ascii="Arial" w:hAnsi="Arial"/>
        <w:b/>
        <w:noProof/>
        <w:color w:val="auto"/>
        <w:sz w:val="20"/>
        <w:szCs w:val="20"/>
      </w:rPr>
      <w:t>1</w:t>
    </w:r>
    <w:r w:rsidRPr="002746B5">
      <w:rPr>
        <w:rFonts w:ascii="Arial" w:hAnsi="Arial"/>
        <w:b/>
        <w:color w:val="auto"/>
        <w:sz w:val="20"/>
        <w:szCs w:val="20"/>
      </w:rPr>
      <w:fldChar w:fldCharType="end"/>
    </w:r>
    <w:r w:rsidRPr="002746B5">
      <w:rPr>
        <w:rFonts w:ascii="Arial" w:hAnsi="Arial"/>
        <w:color w:val="auto"/>
        <w:sz w:val="20"/>
        <w:szCs w:val="20"/>
      </w:rPr>
      <w:t xml:space="preserve"> of </w:t>
    </w:r>
    <w:r w:rsidR="00FB1A5B">
      <w:rPr>
        <w:rFonts w:ascii="Arial" w:hAnsi="Arial"/>
        <w:color w:val="auto"/>
        <w:sz w:val="20"/>
        <w:szCs w:val="20"/>
      </w:rPr>
      <w:t>2</w:t>
    </w:r>
  </w:p>
  <w:p w:rsidR="002746B5" w:rsidRDefault="002F1D84">
    <w:pPr>
      <w:pStyle w:val="Footer"/>
      <w:rPr>
        <w:rFonts w:ascii="Arial" w:hAnsi="Arial"/>
        <w:color w:val="auto"/>
        <w:sz w:val="20"/>
        <w:szCs w:val="20"/>
      </w:rPr>
    </w:pPr>
    <w:r>
      <w:rPr>
        <w:rFonts w:ascii="Arial" w:hAnsi="Arial"/>
        <w:color w:val="auto"/>
        <w:sz w:val="20"/>
        <w:szCs w:val="20"/>
      </w:rPr>
      <w:t>Quail Ridge Telecommunications Facility</w:t>
    </w:r>
  </w:p>
  <w:p w:rsidR="002F1D84" w:rsidRPr="002746B5" w:rsidRDefault="002F1D84">
    <w:pPr>
      <w:pStyle w:val="Footer"/>
      <w:rPr>
        <w:rFonts w:ascii="Arial" w:hAnsi="Arial"/>
        <w:color w:val="auto"/>
        <w:sz w:val="20"/>
        <w:szCs w:val="20"/>
      </w:rPr>
    </w:pPr>
    <w:r>
      <w:rPr>
        <w:rFonts w:ascii="Arial" w:hAnsi="Arial"/>
        <w:color w:val="auto"/>
        <w:sz w:val="20"/>
        <w:szCs w:val="20"/>
      </w:rPr>
      <w:t>Use Permit P17-00232</w:t>
    </w:r>
  </w:p>
  <w:p w:rsidR="002746B5" w:rsidRDefault="00274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7C" w:rsidRPr="00E85C0D" w:rsidRDefault="00342B9E" w:rsidP="007F7A7C">
    <w:pPr>
      <w:pStyle w:val="Footer"/>
      <w:jc w:val="center"/>
      <w:rPr>
        <w:rFonts w:ascii="Arial" w:hAnsi="Arial"/>
        <w:sz w:val="28"/>
      </w:rPr>
    </w:pPr>
    <w:r>
      <w:rPr>
        <w:rFonts w:ascii="Arial" w:hAnsi="Arial"/>
        <w:sz w:val="28"/>
      </w:rPr>
      <w:t>Quail Ridge T</w:t>
    </w:r>
    <w:r w:rsidR="00CF2E67">
      <w:rPr>
        <w:rFonts w:ascii="Arial" w:hAnsi="Arial"/>
        <w:sz w:val="28"/>
      </w:rPr>
      <w:t>elecommunications Facility P17-000232</w:t>
    </w:r>
  </w:p>
  <w:p w:rsidR="007F7A7C" w:rsidRPr="00E85C0D" w:rsidRDefault="007F7A7C" w:rsidP="007F7A7C">
    <w:pPr>
      <w:tabs>
        <w:tab w:val="center" w:pos="4680"/>
        <w:tab w:val="right" w:pos="9360"/>
      </w:tabs>
      <w:jc w:val="center"/>
      <w:rPr>
        <w:rFonts w:ascii="Arial" w:hAnsi="Arial"/>
        <w:sz w:val="28"/>
      </w:rPr>
    </w:pPr>
    <w:r w:rsidRPr="00E85C0D">
      <w:rPr>
        <w:rFonts w:ascii="Arial" w:hAnsi="Arial"/>
        <w:sz w:val="28"/>
      </w:rPr>
      <w:t xml:space="preserve">Planning Commission Hearing Date </w:t>
    </w:r>
    <w:r w:rsidR="00CF2E67">
      <w:rPr>
        <w:rFonts w:ascii="Arial" w:hAnsi="Arial"/>
        <w:sz w:val="28"/>
      </w:rPr>
      <w:t>December 20</w:t>
    </w:r>
    <w:r>
      <w:rPr>
        <w:rFonts w:ascii="Arial" w:hAnsi="Arial"/>
        <w:sz w:val="28"/>
      </w:rPr>
      <w:t>, 2017</w:t>
    </w:r>
  </w:p>
  <w:p w:rsidR="007F7A7C" w:rsidRDefault="007F7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0D" w:rsidRDefault="00E85C0D" w:rsidP="00E85C0D">
      <w:r>
        <w:separator/>
      </w:r>
    </w:p>
  </w:footnote>
  <w:footnote w:type="continuationSeparator" w:id="0">
    <w:p w:rsidR="00E85C0D" w:rsidRDefault="00E85C0D" w:rsidP="00E85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609"/>
    <w:multiLevelType w:val="hybridMultilevel"/>
    <w:tmpl w:val="F092A3A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30E2201"/>
    <w:multiLevelType w:val="hybridMultilevel"/>
    <w:tmpl w:val="7A5487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46B41DEC"/>
    <w:multiLevelType w:val="hybridMultilevel"/>
    <w:tmpl w:val="7734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9012F"/>
    <w:multiLevelType w:val="hybridMultilevel"/>
    <w:tmpl w:val="A44A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87DC3"/>
    <w:multiLevelType w:val="hybridMultilevel"/>
    <w:tmpl w:val="ABC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0D"/>
    <w:rsid w:val="000450A3"/>
    <w:rsid w:val="00156023"/>
    <w:rsid w:val="00187E7D"/>
    <w:rsid w:val="002746B5"/>
    <w:rsid w:val="002E7261"/>
    <w:rsid w:val="002F1D84"/>
    <w:rsid w:val="00342B9E"/>
    <w:rsid w:val="003824DC"/>
    <w:rsid w:val="003A6B61"/>
    <w:rsid w:val="004C776A"/>
    <w:rsid w:val="004E07C8"/>
    <w:rsid w:val="005C7C28"/>
    <w:rsid w:val="00622899"/>
    <w:rsid w:val="00651916"/>
    <w:rsid w:val="006A3880"/>
    <w:rsid w:val="0071675A"/>
    <w:rsid w:val="007D0C2F"/>
    <w:rsid w:val="007F7A7C"/>
    <w:rsid w:val="0081438E"/>
    <w:rsid w:val="0096003C"/>
    <w:rsid w:val="009750CC"/>
    <w:rsid w:val="009B756B"/>
    <w:rsid w:val="00A101AA"/>
    <w:rsid w:val="00B71D9F"/>
    <w:rsid w:val="00C61E4C"/>
    <w:rsid w:val="00CF2E67"/>
    <w:rsid w:val="00E43327"/>
    <w:rsid w:val="00E85C0D"/>
    <w:rsid w:val="00EA01FA"/>
    <w:rsid w:val="00EB6BED"/>
    <w:rsid w:val="00FB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0D"/>
    <w:pPr>
      <w:spacing w:after="0" w:line="240" w:lineRule="auto"/>
    </w:pPr>
    <w:rPr>
      <w:rFonts w:ascii="Papyrus" w:eastAsia="Times New Roman" w:hAnsi="Papyrus" w:cs="Arial"/>
      <w:color w:val="00008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0D"/>
    <w:pPr>
      <w:tabs>
        <w:tab w:val="center" w:pos="4680"/>
        <w:tab w:val="right" w:pos="9360"/>
      </w:tabs>
    </w:pPr>
  </w:style>
  <w:style w:type="character" w:customStyle="1" w:styleId="HeaderChar">
    <w:name w:val="Header Char"/>
    <w:basedOn w:val="DefaultParagraphFont"/>
    <w:link w:val="Header"/>
    <w:uiPriority w:val="99"/>
    <w:rsid w:val="00E85C0D"/>
    <w:rPr>
      <w:rFonts w:ascii="Papyrus" w:eastAsia="Times New Roman" w:hAnsi="Papyrus" w:cs="Arial"/>
      <w:color w:val="000080"/>
      <w:spacing w:val="-3"/>
      <w:sz w:val="24"/>
      <w:szCs w:val="24"/>
    </w:rPr>
  </w:style>
  <w:style w:type="paragraph" w:styleId="Footer">
    <w:name w:val="footer"/>
    <w:basedOn w:val="Normal"/>
    <w:link w:val="FooterChar"/>
    <w:uiPriority w:val="99"/>
    <w:unhideWhenUsed/>
    <w:rsid w:val="00E85C0D"/>
    <w:pPr>
      <w:tabs>
        <w:tab w:val="center" w:pos="4680"/>
        <w:tab w:val="right" w:pos="9360"/>
      </w:tabs>
    </w:pPr>
  </w:style>
  <w:style w:type="character" w:customStyle="1" w:styleId="FooterChar">
    <w:name w:val="Footer Char"/>
    <w:basedOn w:val="DefaultParagraphFont"/>
    <w:link w:val="Footer"/>
    <w:uiPriority w:val="99"/>
    <w:rsid w:val="00E85C0D"/>
    <w:rPr>
      <w:rFonts w:ascii="Papyrus" w:eastAsia="Times New Roman" w:hAnsi="Papyrus" w:cs="Arial"/>
      <w:color w:val="000080"/>
      <w:spacing w:val="-3"/>
      <w:sz w:val="24"/>
      <w:szCs w:val="24"/>
    </w:rPr>
  </w:style>
  <w:style w:type="paragraph" w:styleId="BalloonText">
    <w:name w:val="Balloon Text"/>
    <w:basedOn w:val="Normal"/>
    <w:link w:val="BalloonTextChar"/>
    <w:uiPriority w:val="99"/>
    <w:semiHidden/>
    <w:unhideWhenUsed/>
    <w:rsid w:val="00E85C0D"/>
    <w:rPr>
      <w:rFonts w:ascii="Tahoma" w:hAnsi="Tahoma" w:cs="Tahoma"/>
      <w:sz w:val="16"/>
      <w:szCs w:val="16"/>
    </w:rPr>
  </w:style>
  <w:style w:type="character" w:customStyle="1" w:styleId="BalloonTextChar">
    <w:name w:val="Balloon Text Char"/>
    <w:basedOn w:val="DefaultParagraphFont"/>
    <w:link w:val="BalloonText"/>
    <w:uiPriority w:val="99"/>
    <w:semiHidden/>
    <w:rsid w:val="00E85C0D"/>
    <w:rPr>
      <w:rFonts w:ascii="Tahoma" w:eastAsia="Times New Roman" w:hAnsi="Tahoma" w:cs="Tahoma"/>
      <w:color w:val="000080"/>
      <w:spacing w:val="-3"/>
      <w:sz w:val="16"/>
      <w:szCs w:val="16"/>
    </w:rPr>
  </w:style>
  <w:style w:type="paragraph" w:styleId="ListParagraph">
    <w:name w:val="List Paragraph"/>
    <w:basedOn w:val="Normal"/>
    <w:uiPriority w:val="34"/>
    <w:qFormat/>
    <w:rsid w:val="004E0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0D"/>
    <w:pPr>
      <w:spacing w:after="0" w:line="240" w:lineRule="auto"/>
    </w:pPr>
    <w:rPr>
      <w:rFonts w:ascii="Papyrus" w:eastAsia="Times New Roman" w:hAnsi="Papyrus" w:cs="Arial"/>
      <w:color w:val="00008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0D"/>
    <w:pPr>
      <w:tabs>
        <w:tab w:val="center" w:pos="4680"/>
        <w:tab w:val="right" w:pos="9360"/>
      </w:tabs>
    </w:pPr>
  </w:style>
  <w:style w:type="character" w:customStyle="1" w:styleId="HeaderChar">
    <w:name w:val="Header Char"/>
    <w:basedOn w:val="DefaultParagraphFont"/>
    <w:link w:val="Header"/>
    <w:uiPriority w:val="99"/>
    <w:rsid w:val="00E85C0D"/>
    <w:rPr>
      <w:rFonts w:ascii="Papyrus" w:eastAsia="Times New Roman" w:hAnsi="Papyrus" w:cs="Arial"/>
      <w:color w:val="000080"/>
      <w:spacing w:val="-3"/>
      <w:sz w:val="24"/>
      <w:szCs w:val="24"/>
    </w:rPr>
  </w:style>
  <w:style w:type="paragraph" w:styleId="Footer">
    <w:name w:val="footer"/>
    <w:basedOn w:val="Normal"/>
    <w:link w:val="FooterChar"/>
    <w:uiPriority w:val="99"/>
    <w:unhideWhenUsed/>
    <w:rsid w:val="00E85C0D"/>
    <w:pPr>
      <w:tabs>
        <w:tab w:val="center" w:pos="4680"/>
        <w:tab w:val="right" w:pos="9360"/>
      </w:tabs>
    </w:pPr>
  </w:style>
  <w:style w:type="character" w:customStyle="1" w:styleId="FooterChar">
    <w:name w:val="Footer Char"/>
    <w:basedOn w:val="DefaultParagraphFont"/>
    <w:link w:val="Footer"/>
    <w:uiPriority w:val="99"/>
    <w:rsid w:val="00E85C0D"/>
    <w:rPr>
      <w:rFonts w:ascii="Papyrus" w:eastAsia="Times New Roman" w:hAnsi="Papyrus" w:cs="Arial"/>
      <w:color w:val="000080"/>
      <w:spacing w:val="-3"/>
      <w:sz w:val="24"/>
      <w:szCs w:val="24"/>
    </w:rPr>
  </w:style>
  <w:style w:type="paragraph" w:styleId="BalloonText">
    <w:name w:val="Balloon Text"/>
    <w:basedOn w:val="Normal"/>
    <w:link w:val="BalloonTextChar"/>
    <w:uiPriority w:val="99"/>
    <w:semiHidden/>
    <w:unhideWhenUsed/>
    <w:rsid w:val="00E85C0D"/>
    <w:rPr>
      <w:rFonts w:ascii="Tahoma" w:hAnsi="Tahoma" w:cs="Tahoma"/>
      <w:sz w:val="16"/>
      <w:szCs w:val="16"/>
    </w:rPr>
  </w:style>
  <w:style w:type="character" w:customStyle="1" w:styleId="BalloonTextChar">
    <w:name w:val="Balloon Text Char"/>
    <w:basedOn w:val="DefaultParagraphFont"/>
    <w:link w:val="BalloonText"/>
    <w:uiPriority w:val="99"/>
    <w:semiHidden/>
    <w:rsid w:val="00E85C0D"/>
    <w:rPr>
      <w:rFonts w:ascii="Tahoma" w:eastAsia="Times New Roman" w:hAnsi="Tahoma" w:cs="Tahoma"/>
      <w:color w:val="000080"/>
      <w:spacing w:val="-3"/>
      <w:sz w:val="16"/>
      <w:szCs w:val="16"/>
    </w:rPr>
  </w:style>
  <w:style w:type="paragraph" w:styleId="ListParagraph">
    <w:name w:val="List Paragraph"/>
    <w:basedOn w:val="Normal"/>
    <w:uiPriority w:val="34"/>
    <w:qFormat/>
    <w:rsid w:val="004E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24EB-B1A2-4751-B6FC-DF800E80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Hannaford, Graham</dc:creator>
  <cp:lastModifiedBy>Hannaford, Graham</cp:lastModifiedBy>
  <cp:revision>3</cp:revision>
  <cp:lastPrinted>2017-09-13T15:27:00Z</cp:lastPrinted>
  <dcterms:created xsi:type="dcterms:W3CDTF">2017-11-22T19:40:00Z</dcterms:created>
  <dcterms:modified xsi:type="dcterms:W3CDTF">2017-12-06T00:21:00Z</dcterms:modified>
</cp:coreProperties>
</file>