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84" w:rsidRDefault="005F0384" w:rsidP="0083356B">
      <w:pPr>
        <w:rPr>
          <w:rFonts w:ascii="Palatino Linotype" w:hAnsi="Palatino Linotype"/>
          <w:sz w:val="22"/>
          <w:szCs w:val="22"/>
        </w:rPr>
      </w:pPr>
    </w:p>
    <w:p w:rsidR="003467F5" w:rsidRPr="00E5545D" w:rsidRDefault="003467F5" w:rsidP="007E5176">
      <w:pPr>
        <w:ind w:left="270"/>
        <w:rPr>
          <w:rFonts w:ascii="Palatino Linotype" w:hAnsi="Palatino Linotype"/>
          <w:b/>
          <w:spacing w:val="40"/>
          <w:sz w:val="28"/>
          <w:szCs w:val="28"/>
        </w:rPr>
      </w:pPr>
      <w:r w:rsidRPr="00E5545D">
        <w:rPr>
          <w:rFonts w:ascii="Palatino Linotype" w:hAnsi="Palatino Linotype"/>
          <w:b/>
          <w:spacing w:val="40"/>
          <w:sz w:val="28"/>
          <w:szCs w:val="28"/>
        </w:rPr>
        <w:t>MEMORANDUM</w:t>
      </w:r>
    </w:p>
    <w:p w:rsidR="003467F5" w:rsidRDefault="003467F5" w:rsidP="003467F5">
      <w:pPr>
        <w:rPr>
          <w:rFonts w:ascii="Palatino Linotype" w:hAnsi="Palatino Linotype"/>
          <w:sz w:val="22"/>
          <w:szCs w:val="22"/>
        </w:rPr>
      </w:pPr>
    </w:p>
    <w:tbl>
      <w:tblPr>
        <w:tblW w:w="9360" w:type="dxa"/>
        <w:tblInd w:w="378" w:type="dxa"/>
        <w:tblLayout w:type="fixed"/>
        <w:tblLook w:val="01E0" w:firstRow="1" w:lastRow="1" w:firstColumn="1" w:lastColumn="1" w:noHBand="0" w:noVBand="0"/>
      </w:tblPr>
      <w:tblGrid>
        <w:gridCol w:w="810"/>
        <w:gridCol w:w="2250"/>
        <w:gridCol w:w="810"/>
        <w:gridCol w:w="5490"/>
      </w:tblGrid>
      <w:tr w:rsidR="003467F5" w:rsidRPr="002F648C" w:rsidTr="00724391">
        <w:tc>
          <w:tcPr>
            <w:tcW w:w="810" w:type="dxa"/>
            <w:tcBorders>
              <w:top w:val="single" w:sz="4" w:space="0" w:color="auto"/>
              <w:left w:val="single" w:sz="4" w:space="0" w:color="auto"/>
              <w:bottom w:val="single" w:sz="4" w:space="0" w:color="auto"/>
            </w:tcBorders>
          </w:tcPr>
          <w:p w:rsidR="003467F5" w:rsidRPr="002F648C" w:rsidRDefault="003467F5" w:rsidP="00677CE5">
            <w:pPr>
              <w:rPr>
                <w:rFonts w:ascii="Palatino Linotype" w:hAnsi="Palatino Linotype"/>
                <w:sz w:val="22"/>
                <w:szCs w:val="22"/>
              </w:rPr>
            </w:pPr>
            <w:r w:rsidRPr="002F648C">
              <w:rPr>
                <w:rFonts w:ascii="Palatino Linotype" w:hAnsi="Palatino Linotype"/>
                <w:sz w:val="22"/>
                <w:szCs w:val="22"/>
              </w:rPr>
              <w:t>To:</w:t>
            </w:r>
          </w:p>
        </w:tc>
        <w:tc>
          <w:tcPr>
            <w:tcW w:w="2250" w:type="dxa"/>
            <w:tcBorders>
              <w:top w:val="single" w:sz="4" w:space="0" w:color="auto"/>
              <w:bottom w:val="single" w:sz="4" w:space="0" w:color="auto"/>
            </w:tcBorders>
          </w:tcPr>
          <w:p w:rsidR="003467F5" w:rsidRPr="002F648C" w:rsidRDefault="002F3BA5" w:rsidP="00F473C2">
            <w:pPr>
              <w:tabs>
                <w:tab w:val="left" w:pos="2034"/>
              </w:tabs>
              <w:rPr>
                <w:rFonts w:ascii="Palatino Linotype" w:hAnsi="Palatino Linotype"/>
                <w:sz w:val="22"/>
                <w:szCs w:val="22"/>
              </w:rPr>
            </w:pPr>
            <w:r>
              <w:rPr>
                <w:rFonts w:ascii="Palatino Linotype" w:hAnsi="Palatino Linotype"/>
                <w:sz w:val="22"/>
                <w:szCs w:val="22"/>
              </w:rPr>
              <w:t>Napa County</w:t>
            </w:r>
            <w:r w:rsidR="00954166">
              <w:rPr>
                <w:rFonts w:ascii="Palatino Linotype" w:hAnsi="Palatino Linotype"/>
                <w:sz w:val="22"/>
                <w:szCs w:val="22"/>
              </w:rPr>
              <w:t xml:space="preserve"> Planning </w:t>
            </w:r>
            <w:r w:rsidR="00F473C2">
              <w:rPr>
                <w:rFonts w:ascii="Palatino Linotype" w:hAnsi="Palatino Linotype"/>
                <w:sz w:val="22"/>
                <w:szCs w:val="22"/>
              </w:rPr>
              <w:t>C</w:t>
            </w:r>
            <w:r w:rsidR="00954166">
              <w:rPr>
                <w:rFonts w:ascii="Palatino Linotype" w:hAnsi="Palatino Linotype"/>
                <w:sz w:val="22"/>
                <w:szCs w:val="22"/>
              </w:rPr>
              <w:t xml:space="preserve">ommission </w:t>
            </w:r>
            <w:r>
              <w:rPr>
                <w:rFonts w:ascii="Palatino Linotype" w:hAnsi="Palatino Linotype"/>
                <w:sz w:val="22"/>
                <w:szCs w:val="22"/>
              </w:rPr>
              <w:t xml:space="preserve"> </w:t>
            </w:r>
          </w:p>
        </w:tc>
        <w:tc>
          <w:tcPr>
            <w:tcW w:w="810" w:type="dxa"/>
            <w:tcBorders>
              <w:top w:val="single" w:sz="4" w:space="0" w:color="auto"/>
              <w:bottom w:val="single" w:sz="4" w:space="0" w:color="auto"/>
            </w:tcBorders>
          </w:tcPr>
          <w:p w:rsidR="003467F5" w:rsidRPr="002F648C" w:rsidRDefault="003467F5" w:rsidP="00F41568">
            <w:pPr>
              <w:rPr>
                <w:rFonts w:ascii="Palatino Linotype" w:hAnsi="Palatino Linotype"/>
                <w:sz w:val="22"/>
                <w:szCs w:val="22"/>
              </w:rPr>
            </w:pPr>
            <w:r w:rsidRPr="002F648C">
              <w:rPr>
                <w:rFonts w:ascii="Palatino Linotype" w:hAnsi="Palatino Linotype"/>
                <w:sz w:val="22"/>
                <w:szCs w:val="22"/>
              </w:rPr>
              <w:t>From:</w:t>
            </w:r>
          </w:p>
        </w:tc>
        <w:tc>
          <w:tcPr>
            <w:tcW w:w="5490" w:type="dxa"/>
            <w:tcBorders>
              <w:top w:val="single" w:sz="4" w:space="0" w:color="auto"/>
              <w:bottom w:val="single" w:sz="4" w:space="0" w:color="auto"/>
              <w:right w:val="single" w:sz="4" w:space="0" w:color="auto"/>
            </w:tcBorders>
          </w:tcPr>
          <w:p w:rsidR="003467F5" w:rsidRDefault="00954166" w:rsidP="00677CE5">
            <w:pPr>
              <w:rPr>
                <w:rFonts w:ascii="Palatino Linotype" w:hAnsi="Palatino Linotype"/>
                <w:sz w:val="22"/>
                <w:szCs w:val="22"/>
              </w:rPr>
            </w:pPr>
            <w:r>
              <w:rPr>
                <w:rFonts w:ascii="Palatino Linotype" w:hAnsi="Palatino Linotype"/>
                <w:sz w:val="22"/>
                <w:szCs w:val="22"/>
              </w:rPr>
              <w:t>David Morrison,</w:t>
            </w:r>
            <w:r w:rsidR="00F473C2">
              <w:rPr>
                <w:rFonts w:ascii="Palatino Linotype" w:hAnsi="Palatino Linotype"/>
                <w:sz w:val="22"/>
                <w:szCs w:val="22"/>
              </w:rPr>
              <w:t xml:space="preserve"> Director</w:t>
            </w:r>
          </w:p>
          <w:p w:rsidR="003467F5" w:rsidRPr="002F648C" w:rsidRDefault="003467F5" w:rsidP="00677CE5">
            <w:pPr>
              <w:rPr>
                <w:rFonts w:ascii="Palatino Linotype" w:hAnsi="Palatino Linotype"/>
                <w:sz w:val="22"/>
                <w:szCs w:val="22"/>
              </w:rPr>
            </w:pPr>
          </w:p>
        </w:tc>
      </w:tr>
      <w:tr w:rsidR="003467F5" w:rsidRPr="002F648C" w:rsidTr="00724391">
        <w:trPr>
          <w:trHeight w:hRule="exact" w:val="144"/>
        </w:trPr>
        <w:tc>
          <w:tcPr>
            <w:tcW w:w="81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p>
        </w:tc>
        <w:tc>
          <w:tcPr>
            <w:tcW w:w="225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p>
        </w:tc>
        <w:tc>
          <w:tcPr>
            <w:tcW w:w="81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p>
        </w:tc>
        <w:tc>
          <w:tcPr>
            <w:tcW w:w="549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p>
        </w:tc>
      </w:tr>
      <w:tr w:rsidR="003467F5" w:rsidRPr="002F648C" w:rsidTr="00724391">
        <w:tc>
          <w:tcPr>
            <w:tcW w:w="810" w:type="dxa"/>
            <w:tcBorders>
              <w:top w:val="single" w:sz="4" w:space="0" w:color="auto"/>
              <w:left w:val="single" w:sz="4" w:space="0" w:color="auto"/>
              <w:bottom w:val="single" w:sz="4" w:space="0" w:color="auto"/>
            </w:tcBorders>
          </w:tcPr>
          <w:p w:rsidR="003467F5" w:rsidRPr="002F648C" w:rsidRDefault="003467F5" w:rsidP="00677CE5">
            <w:pPr>
              <w:rPr>
                <w:rFonts w:ascii="Palatino Linotype" w:hAnsi="Palatino Linotype"/>
                <w:sz w:val="22"/>
                <w:szCs w:val="22"/>
              </w:rPr>
            </w:pPr>
            <w:r w:rsidRPr="002F648C">
              <w:rPr>
                <w:rFonts w:ascii="Palatino Linotype" w:hAnsi="Palatino Linotype"/>
                <w:sz w:val="22"/>
                <w:szCs w:val="22"/>
              </w:rPr>
              <w:t>Date:</w:t>
            </w:r>
          </w:p>
        </w:tc>
        <w:tc>
          <w:tcPr>
            <w:tcW w:w="2250" w:type="dxa"/>
            <w:tcBorders>
              <w:top w:val="single" w:sz="4" w:space="0" w:color="auto"/>
              <w:bottom w:val="single" w:sz="4" w:space="0" w:color="auto"/>
            </w:tcBorders>
          </w:tcPr>
          <w:p w:rsidR="003467F5" w:rsidRPr="002F648C" w:rsidRDefault="00954166" w:rsidP="00871005">
            <w:pPr>
              <w:rPr>
                <w:rFonts w:ascii="Palatino Linotype" w:hAnsi="Palatino Linotype"/>
                <w:sz w:val="22"/>
                <w:szCs w:val="22"/>
              </w:rPr>
            </w:pPr>
            <w:r>
              <w:rPr>
                <w:rFonts w:ascii="Palatino Linotype" w:hAnsi="Palatino Linotype"/>
                <w:sz w:val="22"/>
                <w:szCs w:val="22"/>
              </w:rPr>
              <w:t xml:space="preserve">September </w:t>
            </w:r>
            <w:r w:rsidR="00871005">
              <w:rPr>
                <w:rFonts w:ascii="Palatino Linotype" w:hAnsi="Palatino Linotype"/>
                <w:sz w:val="22"/>
                <w:szCs w:val="22"/>
              </w:rPr>
              <w:t>30</w:t>
            </w:r>
            <w:r>
              <w:rPr>
                <w:rFonts w:ascii="Palatino Linotype" w:hAnsi="Palatino Linotype"/>
                <w:sz w:val="22"/>
                <w:szCs w:val="22"/>
              </w:rPr>
              <w:t xml:space="preserve">, </w:t>
            </w:r>
            <w:r w:rsidR="002F3BA5">
              <w:rPr>
                <w:rFonts w:ascii="Palatino Linotype" w:hAnsi="Palatino Linotype"/>
                <w:sz w:val="22"/>
                <w:szCs w:val="22"/>
              </w:rPr>
              <w:t>2015</w:t>
            </w:r>
          </w:p>
        </w:tc>
        <w:tc>
          <w:tcPr>
            <w:tcW w:w="81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r w:rsidRPr="002F648C">
              <w:rPr>
                <w:rFonts w:ascii="Palatino Linotype" w:hAnsi="Palatino Linotype"/>
                <w:sz w:val="22"/>
                <w:szCs w:val="22"/>
              </w:rPr>
              <w:t>Re:</w:t>
            </w:r>
          </w:p>
        </w:tc>
        <w:tc>
          <w:tcPr>
            <w:tcW w:w="5490" w:type="dxa"/>
            <w:tcBorders>
              <w:top w:val="single" w:sz="4" w:space="0" w:color="auto"/>
              <w:bottom w:val="single" w:sz="4" w:space="0" w:color="auto"/>
              <w:right w:val="single" w:sz="4" w:space="0" w:color="auto"/>
            </w:tcBorders>
          </w:tcPr>
          <w:p w:rsidR="003467F5" w:rsidRPr="002F648C" w:rsidRDefault="00724391" w:rsidP="00724391">
            <w:pPr>
              <w:rPr>
                <w:rFonts w:ascii="Palatino Linotype" w:hAnsi="Palatino Linotype"/>
                <w:sz w:val="22"/>
                <w:szCs w:val="22"/>
              </w:rPr>
            </w:pPr>
            <w:r>
              <w:rPr>
                <w:rFonts w:ascii="Palatino Linotype" w:hAnsi="Palatino Linotype"/>
                <w:sz w:val="22"/>
                <w:szCs w:val="22"/>
              </w:rPr>
              <w:t xml:space="preserve">Schedule for Considering </w:t>
            </w:r>
            <w:r w:rsidR="00083FE5">
              <w:rPr>
                <w:rFonts w:ascii="Palatino Linotype" w:hAnsi="Palatino Linotype"/>
                <w:sz w:val="22"/>
                <w:szCs w:val="22"/>
              </w:rPr>
              <w:t>Recommendations</w:t>
            </w:r>
            <w:r>
              <w:rPr>
                <w:rFonts w:ascii="Palatino Linotype" w:hAnsi="Palatino Linotype"/>
                <w:sz w:val="22"/>
                <w:szCs w:val="22"/>
              </w:rPr>
              <w:t xml:space="preserve"> from the Agricultural Protection Advisory Committee (APAC)</w:t>
            </w:r>
          </w:p>
        </w:tc>
      </w:tr>
    </w:tbl>
    <w:p w:rsidR="003467F5" w:rsidRDefault="003467F5" w:rsidP="003467F5">
      <w:pPr>
        <w:rPr>
          <w:rFonts w:ascii="Palatino Linotype" w:hAnsi="Palatino Linotype"/>
          <w:sz w:val="22"/>
          <w:szCs w:val="22"/>
        </w:rPr>
      </w:pPr>
    </w:p>
    <w:p w:rsidR="00083FE5" w:rsidRPr="00F41568" w:rsidRDefault="00083FE5" w:rsidP="00724391">
      <w:pPr>
        <w:ind w:left="360"/>
        <w:rPr>
          <w:b/>
          <w:u w:val="single"/>
        </w:rPr>
      </w:pPr>
      <w:r w:rsidRPr="00F41568">
        <w:rPr>
          <w:b/>
          <w:u w:val="single"/>
        </w:rPr>
        <w:t>B</w:t>
      </w:r>
      <w:r w:rsidR="00F41568" w:rsidRPr="00F41568">
        <w:rPr>
          <w:b/>
          <w:u w:val="single"/>
        </w:rPr>
        <w:t>OARD DIRECTION</w:t>
      </w:r>
      <w:r w:rsidRPr="00F41568">
        <w:rPr>
          <w:b/>
          <w:u w:val="single"/>
        </w:rPr>
        <w:t>:</w:t>
      </w:r>
    </w:p>
    <w:p w:rsidR="00083FE5" w:rsidRPr="00F41568" w:rsidRDefault="00083FE5" w:rsidP="00083FE5">
      <w:pPr>
        <w:rPr>
          <w:b/>
        </w:rPr>
      </w:pPr>
    </w:p>
    <w:p w:rsidR="00724391" w:rsidRDefault="00724391" w:rsidP="00724391">
      <w:pPr>
        <w:ind w:left="360"/>
      </w:pPr>
      <w:r>
        <w:t>When the APAC was formed, the Board of Supervisors provided extensive direction to the Committee on conducting its business, including schedule, topics, committee composition, and voting supermajority.  On September 15, 2015, staff requested that the Board of Supervisors provide similar direction to the Planning Commission regarding their consideration of the recommendations from the APAC.  The Board provided three directives to the Commission:</w:t>
      </w:r>
    </w:p>
    <w:p w:rsidR="00724391" w:rsidRDefault="00724391" w:rsidP="00083FE5"/>
    <w:p w:rsidR="00083FE5" w:rsidRDefault="00724391" w:rsidP="00724391">
      <w:pPr>
        <w:pStyle w:val="ListParagraph"/>
        <w:numPr>
          <w:ilvl w:val="1"/>
          <w:numId w:val="28"/>
        </w:numPr>
        <w:tabs>
          <w:tab w:val="left" w:pos="720"/>
        </w:tabs>
        <w:ind w:left="720"/>
      </w:pPr>
      <w:r>
        <w:t>Develop draft policies that are supported by the specific action item recommendations;</w:t>
      </w:r>
    </w:p>
    <w:p w:rsidR="00083FE5" w:rsidRDefault="00724391" w:rsidP="00724391">
      <w:pPr>
        <w:pStyle w:val="ListParagraph"/>
        <w:numPr>
          <w:ilvl w:val="1"/>
          <w:numId w:val="28"/>
        </w:numPr>
        <w:tabs>
          <w:tab w:val="left" w:pos="720"/>
        </w:tabs>
        <w:ind w:left="720"/>
      </w:pPr>
      <w:r>
        <w:t>Prioritize consideration of those recommendations that received unanimous or support by a supermajority of the APAC;</w:t>
      </w:r>
    </w:p>
    <w:p w:rsidR="00724391" w:rsidRDefault="00724391" w:rsidP="00724391">
      <w:pPr>
        <w:pStyle w:val="ListParagraph"/>
        <w:numPr>
          <w:ilvl w:val="1"/>
          <w:numId w:val="28"/>
        </w:numPr>
        <w:tabs>
          <w:tab w:val="left" w:pos="720"/>
        </w:tabs>
        <w:ind w:left="720"/>
      </w:pPr>
      <w:r>
        <w:t>Forward recommendations to the Board of Supervisors as soon as possible, so that the Board can provide direction to staff to begin drafting implementation language; and</w:t>
      </w:r>
    </w:p>
    <w:p w:rsidR="00083FE5" w:rsidRDefault="00724391" w:rsidP="00724391">
      <w:pPr>
        <w:pStyle w:val="ListParagraph"/>
        <w:numPr>
          <w:ilvl w:val="1"/>
          <w:numId w:val="28"/>
        </w:numPr>
        <w:tabs>
          <w:tab w:val="left" w:pos="720"/>
        </w:tabs>
        <w:ind w:left="720"/>
      </w:pPr>
      <w:r>
        <w:t xml:space="preserve">Focus on broad brushstrokes, instead of the details.  The Board may have different priorities and direction, so it would not be an effective use of Commission time to extensively deliberate on items that have yet to receive Board support.  Details can be worked out later, once the Board has provided the overall direction.  </w:t>
      </w:r>
    </w:p>
    <w:p w:rsidR="00083FE5" w:rsidRDefault="00083FE5" w:rsidP="00083FE5"/>
    <w:p w:rsidR="00D17068" w:rsidRPr="00F41568" w:rsidRDefault="00D17068" w:rsidP="00D17068">
      <w:pPr>
        <w:ind w:left="360"/>
        <w:rPr>
          <w:b/>
          <w:u w:val="single"/>
        </w:rPr>
      </w:pPr>
      <w:r w:rsidRPr="00F41568">
        <w:rPr>
          <w:b/>
          <w:u w:val="single"/>
        </w:rPr>
        <w:t>S</w:t>
      </w:r>
      <w:r w:rsidR="00F41568">
        <w:rPr>
          <w:b/>
          <w:u w:val="single"/>
        </w:rPr>
        <w:t>CHEDULE</w:t>
      </w:r>
      <w:r w:rsidRPr="00F41568">
        <w:rPr>
          <w:b/>
          <w:u w:val="single"/>
        </w:rPr>
        <w:t>:</w:t>
      </w:r>
    </w:p>
    <w:p w:rsidR="00D17068" w:rsidRDefault="00D17068" w:rsidP="00083FE5"/>
    <w:p w:rsidR="00724391" w:rsidRDefault="00724391" w:rsidP="00724391">
      <w:pPr>
        <w:ind w:left="360"/>
      </w:pPr>
      <w:r>
        <w:t xml:space="preserve">Based on the Board of Supervisor’s direction, </w:t>
      </w:r>
      <w:r w:rsidR="00F41568">
        <w:t>staff is recommending the following draft schedule:</w:t>
      </w:r>
    </w:p>
    <w:p w:rsidR="00724391" w:rsidRDefault="00724391" w:rsidP="00083FE5"/>
    <w:p w:rsidR="00083FE5" w:rsidRPr="00F473C2" w:rsidRDefault="00083FE5" w:rsidP="00724391">
      <w:pPr>
        <w:ind w:left="360"/>
        <w:rPr>
          <w:b/>
        </w:rPr>
      </w:pPr>
      <w:r w:rsidRPr="00F473C2">
        <w:rPr>
          <w:b/>
        </w:rPr>
        <w:t>September 16</w:t>
      </w:r>
      <w:r w:rsidR="00F473C2" w:rsidRPr="00F473C2">
        <w:rPr>
          <w:b/>
        </w:rPr>
        <w:t>, 2015</w:t>
      </w:r>
    </w:p>
    <w:p w:rsidR="00724391" w:rsidRDefault="00724391" w:rsidP="00724391">
      <w:pPr>
        <w:ind w:left="360"/>
      </w:pPr>
    </w:p>
    <w:p w:rsidR="004D53F2" w:rsidRPr="00F473C2" w:rsidRDefault="004D53F2" w:rsidP="00083FE5">
      <w:pPr>
        <w:rPr>
          <w:u w:val="single"/>
        </w:rPr>
      </w:pPr>
      <w:r>
        <w:tab/>
      </w:r>
      <w:r w:rsidRPr="00F473C2">
        <w:rPr>
          <w:u w:val="single"/>
        </w:rPr>
        <w:t>Organization for the Commission’s consideration of the APAC recommendations:</w:t>
      </w:r>
    </w:p>
    <w:p w:rsidR="001D2174" w:rsidRDefault="001D2174" w:rsidP="004D53F2">
      <w:pPr>
        <w:pStyle w:val="ListParagraph"/>
        <w:numPr>
          <w:ilvl w:val="0"/>
          <w:numId w:val="32"/>
        </w:numPr>
      </w:pPr>
      <w:r>
        <w:t xml:space="preserve">Disclosure of conflicts of interest </w:t>
      </w:r>
    </w:p>
    <w:p w:rsidR="004D53F2" w:rsidRDefault="001D2174" w:rsidP="004D53F2">
      <w:pPr>
        <w:pStyle w:val="ListParagraph"/>
        <w:numPr>
          <w:ilvl w:val="0"/>
          <w:numId w:val="32"/>
        </w:numPr>
      </w:pPr>
      <w:r>
        <w:t xml:space="preserve">Election of </w:t>
      </w:r>
      <w:r w:rsidR="00083FE5">
        <w:t>Officers</w:t>
      </w:r>
      <w:r>
        <w:t>, if applicable</w:t>
      </w:r>
    </w:p>
    <w:p w:rsidR="004D53F2" w:rsidRDefault="00083FE5" w:rsidP="004D53F2">
      <w:pPr>
        <w:pStyle w:val="ListParagraph"/>
        <w:numPr>
          <w:ilvl w:val="0"/>
          <w:numId w:val="32"/>
        </w:numPr>
      </w:pPr>
      <w:r>
        <w:t>Presentation</w:t>
      </w:r>
      <w:r w:rsidR="001D2174">
        <w:t xml:space="preserve"> by Ted Hall, Chair, and John Dunbar, Vice-Chair, of APAC</w:t>
      </w:r>
    </w:p>
    <w:p w:rsidR="001D2174" w:rsidRDefault="001D2174" w:rsidP="004D53F2">
      <w:pPr>
        <w:pStyle w:val="ListParagraph"/>
        <w:numPr>
          <w:ilvl w:val="0"/>
          <w:numId w:val="32"/>
        </w:numPr>
      </w:pPr>
      <w:r>
        <w:t>Acceptance of draft schedule</w:t>
      </w:r>
    </w:p>
    <w:p w:rsidR="00F41568" w:rsidRDefault="001D2174" w:rsidP="004D53F2">
      <w:pPr>
        <w:pStyle w:val="ListParagraph"/>
        <w:numPr>
          <w:ilvl w:val="0"/>
          <w:numId w:val="32"/>
        </w:numPr>
      </w:pPr>
      <w:r>
        <w:t>Scope and f</w:t>
      </w:r>
      <w:r w:rsidR="00F41568">
        <w:t xml:space="preserve">ormat of </w:t>
      </w:r>
      <w:r>
        <w:t>p</w:t>
      </w:r>
      <w:r w:rsidR="00F41568">
        <w:t xml:space="preserve">olicy </w:t>
      </w:r>
      <w:r>
        <w:t>recommendations</w:t>
      </w:r>
    </w:p>
    <w:p w:rsidR="00083FE5" w:rsidRDefault="00083FE5" w:rsidP="00083FE5"/>
    <w:p w:rsidR="00083FE5" w:rsidRPr="00F473C2" w:rsidRDefault="004D53F2" w:rsidP="00083FE5">
      <w:pPr>
        <w:rPr>
          <w:u w:val="single"/>
        </w:rPr>
      </w:pPr>
      <w:r>
        <w:tab/>
      </w:r>
      <w:r w:rsidRPr="00F473C2">
        <w:rPr>
          <w:u w:val="single"/>
        </w:rPr>
        <w:t>Items that received unanimous support from the APAC:</w:t>
      </w:r>
    </w:p>
    <w:p w:rsidR="004D53F2" w:rsidRDefault="004D53F2" w:rsidP="004379E2">
      <w:pPr>
        <w:pStyle w:val="ListParagraph"/>
        <w:numPr>
          <w:ilvl w:val="0"/>
          <w:numId w:val="34"/>
        </w:numPr>
      </w:pPr>
      <w:r>
        <w:t>Avoid the use of variances as a principle tool for achieving compliance with land use regulations.  Variances may be used only when there is specific evidence supporting all necessary findings.</w:t>
      </w:r>
    </w:p>
    <w:p w:rsidR="004D53F2" w:rsidRDefault="004D53F2" w:rsidP="004379E2">
      <w:pPr>
        <w:pStyle w:val="ListParagraph"/>
        <w:numPr>
          <w:ilvl w:val="0"/>
          <w:numId w:val="34"/>
        </w:numPr>
      </w:pPr>
      <w:r>
        <w:t>Develop guidelines and benchmarks for consideration of future winery use permits based on the format of Proposal X.</w:t>
      </w:r>
    </w:p>
    <w:p w:rsidR="004D53F2" w:rsidRDefault="004D53F2" w:rsidP="004379E2">
      <w:pPr>
        <w:pStyle w:val="ListParagraph"/>
        <w:numPr>
          <w:ilvl w:val="0"/>
          <w:numId w:val="34"/>
        </w:numPr>
      </w:pPr>
      <w:r>
        <w:t>Implement an annual self-certification reporting process, requiring a report to be submitted by the principal officer of each winery certifying the amount of wine produced, compliance with the 75% rule, as applicable, and compliance with all conditions of use permit approval.  All data collected shall remain confidential to the extent allowed under the law.</w:t>
      </w:r>
    </w:p>
    <w:p w:rsidR="004D53F2" w:rsidRDefault="004379E2" w:rsidP="004379E2">
      <w:pPr>
        <w:pStyle w:val="ListParagraph"/>
        <w:numPr>
          <w:ilvl w:val="0"/>
          <w:numId w:val="34"/>
        </w:numPr>
      </w:pPr>
      <w:r>
        <w:t>Prohibit h</w:t>
      </w:r>
      <w:r w:rsidR="004D53F2">
        <w:t>old and haul</w:t>
      </w:r>
      <w:r>
        <w:t xml:space="preserve"> of wastewater and related liquid by-products on all AP and AW zoned parcels for new wineries except during winery development, not to exceed one year from certificate of occupancy, or in an emergency situation.</w:t>
      </w:r>
    </w:p>
    <w:p w:rsidR="004D53F2" w:rsidRDefault="004D53F2" w:rsidP="004379E2">
      <w:pPr>
        <w:pStyle w:val="ListParagraph"/>
        <w:numPr>
          <w:ilvl w:val="0"/>
          <w:numId w:val="34"/>
        </w:numPr>
      </w:pPr>
      <w:r>
        <w:t xml:space="preserve">Share </w:t>
      </w:r>
      <w:r w:rsidR="004379E2">
        <w:t xml:space="preserve">the County’s production </w:t>
      </w:r>
      <w:r>
        <w:t>repor</w:t>
      </w:r>
      <w:r w:rsidR="004379E2">
        <w:t>ting methodology with the five other Napa County jurisdictions and encourage annual winery data collection from wineries located in the unincorporated area for the purposes of capturing more complete data.</w:t>
      </w:r>
    </w:p>
    <w:p w:rsidR="00871005" w:rsidRDefault="00871005" w:rsidP="00871005"/>
    <w:p w:rsidR="00871005" w:rsidRPr="00F473C2" w:rsidRDefault="00871005" w:rsidP="00871005">
      <w:pPr>
        <w:ind w:firstLine="720"/>
        <w:rPr>
          <w:u w:val="single"/>
        </w:rPr>
      </w:pPr>
      <w:r w:rsidRPr="00F473C2">
        <w:rPr>
          <w:u w:val="single"/>
        </w:rPr>
        <w:t>Items that received supermajority support from the APAC:</w:t>
      </w:r>
    </w:p>
    <w:p w:rsidR="00871005" w:rsidRDefault="00871005" w:rsidP="00871005">
      <w:pPr>
        <w:pStyle w:val="ListParagraph"/>
        <w:numPr>
          <w:ilvl w:val="0"/>
          <w:numId w:val="35"/>
        </w:numPr>
      </w:pPr>
      <w:r>
        <w:t>Strongly encourage elected and appointed of the County, and their staffs, to take the following actions:</w:t>
      </w:r>
    </w:p>
    <w:p w:rsidR="00871005" w:rsidRDefault="00871005" w:rsidP="00871005">
      <w:pPr>
        <w:pStyle w:val="ListParagraph"/>
        <w:numPr>
          <w:ilvl w:val="0"/>
          <w:numId w:val="39"/>
        </w:numPr>
      </w:pPr>
      <w:r>
        <w:t>Implement the land use policies identified in the Napa County General Plan update</w:t>
      </w:r>
    </w:p>
    <w:p w:rsidR="00871005" w:rsidRDefault="00871005" w:rsidP="00871005">
      <w:pPr>
        <w:pStyle w:val="ListParagraph"/>
        <w:numPr>
          <w:ilvl w:val="0"/>
          <w:numId w:val="39"/>
        </w:numPr>
      </w:pPr>
      <w:r>
        <w:t>Enforce all current regulations fairly and consistently.</w:t>
      </w:r>
    </w:p>
    <w:p w:rsidR="00871005" w:rsidRDefault="00871005" w:rsidP="00871005">
      <w:pPr>
        <w:pStyle w:val="ListParagraph"/>
        <w:numPr>
          <w:ilvl w:val="0"/>
          <w:numId w:val="39"/>
        </w:numPr>
      </w:pPr>
      <w:r>
        <w:t>Deny any unrealistic use permit applications and modifications that are depending on the excessive use of variances.</w:t>
      </w:r>
    </w:p>
    <w:p w:rsidR="00871005" w:rsidRDefault="00871005" w:rsidP="00871005">
      <w:pPr>
        <w:pStyle w:val="ListParagraph"/>
        <w:numPr>
          <w:ilvl w:val="0"/>
          <w:numId w:val="39"/>
        </w:numPr>
      </w:pPr>
      <w:r>
        <w:t>Consistently follow existing procedures.</w:t>
      </w:r>
    </w:p>
    <w:p w:rsidR="00871005" w:rsidRDefault="00871005" w:rsidP="00871005">
      <w:pPr>
        <w:pStyle w:val="ListParagraph"/>
        <w:numPr>
          <w:ilvl w:val="0"/>
          <w:numId w:val="39"/>
        </w:numPr>
      </w:pPr>
      <w:r>
        <w:t>Discontinue creative efforts to justify projects on non-conforming parcels.</w:t>
      </w:r>
    </w:p>
    <w:p w:rsidR="00871005" w:rsidRDefault="00871005" w:rsidP="00871005">
      <w:pPr>
        <w:pStyle w:val="ListParagraph"/>
        <w:numPr>
          <w:ilvl w:val="0"/>
          <w:numId w:val="39"/>
        </w:numPr>
      </w:pPr>
      <w:r>
        <w:t>Be consistent in the interpretation, application and enforcement of all use permits.</w:t>
      </w:r>
    </w:p>
    <w:p w:rsidR="00871005" w:rsidRDefault="00871005" w:rsidP="00871005">
      <w:pPr>
        <w:pStyle w:val="ListParagraph"/>
        <w:numPr>
          <w:ilvl w:val="0"/>
          <w:numId w:val="39"/>
        </w:numPr>
      </w:pPr>
      <w:r>
        <w:t>Complete items the County Board of Supervisors and Planning Commission identified at the joint special hearing on March 10, including:</w:t>
      </w:r>
    </w:p>
    <w:p w:rsidR="00871005" w:rsidRDefault="00871005" w:rsidP="00871005">
      <w:pPr>
        <w:pStyle w:val="ListParagraph"/>
        <w:numPr>
          <w:ilvl w:val="1"/>
          <w:numId w:val="39"/>
        </w:numPr>
      </w:pPr>
      <w:r>
        <w:t>County Climate Action Plan</w:t>
      </w:r>
    </w:p>
    <w:p w:rsidR="00871005" w:rsidRDefault="00871005" w:rsidP="00871005">
      <w:pPr>
        <w:pStyle w:val="ListParagraph"/>
        <w:numPr>
          <w:ilvl w:val="1"/>
          <w:numId w:val="39"/>
        </w:numPr>
      </w:pPr>
      <w:r>
        <w:t>Circulation Element of the General Plan</w:t>
      </w:r>
    </w:p>
    <w:p w:rsidR="00871005" w:rsidRDefault="00871005" w:rsidP="00871005">
      <w:pPr>
        <w:pStyle w:val="ListParagraph"/>
        <w:numPr>
          <w:ilvl w:val="1"/>
          <w:numId w:val="39"/>
        </w:numPr>
      </w:pPr>
      <w:r>
        <w:t>Summit of County, City, and Town officials to discuss joint efforts to address regional land use and transportation issues.</w:t>
      </w:r>
    </w:p>
    <w:p w:rsidR="004D53F2" w:rsidRDefault="004D53F2" w:rsidP="00083FE5"/>
    <w:p w:rsidR="00083FE5" w:rsidRPr="00F473C2" w:rsidRDefault="00871005" w:rsidP="00724391">
      <w:pPr>
        <w:ind w:left="360"/>
        <w:rPr>
          <w:b/>
        </w:rPr>
      </w:pPr>
      <w:r>
        <w:rPr>
          <w:b/>
        </w:rPr>
        <w:t>September 30, 2015</w:t>
      </w:r>
      <w:r w:rsidR="00D257D8">
        <w:rPr>
          <w:b/>
        </w:rPr>
        <w:t xml:space="preserve"> (Special Meeting)</w:t>
      </w:r>
      <w:bookmarkStart w:id="0" w:name="_GoBack"/>
      <w:bookmarkEnd w:id="0"/>
    </w:p>
    <w:p w:rsidR="00083FE5" w:rsidRDefault="00083FE5" w:rsidP="00083FE5"/>
    <w:p w:rsidR="00F41568" w:rsidRPr="00F473C2" w:rsidRDefault="002555D3" w:rsidP="00F473C2">
      <w:pPr>
        <w:ind w:firstLine="720"/>
        <w:rPr>
          <w:u w:val="single"/>
        </w:rPr>
      </w:pPr>
      <w:r w:rsidRPr="00F473C2">
        <w:rPr>
          <w:u w:val="single"/>
        </w:rPr>
        <w:t>Items that received supermajority support from the APAC:</w:t>
      </w:r>
    </w:p>
    <w:p w:rsidR="004D53F2" w:rsidRDefault="004379E2" w:rsidP="00871005">
      <w:pPr>
        <w:pStyle w:val="ListParagraph"/>
        <w:numPr>
          <w:ilvl w:val="0"/>
          <w:numId w:val="40"/>
        </w:numPr>
      </w:pPr>
      <w:r>
        <w:t>Use the w</w:t>
      </w:r>
      <w:r w:rsidR="002555D3">
        <w:t>orking definition of agriculture</w:t>
      </w:r>
      <w:r>
        <w:t>.</w:t>
      </w:r>
    </w:p>
    <w:p w:rsidR="004D53F2" w:rsidRDefault="002555D3" w:rsidP="00871005">
      <w:pPr>
        <w:pStyle w:val="ListParagraph"/>
        <w:numPr>
          <w:ilvl w:val="0"/>
          <w:numId w:val="40"/>
        </w:numPr>
      </w:pPr>
      <w:r>
        <w:t xml:space="preserve">Limit </w:t>
      </w:r>
      <w:r w:rsidR="004379E2">
        <w:t xml:space="preserve">the total </w:t>
      </w:r>
      <w:r>
        <w:t>development area</w:t>
      </w:r>
      <w:r w:rsidR="004379E2">
        <w:t xml:space="preserve">, for parcels up to 40 acres in the AP and AW zones, to no more than a cumulative total of 20% of a parcel, including new winery, residential and/or permitted uses.  The total development area for parcels larger than 40 acres would be capped at a fixed eight (8) acres maximum.  </w:t>
      </w:r>
    </w:p>
    <w:p w:rsidR="004D53F2" w:rsidRDefault="004379E2" w:rsidP="00871005">
      <w:pPr>
        <w:pStyle w:val="ListParagraph"/>
        <w:numPr>
          <w:ilvl w:val="0"/>
          <w:numId w:val="40"/>
        </w:numPr>
      </w:pPr>
      <w:r>
        <w:lastRenderedPageBreak/>
        <w:t xml:space="preserve">Modify the County Code </w:t>
      </w:r>
      <w:r w:rsidR="00D43254">
        <w:t>to i</w:t>
      </w:r>
      <w:r w:rsidR="002555D3">
        <w:t xml:space="preserve">nclude outdoor </w:t>
      </w:r>
      <w:r w:rsidR="00D43254">
        <w:t xml:space="preserve">hospitality areas </w:t>
      </w:r>
      <w:r w:rsidR="002555D3">
        <w:t xml:space="preserve">and Type 3 caves in </w:t>
      </w:r>
      <w:r w:rsidR="00D43254">
        <w:t xml:space="preserve">the total area used to determine the maximum square footage for accessory uses for new wineries in the AP and AW zones.  </w:t>
      </w:r>
    </w:p>
    <w:p w:rsidR="004D53F2" w:rsidRDefault="00D43254" w:rsidP="00871005">
      <w:pPr>
        <w:pStyle w:val="ListParagraph"/>
        <w:numPr>
          <w:ilvl w:val="0"/>
          <w:numId w:val="40"/>
        </w:numPr>
      </w:pPr>
      <w:r>
        <w:t xml:space="preserve">Establish a process for the approval of use permits for small wineries </w:t>
      </w:r>
      <w:r w:rsidR="00DD168C">
        <w:t>as defined in Napa County’s Local Procedures for implementing California Environmental Quality Act (CEQA):</w:t>
      </w:r>
    </w:p>
    <w:p w:rsidR="00DD168C" w:rsidRDefault="00DD168C" w:rsidP="00DD168C">
      <w:pPr>
        <w:pStyle w:val="ListParagraph"/>
        <w:numPr>
          <w:ilvl w:val="0"/>
          <w:numId w:val="38"/>
        </w:numPr>
        <w:tabs>
          <w:tab w:val="left" w:pos="1260"/>
        </w:tabs>
      </w:pPr>
      <w:r>
        <w:t>Include less than 5,000 square feet in size excluding caves</w:t>
      </w:r>
    </w:p>
    <w:p w:rsidR="00DD168C" w:rsidRDefault="00DD168C" w:rsidP="00DD168C">
      <w:pPr>
        <w:pStyle w:val="ListParagraph"/>
        <w:numPr>
          <w:ilvl w:val="0"/>
          <w:numId w:val="38"/>
        </w:numPr>
        <w:tabs>
          <w:tab w:val="left" w:pos="1260"/>
        </w:tabs>
      </w:pPr>
      <w:r>
        <w:t>Involve either no cave excavation, or excavation sufficient to create more than 5,000 additional square feet with all of the excavated cave spoils to be used on site</w:t>
      </w:r>
    </w:p>
    <w:p w:rsidR="00DD168C" w:rsidRDefault="00DD168C" w:rsidP="00DD168C">
      <w:pPr>
        <w:pStyle w:val="ListParagraph"/>
        <w:numPr>
          <w:ilvl w:val="0"/>
          <w:numId w:val="38"/>
        </w:numPr>
        <w:tabs>
          <w:tab w:val="left" w:pos="1260"/>
        </w:tabs>
      </w:pPr>
      <w:r>
        <w:t>Produce 30,000 gallons or less per year</w:t>
      </w:r>
    </w:p>
    <w:p w:rsidR="00DD168C" w:rsidRDefault="00DD168C" w:rsidP="00DD168C">
      <w:pPr>
        <w:pStyle w:val="ListParagraph"/>
        <w:numPr>
          <w:ilvl w:val="0"/>
          <w:numId w:val="38"/>
        </w:numPr>
        <w:tabs>
          <w:tab w:val="left" w:pos="1260"/>
        </w:tabs>
      </w:pPr>
      <w:r>
        <w:t>Generate less than 40 vehicle trips per day and 5 peak hour trips except on those days when marketing events are taking place</w:t>
      </w:r>
    </w:p>
    <w:p w:rsidR="00DD168C" w:rsidRDefault="00DD168C" w:rsidP="00DD168C">
      <w:pPr>
        <w:pStyle w:val="ListParagraph"/>
        <w:numPr>
          <w:ilvl w:val="0"/>
          <w:numId w:val="38"/>
        </w:numPr>
        <w:tabs>
          <w:tab w:val="left" w:pos="1260"/>
        </w:tabs>
      </w:pPr>
      <w:r>
        <w:t>Hold no more than 10 marketing events per year, each with no more than 30 attendees, except for one wine auction event with up to 100 persons in attendance</w:t>
      </w:r>
    </w:p>
    <w:p w:rsidR="00DD168C" w:rsidRDefault="00DD168C" w:rsidP="00DD168C">
      <w:pPr>
        <w:pStyle w:val="ListParagraph"/>
        <w:numPr>
          <w:ilvl w:val="0"/>
          <w:numId w:val="38"/>
        </w:numPr>
        <w:tabs>
          <w:tab w:val="left" w:pos="1260"/>
        </w:tabs>
      </w:pPr>
      <w:r>
        <w:t>Hold no temporary events</w:t>
      </w:r>
    </w:p>
    <w:p w:rsidR="004D53F2" w:rsidRDefault="00DD168C" w:rsidP="00871005">
      <w:pPr>
        <w:pStyle w:val="ListParagraph"/>
        <w:numPr>
          <w:ilvl w:val="0"/>
          <w:numId w:val="40"/>
        </w:numPr>
      </w:pPr>
      <w:r>
        <w:t xml:space="preserve">Limit the implementation of the recommended new requirements for winery use permits, including maximum winery development area, small winery use permit approval processes, and hold and haul restrictions to new use permit applications for wineries submitted </w:t>
      </w:r>
      <w:r w:rsidR="002555D3">
        <w:t>after January 1, 2016</w:t>
      </w:r>
    </w:p>
    <w:p w:rsidR="002555D3" w:rsidRDefault="00DD168C" w:rsidP="00871005">
      <w:pPr>
        <w:pStyle w:val="ListParagraph"/>
        <w:numPr>
          <w:ilvl w:val="0"/>
          <w:numId w:val="40"/>
        </w:numPr>
      </w:pPr>
      <w:r>
        <w:t>Adopt a rule that prohibits the n</w:t>
      </w:r>
      <w:r w:rsidR="002555D3">
        <w:t>et loss of vineyards</w:t>
      </w:r>
      <w:r>
        <w:t xml:space="preserve"> </w:t>
      </w:r>
      <w:r w:rsidR="00726AC6">
        <w:t xml:space="preserve">as a part of new and/or amended </w:t>
      </w:r>
      <w:r>
        <w:t>winery use permits.</w:t>
      </w:r>
    </w:p>
    <w:p w:rsidR="00F41568" w:rsidRDefault="00F41568" w:rsidP="00083FE5"/>
    <w:p w:rsidR="00083FE5" w:rsidRPr="00F473C2" w:rsidRDefault="00083FE5" w:rsidP="00724391">
      <w:pPr>
        <w:ind w:left="360"/>
        <w:rPr>
          <w:b/>
        </w:rPr>
      </w:pPr>
      <w:r w:rsidRPr="00F473C2">
        <w:rPr>
          <w:b/>
        </w:rPr>
        <w:t xml:space="preserve">October </w:t>
      </w:r>
      <w:r w:rsidR="00871005">
        <w:rPr>
          <w:b/>
        </w:rPr>
        <w:t>7, 2015</w:t>
      </w:r>
    </w:p>
    <w:p w:rsidR="00F41568" w:rsidRDefault="00F41568" w:rsidP="00F41568"/>
    <w:p w:rsidR="00F41568" w:rsidRPr="00F473C2" w:rsidRDefault="00F41568" w:rsidP="00F41568">
      <w:pPr>
        <w:rPr>
          <w:u w:val="single"/>
        </w:rPr>
      </w:pPr>
      <w:r>
        <w:tab/>
      </w:r>
      <w:r w:rsidRPr="00F473C2">
        <w:rPr>
          <w:u w:val="single"/>
        </w:rPr>
        <w:t xml:space="preserve">Items that did not receive supermajority support from </w:t>
      </w:r>
      <w:r w:rsidR="002555D3" w:rsidRPr="00F473C2">
        <w:rPr>
          <w:u w:val="single"/>
        </w:rPr>
        <w:t xml:space="preserve">the </w:t>
      </w:r>
      <w:r w:rsidRPr="00F473C2">
        <w:rPr>
          <w:u w:val="single"/>
        </w:rPr>
        <w:t>APAC:</w:t>
      </w:r>
    </w:p>
    <w:p w:rsidR="00F41568" w:rsidRDefault="00726AC6" w:rsidP="00D43254">
      <w:pPr>
        <w:pStyle w:val="ListParagraph"/>
        <w:numPr>
          <w:ilvl w:val="0"/>
          <w:numId w:val="36"/>
        </w:numPr>
      </w:pPr>
      <w:r>
        <w:t xml:space="preserve">Retain the existing 10-acre </w:t>
      </w:r>
      <w:r w:rsidR="00F473C2">
        <w:t xml:space="preserve">minimum parcel size for all new wineries.  </w:t>
      </w:r>
    </w:p>
    <w:p w:rsidR="00F473C2" w:rsidRDefault="00F473C2" w:rsidP="00D43254">
      <w:pPr>
        <w:pStyle w:val="ListParagraph"/>
        <w:numPr>
          <w:ilvl w:val="0"/>
          <w:numId w:val="36"/>
        </w:numPr>
      </w:pPr>
      <w:r>
        <w:t xml:space="preserve">Increase the minimum parcel size for new wineries to 40 acres in both the AP and AW zones. </w:t>
      </w:r>
    </w:p>
    <w:p w:rsidR="00F473C2" w:rsidRDefault="00F473C2" w:rsidP="00D43254">
      <w:pPr>
        <w:pStyle w:val="ListParagraph"/>
        <w:numPr>
          <w:ilvl w:val="0"/>
          <w:numId w:val="36"/>
        </w:numPr>
      </w:pPr>
      <w:r>
        <w:t>Establish a small winery use permit for new facilities on parcels of 10 to 40 acres.</w:t>
      </w:r>
    </w:p>
    <w:p w:rsidR="00F41568" w:rsidRDefault="00726AC6" w:rsidP="00D43254">
      <w:pPr>
        <w:pStyle w:val="ListParagraph"/>
        <w:numPr>
          <w:ilvl w:val="0"/>
          <w:numId w:val="36"/>
        </w:numPr>
      </w:pPr>
      <w:r>
        <w:t>Require a minimum amount of e</w:t>
      </w:r>
      <w:r w:rsidR="00F41568">
        <w:t>state grapes</w:t>
      </w:r>
      <w:r>
        <w:t xml:space="preserve"> for all new and/or amended winery use permits.</w:t>
      </w:r>
    </w:p>
    <w:p w:rsidR="00083FE5" w:rsidRDefault="00083FE5" w:rsidP="00083FE5"/>
    <w:p w:rsidR="00083FE5" w:rsidRPr="00F473C2" w:rsidRDefault="00083FE5" w:rsidP="00724391">
      <w:pPr>
        <w:ind w:left="360"/>
        <w:rPr>
          <w:b/>
        </w:rPr>
      </w:pPr>
      <w:r w:rsidRPr="00F473C2">
        <w:rPr>
          <w:b/>
        </w:rPr>
        <w:t>November 4</w:t>
      </w:r>
      <w:r w:rsidR="00F473C2" w:rsidRPr="00F473C2">
        <w:rPr>
          <w:b/>
        </w:rPr>
        <w:t>, 2015</w:t>
      </w:r>
    </w:p>
    <w:p w:rsidR="00F41568" w:rsidRDefault="00F41568" w:rsidP="00083FE5"/>
    <w:p w:rsidR="00871005" w:rsidRPr="00F473C2" w:rsidRDefault="00083FE5" w:rsidP="00871005">
      <w:pPr>
        <w:rPr>
          <w:u w:val="single"/>
        </w:rPr>
      </w:pPr>
      <w:r>
        <w:tab/>
      </w:r>
      <w:r w:rsidR="00871005" w:rsidRPr="00F473C2">
        <w:rPr>
          <w:u w:val="single"/>
        </w:rPr>
        <w:t>Items that were not specifically considered by the APAC:</w:t>
      </w:r>
    </w:p>
    <w:p w:rsidR="00871005" w:rsidRDefault="00871005" w:rsidP="00871005">
      <w:pPr>
        <w:pStyle w:val="ListParagraph"/>
        <w:numPr>
          <w:ilvl w:val="0"/>
          <w:numId w:val="37"/>
        </w:numPr>
      </w:pPr>
      <w:r>
        <w:t>Should a majority of winery employees be engaged in vineyard and/or production operations?</w:t>
      </w:r>
    </w:p>
    <w:p w:rsidR="00871005" w:rsidRDefault="00871005" w:rsidP="00871005">
      <w:pPr>
        <w:pStyle w:val="ListParagraph"/>
        <w:numPr>
          <w:ilvl w:val="0"/>
          <w:numId w:val="37"/>
        </w:numPr>
      </w:pPr>
      <w:r>
        <w:t>Should temporary events be included as a part of winery use permits?</w:t>
      </w:r>
    </w:p>
    <w:p w:rsidR="00871005" w:rsidRDefault="00871005" w:rsidP="00871005">
      <w:pPr>
        <w:pStyle w:val="ListParagraph"/>
        <w:numPr>
          <w:ilvl w:val="0"/>
          <w:numId w:val="37"/>
        </w:numPr>
      </w:pPr>
      <w:r>
        <w:t>Should there be different development standards for AP and AW zoning?</w:t>
      </w:r>
    </w:p>
    <w:p w:rsidR="00083FE5" w:rsidRDefault="00083FE5" w:rsidP="00083FE5"/>
    <w:p w:rsidR="00083FE5" w:rsidRDefault="00083FE5" w:rsidP="007E5176">
      <w:pPr>
        <w:pStyle w:val="NormalWeb"/>
        <w:spacing w:before="0" w:beforeAutospacing="0" w:after="0" w:afterAutospacing="0"/>
        <w:ind w:left="270" w:right="360"/>
        <w:rPr>
          <w:rFonts w:ascii="Palatino Linotype" w:hAnsi="Palatino Linotype"/>
          <w:sz w:val="22"/>
          <w:szCs w:val="22"/>
        </w:rPr>
      </w:pPr>
    </w:p>
    <w:p w:rsidR="00083FE5" w:rsidRDefault="00083FE5" w:rsidP="007E5176">
      <w:pPr>
        <w:pStyle w:val="NormalWeb"/>
        <w:spacing w:before="0" w:beforeAutospacing="0" w:after="0" w:afterAutospacing="0"/>
        <w:ind w:left="270" w:right="360"/>
        <w:rPr>
          <w:rFonts w:ascii="Palatino Linotype" w:hAnsi="Palatino Linotype"/>
          <w:sz w:val="22"/>
          <w:szCs w:val="22"/>
        </w:rPr>
      </w:pPr>
    </w:p>
    <w:p w:rsidR="00083FE5" w:rsidRDefault="00083FE5" w:rsidP="007E5176">
      <w:pPr>
        <w:pStyle w:val="NormalWeb"/>
        <w:spacing w:before="0" w:beforeAutospacing="0" w:after="0" w:afterAutospacing="0"/>
        <w:ind w:left="270" w:right="360"/>
        <w:rPr>
          <w:rFonts w:ascii="Palatino Linotype" w:hAnsi="Palatino Linotype"/>
          <w:sz w:val="22"/>
          <w:szCs w:val="22"/>
        </w:rPr>
      </w:pPr>
    </w:p>
    <w:sectPr w:rsidR="00083FE5" w:rsidSect="00724391">
      <w:footerReference w:type="default" r:id="rId8"/>
      <w:headerReference w:type="first" r:id="rId9"/>
      <w:pgSz w:w="12240" w:h="15840"/>
      <w:pgMar w:top="1080" w:right="153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BB9" w:rsidRDefault="002A2BB9">
      <w:r>
        <w:separator/>
      </w:r>
    </w:p>
  </w:endnote>
  <w:endnote w:type="continuationSeparator" w:id="0">
    <w:p w:rsidR="002A2BB9" w:rsidRDefault="002A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76269"/>
      <w:docPartObj>
        <w:docPartGallery w:val="Page Numbers (Bottom of Page)"/>
        <w:docPartUnique/>
      </w:docPartObj>
    </w:sdtPr>
    <w:sdtEndPr/>
    <w:sdtContent>
      <w:p w:rsidR="002A2BB9" w:rsidRDefault="002A2BB9">
        <w:pPr>
          <w:pStyle w:val="Footer"/>
          <w:jc w:val="center"/>
        </w:pPr>
        <w:r>
          <w:fldChar w:fldCharType="begin"/>
        </w:r>
        <w:r>
          <w:instrText xml:space="preserve"> PAGE   \* MERGEFORMAT </w:instrText>
        </w:r>
        <w:r>
          <w:fldChar w:fldCharType="separate"/>
        </w:r>
        <w:r w:rsidR="00D257D8">
          <w:rPr>
            <w:noProof/>
          </w:rPr>
          <w:t>2</w:t>
        </w:r>
        <w:r>
          <w:rPr>
            <w:noProof/>
          </w:rPr>
          <w:fldChar w:fldCharType="end"/>
        </w:r>
      </w:p>
    </w:sdtContent>
  </w:sdt>
  <w:p w:rsidR="002A2BB9" w:rsidRDefault="002A2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BB9" w:rsidRDefault="002A2BB9">
      <w:r>
        <w:separator/>
      </w:r>
    </w:p>
  </w:footnote>
  <w:footnote w:type="continuationSeparator" w:id="0">
    <w:p w:rsidR="002A2BB9" w:rsidRDefault="002A2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B9" w:rsidRPr="00FA5BE2" w:rsidRDefault="002A2BB9" w:rsidP="00FA5BE2">
    <w:pPr>
      <w:tabs>
        <w:tab w:val="left" w:pos="7380"/>
      </w:tabs>
      <w:jc w:val="right"/>
      <w:rPr>
        <w:rFonts w:ascii="Arial" w:hAnsi="Arial" w:cs="Arial"/>
        <w:sz w:val="16"/>
        <w:szCs w:val="16"/>
      </w:rPr>
    </w:pPr>
    <w:r>
      <w:rPr>
        <w:rFonts w:ascii="Arial" w:hAnsi="Arial" w:cs="Arial"/>
        <w:b/>
        <w:noProof/>
        <w:sz w:val="16"/>
        <w:szCs w:val="16"/>
      </w:rPr>
      <w:drawing>
        <wp:anchor distT="0" distB="0" distL="114300" distR="114300" simplePos="0" relativeHeight="251657728" behindDoc="0" locked="0" layoutInCell="1" allowOverlap="0" wp14:anchorId="3DF04253" wp14:editId="452D4CFC">
          <wp:simplePos x="0" y="0"/>
          <wp:positionH relativeFrom="column">
            <wp:align>left</wp:align>
          </wp:positionH>
          <wp:positionV relativeFrom="paragraph">
            <wp:posOffset>-8890</wp:posOffset>
          </wp:positionV>
          <wp:extent cx="1038225" cy="1362075"/>
          <wp:effectExtent l="19050" t="0" r="9525" b="0"/>
          <wp:wrapSquare wrapText="bothSides"/>
          <wp:docPr id="5" name="Picture 5" descr="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3"/>
                  <pic:cNvPicPr>
                    <a:picLocks noChangeAspect="1" noChangeArrowheads="1"/>
                  </pic:cNvPicPr>
                </pic:nvPicPr>
                <pic:blipFill>
                  <a:blip r:embed="rId1"/>
                  <a:srcRect/>
                  <a:stretch>
                    <a:fillRect/>
                  </a:stretch>
                </pic:blipFill>
                <pic:spPr bwMode="auto">
                  <a:xfrm>
                    <a:off x="0" y="0"/>
                    <a:ext cx="1038225" cy="1362075"/>
                  </a:xfrm>
                  <a:prstGeom prst="rect">
                    <a:avLst/>
                  </a:prstGeom>
                  <a:noFill/>
                  <a:ln w="9525">
                    <a:noFill/>
                    <a:miter lim="800000"/>
                    <a:headEnd/>
                    <a:tailEnd/>
                  </a:ln>
                </pic:spPr>
              </pic:pic>
            </a:graphicData>
          </a:graphic>
        </wp:anchor>
      </w:drawing>
    </w:r>
    <w:r>
      <w:rPr>
        <w:rFonts w:ascii="Arial" w:hAnsi="Arial" w:cs="Arial"/>
        <w:b/>
        <w:sz w:val="16"/>
        <w:szCs w:val="16"/>
      </w:rPr>
      <w:t xml:space="preserve"> Planning, Building and Environmental Services</w:t>
    </w:r>
    <w:r w:rsidRPr="00D348D6">
      <w:rPr>
        <w:rFonts w:ascii="Arial" w:hAnsi="Arial" w:cs="Arial"/>
        <w:b/>
        <w:sz w:val="16"/>
        <w:szCs w:val="16"/>
      </w:rPr>
      <w:br/>
    </w:r>
  </w:p>
  <w:p w:rsidR="002A2BB9" w:rsidRPr="00D348D6" w:rsidRDefault="002A2BB9" w:rsidP="00497909">
    <w:pPr>
      <w:jc w:val="right"/>
      <w:rPr>
        <w:rFonts w:ascii="Arial" w:hAnsi="Arial" w:cs="Arial"/>
        <w:sz w:val="16"/>
        <w:szCs w:val="16"/>
      </w:rPr>
    </w:pPr>
    <w:r>
      <w:rPr>
        <w:rFonts w:ascii="Arial" w:hAnsi="Arial" w:cs="Arial"/>
        <w:sz w:val="16"/>
        <w:szCs w:val="16"/>
      </w:rPr>
      <w:t>1195 Third Street, Suite 210</w:t>
    </w:r>
  </w:p>
  <w:p w:rsidR="002A2BB9" w:rsidRPr="00D348D6" w:rsidRDefault="002A2BB9" w:rsidP="00497909">
    <w:pPr>
      <w:tabs>
        <w:tab w:val="left" w:pos="4148"/>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t>Napa, CA  94559</w:t>
    </w:r>
    <w:r w:rsidRPr="00D348D6">
      <w:rPr>
        <w:rFonts w:ascii="Arial" w:hAnsi="Arial" w:cs="Arial"/>
        <w:sz w:val="16"/>
        <w:szCs w:val="16"/>
      </w:rPr>
      <w:t xml:space="preserve"> </w:t>
    </w:r>
  </w:p>
  <w:p w:rsidR="002A2BB9" w:rsidRPr="00D348D6" w:rsidRDefault="002A2BB9" w:rsidP="00497909">
    <w:pPr>
      <w:jc w:val="right"/>
      <w:rPr>
        <w:rFonts w:ascii="Arial" w:hAnsi="Arial" w:cs="Arial"/>
        <w:sz w:val="16"/>
        <w:szCs w:val="16"/>
      </w:rPr>
    </w:pPr>
    <w:r>
      <w:rPr>
        <w:rFonts w:ascii="Arial" w:hAnsi="Arial" w:cs="Arial"/>
        <w:sz w:val="16"/>
        <w:szCs w:val="16"/>
      </w:rPr>
      <w:t>www.co.napa.ca.us</w:t>
    </w:r>
  </w:p>
  <w:p w:rsidR="002A2BB9" w:rsidRPr="00D348D6" w:rsidRDefault="002A2BB9" w:rsidP="00497909">
    <w:pPr>
      <w:jc w:val="right"/>
      <w:rPr>
        <w:rFonts w:ascii="Arial" w:hAnsi="Arial" w:cs="Arial"/>
        <w:sz w:val="16"/>
        <w:szCs w:val="16"/>
      </w:rPr>
    </w:pPr>
  </w:p>
  <w:p w:rsidR="002A2BB9" w:rsidRPr="00D348D6" w:rsidRDefault="002A2BB9" w:rsidP="00497909">
    <w:pPr>
      <w:jc w:val="right"/>
      <w:rPr>
        <w:rFonts w:ascii="Arial" w:hAnsi="Arial" w:cs="Arial"/>
        <w:sz w:val="16"/>
        <w:szCs w:val="16"/>
      </w:rPr>
    </w:pPr>
    <w:r w:rsidRPr="00D348D6">
      <w:rPr>
        <w:rFonts w:ascii="Arial" w:hAnsi="Arial" w:cs="Arial"/>
        <w:sz w:val="16"/>
        <w:szCs w:val="16"/>
      </w:rPr>
      <w:t>Main:</w:t>
    </w:r>
    <w:r>
      <w:rPr>
        <w:rFonts w:ascii="Arial" w:hAnsi="Arial" w:cs="Arial"/>
        <w:sz w:val="16"/>
        <w:szCs w:val="16"/>
      </w:rPr>
      <w:t xml:space="preserve"> (707)</w:t>
    </w:r>
    <w:r w:rsidRPr="00D348D6">
      <w:rPr>
        <w:rFonts w:ascii="Arial" w:hAnsi="Arial" w:cs="Arial"/>
        <w:sz w:val="16"/>
        <w:szCs w:val="16"/>
      </w:rPr>
      <w:t xml:space="preserve"> </w:t>
    </w:r>
    <w:r>
      <w:rPr>
        <w:rFonts w:ascii="Arial" w:hAnsi="Arial" w:cs="Arial"/>
        <w:sz w:val="16"/>
        <w:szCs w:val="16"/>
      </w:rPr>
      <w:t>253-4417</w:t>
    </w:r>
  </w:p>
  <w:p w:rsidR="002A2BB9" w:rsidRPr="00D348D6" w:rsidRDefault="002A2BB9" w:rsidP="00497909">
    <w:pPr>
      <w:jc w:val="right"/>
      <w:rPr>
        <w:rFonts w:ascii="Arial" w:hAnsi="Arial" w:cs="Arial"/>
        <w:sz w:val="16"/>
        <w:szCs w:val="16"/>
      </w:rPr>
    </w:pPr>
    <w:r w:rsidRPr="00D348D6">
      <w:rPr>
        <w:rFonts w:ascii="Arial" w:hAnsi="Arial" w:cs="Arial"/>
        <w:sz w:val="16"/>
        <w:szCs w:val="16"/>
      </w:rPr>
      <w:t xml:space="preserve">Fax: (707) </w:t>
    </w:r>
    <w:r>
      <w:rPr>
        <w:rFonts w:ascii="Arial" w:hAnsi="Arial" w:cs="Arial"/>
        <w:sz w:val="16"/>
        <w:szCs w:val="16"/>
      </w:rPr>
      <w:t>253-4336</w:t>
    </w:r>
  </w:p>
  <w:p w:rsidR="002A2BB9" w:rsidRPr="00D348D6" w:rsidRDefault="002A2BB9" w:rsidP="00497909">
    <w:pPr>
      <w:jc w:val="right"/>
      <w:rPr>
        <w:rFonts w:ascii="Arial" w:hAnsi="Arial" w:cs="Arial"/>
        <w:b/>
        <w:sz w:val="16"/>
        <w:szCs w:val="16"/>
      </w:rPr>
    </w:pPr>
    <w:r w:rsidRPr="00D348D6">
      <w:rPr>
        <w:rFonts w:ascii="Arial" w:hAnsi="Arial" w:cs="Arial"/>
        <w:sz w:val="16"/>
        <w:szCs w:val="16"/>
      </w:rPr>
      <w:br/>
    </w:r>
    <w:r>
      <w:rPr>
        <w:rFonts w:ascii="Arial" w:hAnsi="Arial" w:cs="Arial"/>
        <w:b/>
        <w:sz w:val="16"/>
        <w:szCs w:val="16"/>
      </w:rPr>
      <w:t>David Morrison</w:t>
    </w:r>
  </w:p>
  <w:p w:rsidR="002A2BB9" w:rsidRPr="00D348D6" w:rsidRDefault="002A2BB9" w:rsidP="00497909">
    <w:pPr>
      <w:jc w:val="right"/>
      <w:rPr>
        <w:rFonts w:ascii="Arial" w:hAnsi="Arial" w:cs="Arial"/>
        <w:sz w:val="16"/>
        <w:szCs w:val="16"/>
      </w:rPr>
    </w:pPr>
    <w:r>
      <w:rPr>
        <w:rFonts w:ascii="Arial" w:hAnsi="Arial" w:cs="Arial"/>
        <w:sz w:val="16"/>
        <w:szCs w:val="16"/>
      </w:rPr>
      <w:t>Director</w:t>
    </w:r>
  </w:p>
  <w:p w:rsidR="002A2BB9" w:rsidRDefault="002A2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6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8391E9C"/>
    <w:multiLevelType w:val="hybridMultilevel"/>
    <w:tmpl w:val="F6ACEB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EC7F11"/>
    <w:multiLevelType w:val="hybridMultilevel"/>
    <w:tmpl w:val="4F5A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D4815"/>
    <w:multiLevelType w:val="hybridMultilevel"/>
    <w:tmpl w:val="16AE85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FF193D"/>
    <w:multiLevelType w:val="hybridMultilevel"/>
    <w:tmpl w:val="C032DCD0"/>
    <w:lvl w:ilvl="0" w:tplc="6FFC87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40673"/>
    <w:multiLevelType w:val="hybridMultilevel"/>
    <w:tmpl w:val="307ED3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506B04"/>
    <w:multiLevelType w:val="hybridMultilevel"/>
    <w:tmpl w:val="79FC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F92F71"/>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239F32DB"/>
    <w:multiLevelType w:val="hybridMultilevel"/>
    <w:tmpl w:val="1E2A7AE8"/>
    <w:lvl w:ilvl="0" w:tplc="C99847A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B040D2"/>
    <w:multiLevelType w:val="hybridMultilevel"/>
    <w:tmpl w:val="0CDEE5B4"/>
    <w:lvl w:ilvl="0" w:tplc="6FFC87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E48A5"/>
    <w:multiLevelType w:val="hybridMultilevel"/>
    <w:tmpl w:val="7168035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6846F0"/>
    <w:multiLevelType w:val="hybridMultilevel"/>
    <w:tmpl w:val="4F5A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80897"/>
    <w:multiLevelType w:val="multilevel"/>
    <w:tmpl w:val="DA4412D6"/>
    <w:lvl w:ilvl="0">
      <w:start w:val="6"/>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363A1811"/>
    <w:multiLevelType w:val="hybridMultilevel"/>
    <w:tmpl w:val="BA585BBC"/>
    <w:lvl w:ilvl="0" w:tplc="57221AB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AA870A2"/>
    <w:multiLevelType w:val="hybridMultilevel"/>
    <w:tmpl w:val="6A7E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E6B64"/>
    <w:multiLevelType w:val="hybridMultilevel"/>
    <w:tmpl w:val="729AE4F6"/>
    <w:lvl w:ilvl="0" w:tplc="C742C55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A727B5"/>
    <w:multiLevelType w:val="hybridMultilevel"/>
    <w:tmpl w:val="E1181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88E9CE4">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E14160"/>
    <w:multiLevelType w:val="hybridMultilevel"/>
    <w:tmpl w:val="A8F67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EA86578"/>
    <w:multiLevelType w:val="hybridMultilevel"/>
    <w:tmpl w:val="E8B0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4C4AF6"/>
    <w:multiLevelType w:val="hybridMultilevel"/>
    <w:tmpl w:val="DCD0C236"/>
    <w:lvl w:ilvl="0" w:tplc="E3C0F6E2">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0022E8"/>
    <w:multiLevelType w:val="hybridMultilevel"/>
    <w:tmpl w:val="179ADAF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F122FB"/>
    <w:multiLevelType w:val="hybridMultilevel"/>
    <w:tmpl w:val="53486218"/>
    <w:lvl w:ilvl="0" w:tplc="542804B8">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D0C034E"/>
    <w:multiLevelType w:val="hybridMultilevel"/>
    <w:tmpl w:val="008C4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17207D"/>
    <w:multiLevelType w:val="hybridMultilevel"/>
    <w:tmpl w:val="11E268E8"/>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24">
    <w:nsid w:val="511736E5"/>
    <w:multiLevelType w:val="hybridMultilevel"/>
    <w:tmpl w:val="EDB4A4A8"/>
    <w:lvl w:ilvl="0" w:tplc="04404E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F62846"/>
    <w:multiLevelType w:val="hybridMultilevel"/>
    <w:tmpl w:val="913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9C4D12"/>
    <w:multiLevelType w:val="hybridMultilevel"/>
    <w:tmpl w:val="C19C033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CC0634"/>
    <w:multiLevelType w:val="hybridMultilevel"/>
    <w:tmpl w:val="DA4412D6"/>
    <w:lvl w:ilvl="0" w:tplc="FFFFFFFF">
      <w:start w:val="6"/>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5A6357FC"/>
    <w:multiLevelType w:val="hybridMultilevel"/>
    <w:tmpl w:val="4BC8A7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B246F6"/>
    <w:multiLevelType w:val="singleLevel"/>
    <w:tmpl w:val="4732A386"/>
    <w:lvl w:ilvl="0">
      <w:start w:val="3"/>
      <w:numFmt w:val="decimal"/>
      <w:lvlText w:val="%1"/>
      <w:lvlJc w:val="left"/>
      <w:pPr>
        <w:tabs>
          <w:tab w:val="num" w:pos="1455"/>
        </w:tabs>
        <w:ind w:left="1455" w:hanging="735"/>
      </w:pPr>
      <w:rPr>
        <w:rFonts w:hint="default"/>
      </w:rPr>
    </w:lvl>
  </w:abstractNum>
  <w:abstractNum w:abstractNumId="30">
    <w:nsid w:val="617B09DD"/>
    <w:multiLevelType w:val="hybridMultilevel"/>
    <w:tmpl w:val="82F6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D803DF"/>
    <w:multiLevelType w:val="hybridMultilevel"/>
    <w:tmpl w:val="85C40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392809"/>
    <w:multiLevelType w:val="hybridMultilevel"/>
    <w:tmpl w:val="179ADAF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BF0CA6"/>
    <w:multiLevelType w:val="hybridMultilevel"/>
    <w:tmpl w:val="BC04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BE4985"/>
    <w:multiLevelType w:val="hybridMultilevel"/>
    <w:tmpl w:val="65DE6380"/>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5">
    <w:nsid w:val="730439DF"/>
    <w:multiLevelType w:val="hybridMultilevel"/>
    <w:tmpl w:val="D51E9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463ABF"/>
    <w:multiLevelType w:val="hybridMultilevel"/>
    <w:tmpl w:val="5E82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C55C1E"/>
    <w:multiLevelType w:val="hybridMultilevel"/>
    <w:tmpl w:val="DF52E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433D3D"/>
    <w:multiLevelType w:val="hybridMultilevel"/>
    <w:tmpl w:val="2D86B6B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D1B3E6B"/>
    <w:multiLevelType w:val="hybridMultilevel"/>
    <w:tmpl w:val="19146F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0"/>
  </w:num>
  <w:num w:numId="4">
    <w:abstractNumId w:val="27"/>
  </w:num>
  <w:num w:numId="5">
    <w:abstractNumId w:val="29"/>
  </w:num>
  <w:num w:numId="6">
    <w:abstractNumId w:val="21"/>
  </w:num>
  <w:num w:numId="7">
    <w:abstractNumId w:val="19"/>
  </w:num>
  <w:num w:numId="8">
    <w:abstractNumId w:val="13"/>
  </w:num>
  <w:num w:numId="9">
    <w:abstractNumId w:val="12"/>
  </w:num>
  <w:num w:numId="10">
    <w:abstractNumId w:val="15"/>
  </w:num>
  <w:num w:numId="11">
    <w:abstractNumId w:val="24"/>
  </w:num>
  <w:num w:numId="12">
    <w:abstractNumId w:val="8"/>
  </w:num>
  <w:num w:numId="13">
    <w:abstractNumId w:val="23"/>
  </w:num>
  <w:num w:numId="14">
    <w:abstractNumId w:val="25"/>
  </w:num>
  <w:num w:numId="15">
    <w:abstractNumId w:val="9"/>
  </w:num>
  <w:num w:numId="16">
    <w:abstractNumId w:val="4"/>
  </w:num>
  <w:num w:numId="17">
    <w:abstractNumId w:val="30"/>
  </w:num>
  <w:num w:numId="18">
    <w:abstractNumId w:val="2"/>
  </w:num>
  <w:num w:numId="19">
    <w:abstractNumId w:val="36"/>
  </w:num>
  <w:num w:numId="20">
    <w:abstractNumId w:val="11"/>
  </w:num>
  <w:num w:numId="21">
    <w:abstractNumId w:val="34"/>
  </w:num>
  <w:num w:numId="22">
    <w:abstractNumId w:val="6"/>
  </w:num>
  <w:num w:numId="23">
    <w:abstractNumId w:val="18"/>
  </w:num>
  <w:num w:numId="24">
    <w:abstractNumId w:val="33"/>
  </w:num>
  <w:num w:numId="25">
    <w:abstractNumId w:val="39"/>
  </w:num>
  <w:num w:numId="26">
    <w:abstractNumId w:val="37"/>
  </w:num>
  <w:num w:numId="27">
    <w:abstractNumId w:val="31"/>
  </w:num>
  <w:num w:numId="28">
    <w:abstractNumId w:val="28"/>
  </w:num>
  <w:num w:numId="29">
    <w:abstractNumId w:val="22"/>
  </w:num>
  <w:num w:numId="30">
    <w:abstractNumId w:val="1"/>
  </w:num>
  <w:num w:numId="31">
    <w:abstractNumId w:val="3"/>
  </w:num>
  <w:num w:numId="32">
    <w:abstractNumId w:val="35"/>
  </w:num>
  <w:num w:numId="33">
    <w:abstractNumId w:val="14"/>
  </w:num>
  <w:num w:numId="34">
    <w:abstractNumId w:val="38"/>
  </w:num>
  <w:num w:numId="35">
    <w:abstractNumId w:val="32"/>
  </w:num>
  <w:num w:numId="36">
    <w:abstractNumId w:val="26"/>
  </w:num>
  <w:num w:numId="37">
    <w:abstractNumId w:val="10"/>
  </w:num>
  <w:num w:numId="38">
    <w:abstractNumId w:val="17"/>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2F"/>
    <w:rsid w:val="00001C29"/>
    <w:rsid w:val="00002D3F"/>
    <w:rsid w:val="000132FC"/>
    <w:rsid w:val="000142AD"/>
    <w:rsid w:val="00015FA1"/>
    <w:rsid w:val="00021A82"/>
    <w:rsid w:val="00021E2E"/>
    <w:rsid w:val="000226A2"/>
    <w:rsid w:val="00022EB0"/>
    <w:rsid w:val="00023677"/>
    <w:rsid w:val="00024267"/>
    <w:rsid w:val="00025F22"/>
    <w:rsid w:val="000349D9"/>
    <w:rsid w:val="0004472E"/>
    <w:rsid w:val="00046887"/>
    <w:rsid w:val="00050CDE"/>
    <w:rsid w:val="00050EA8"/>
    <w:rsid w:val="000517F7"/>
    <w:rsid w:val="000527F3"/>
    <w:rsid w:val="000572C4"/>
    <w:rsid w:val="00060806"/>
    <w:rsid w:val="00061178"/>
    <w:rsid w:val="00061BC7"/>
    <w:rsid w:val="000628B2"/>
    <w:rsid w:val="0007222E"/>
    <w:rsid w:val="00074356"/>
    <w:rsid w:val="000745A5"/>
    <w:rsid w:val="000760BB"/>
    <w:rsid w:val="00083957"/>
    <w:rsid w:val="00083FE5"/>
    <w:rsid w:val="00086822"/>
    <w:rsid w:val="0009145C"/>
    <w:rsid w:val="00091C56"/>
    <w:rsid w:val="00094832"/>
    <w:rsid w:val="000A013A"/>
    <w:rsid w:val="000A0521"/>
    <w:rsid w:val="000A1952"/>
    <w:rsid w:val="000A4E6A"/>
    <w:rsid w:val="000A5092"/>
    <w:rsid w:val="000A5AA0"/>
    <w:rsid w:val="000C5A98"/>
    <w:rsid w:val="000D1FD6"/>
    <w:rsid w:val="000D37DF"/>
    <w:rsid w:val="000D56FD"/>
    <w:rsid w:val="000F0B05"/>
    <w:rsid w:val="000F40C8"/>
    <w:rsid w:val="00100525"/>
    <w:rsid w:val="00103AC1"/>
    <w:rsid w:val="00114BAC"/>
    <w:rsid w:val="00120125"/>
    <w:rsid w:val="0012254D"/>
    <w:rsid w:val="0012297D"/>
    <w:rsid w:val="001243D1"/>
    <w:rsid w:val="00131BF5"/>
    <w:rsid w:val="00131E40"/>
    <w:rsid w:val="00132730"/>
    <w:rsid w:val="00144481"/>
    <w:rsid w:val="001642E2"/>
    <w:rsid w:val="0016733B"/>
    <w:rsid w:val="0017080B"/>
    <w:rsid w:val="00170AC0"/>
    <w:rsid w:val="00172D3F"/>
    <w:rsid w:val="00175ACA"/>
    <w:rsid w:val="0017685D"/>
    <w:rsid w:val="0017775C"/>
    <w:rsid w:val="001812F9"/>
    <w:rsid w:val="00183E23"/>
    <w:rsid w:val="00184819"/>
    <w:rsid w:val="00185F72"/>
    <w:rsid w:val="001878C8"/>
    <w:rsid w:val="00187F30"/>
    <w:rsid w:val="00190590"/>
    <w:rsid w:val="001916AF"/>
    <w:rsid w:val="001928DE"/>
    <w:rsid w:val="001930EE"/>
    <w:rsid w:val="001949C2"/>
    <w:rsid w:val="001B2177"/>
    <w:rsid w:val="001B3645"/>
    <w:rsid w:val="001D2174"/>
    <w:rsid w:val="001D3047"/>
    <w:rsid w:val="001D3238"/>
    <w:rsid w:val="001D341B"/>
    <w:rsid w:val="001E08EF"/>
    <w:rsid w:val="001E6641"/>
    <w:rsid w:val="001F3C11"/>
    <w:rsid w:val="001F76B6"/>
    <w:rsid w:val="002002B0"/>
    <w:rsid w:val="00204518"/>
    <w:rsid w:val="0020590F"/>
    <w:rsid w:val="00210822"/>
    <w:rsid w:val="00213D9A"/>
    <w:rsid w:val="0021421E"/>
    <w:rsid w:val="00221AEB"/>
    <w:rsid w:val="00222E34"/>
    <w:rsid w:val="002272F4"/>
    <w:rsid w:val="00230D35"/>
    <w:rsid w:val="00231427"/>
    <w:rsid w:val="002336DC"/>
    <w:rsid w:val="00233BE0"/>
    <w:rsid w:val="0023444D"/>
    <w:rsid w:val="00235DE9"/>
    <w:rsid w:val="00240F34"/>
    <w:rsid w:val="00245714"/>
    <w:rsid w:val="00245B09"/>
    <w:rsid w:val="00250043"/>
    <w:rsid w:val="002503A4"/>
    <w:rsid w:val="002555D3"/>
    <w:rsid w:val="00255841"/>
    <w:rsid w:val="00256C6D"/>
    <w:rsid w:val="002579A0"/>
    <w:rsid w:val="0026134A"/>
    <w:rsid w:val="00266A25"/>
    <w:rsid w:val="002723FC"/>
    <w:rsid w:val="002730A7"/>
    <w:rsid w:val="002809ED"/>
    <w:rsid w:val="00285799"/>
    <w:rsid w:val="00285835"/>
    <w:rsid w:val="00293736"/>
    <w:rsid w:val="00295A91"/>
    <w:rsid w:val="002A0FE5"/>
    <w:rsid w:val="002A2BB9"/>
    <w:rsid w:val="002A4360"/>
    <w:rsid w:val="002A53BC"/>
    <w:rsid w:val="002B2300"/>
    <w:rsid w:val="002B29ED"/>
    <w:rsid w:val="002B4EDC"/>
    <w:rsid w:val="002C0328"/>
    <w:rsid w:val="002C2B00"/>
    <w:rsid w:val="002C5A20"/>
    <w:rsid w:val="002C5FEA"/>
    <w:rsid w:val="002D2548"/>
    <w:rsid w:val="002D2829"/>
    <w:rsid w:val="002D4D8E"/>
    <w:rsid w:val="002D7A8C"/>
    <w:rsid w:val="002E17D2"/>
    <w:rsid w:val="002E5D93"/>
    <w:rsid w:val="002E6058"/>
    <w:rsid w:val="002F3BA5"/>
    <w:rsid w:val="002F4145"/>
    <w:rsid w:val="002F5243"/>
    <w:rsid w:val="00306764"/>
    <w:rsid w:val="00307EB5"/>
    <w:rsid w:val="003104D3"/>
    <w:rsid w:val="0031115B"/>
    <w:rsid w:val="003137C8"/>
    <w:rsid w:val="003140CD"/>
    <w:rsid w:val="00315A89"/>
    <w:rsid w:val="00322119"/>
    <w:rsid w:val="00322192"/>
    <w:rsid w:val="003268D7"/>
    <w:rsid w:val="00333CC3"/>
    <w:rsid w:val="00334ECD"/>
    <w:rsid w:val="00341D16"/>
    <w:rsid w:val="00341E69"/>
    <w:rsid w:val="00344883"/>
    <w:rsid w:val="00344ECE"/>
    <w:rsid w:val="003467F5"/>
    <w:rsid w:val="00350B78"/>
    <w:rsid w:val="00355346"/>
    <w:rsid w:val="00355BB0"/>
    <w:rsid w:val="0035602F"/>
    <w:rsid w:val="00356697"/>
    <w:rsid w:val="00357AEB"/>
    <w:rsid w:val="003603D9"/>
    <w:rsid w:val="00367533"/>
    <w:rsid w:val="003758EE"/>
    <w:rsid w:val="0037700C"/>
    <w:rsid w:val="00390B0F"/>
    <w:rsid w:val="0039346B"/>
    <w:rsid w:val="003A00CF"/>
    <w:rsid w:val="003A178B"/>
    <w:rsid w:val="003A3742"/>
    <w:rsid w:val="003A5A85"/>
    <w:rsid w:val="003B3A7E"/>
    <w:rsid w:val="003B49C3"/>
    <w:rsid w:val="003C575E"/>
    <w:rsid w:val="003C586A"/>
    <w:rsid w:val="003C64A9"/>
    <w:rsid w:val="003D0B6A"/>
    <w:rsid w:val="003D4739"/>
    <w:rsid w:val="003E266C"/>
    <w:rsid w:val="003E42BF"/>
    <w:rsid w:val="003E73E0"/>
    <w:rsid w:val="003F6948"/>
    <w:rsid w:val="003F7521"/>
    <w:rsid w:val="003F792B"/>
    <w:rsid w:val="003F7E52"/>
    <w:rsid w:val="00405453"/>
    <w:rsid w:val="004174B0"/>
    <w:rsid w:val="00420535"/>
    <w:rsid w:val="004236C8"/>
    <w:rsid w:val="00426047"/>
    <w:rsid w:val="00432BE8"/>
    <w:rsid w:val="00434863"/>
    <w:rsid w:val="004379E2"/>
    <w:rsid w:val="004429EC"/>
    <w:rsid w:val="004442F2"/>
    <w:rsid w:val="00450394"/>
    <w:rsid w:val="00452F84"/>
    <w:rsid w:val="00453A49"/>
    <w:rsid w:val="00463011"/>
    <w:rsid w:val="00471DC0"/>
    <w:rsid w:val="00472499"/>
    <w:rsid w:val="0047352A"/>
    <w:rsid w:val="0047728B"/>
    <w:rsid w:val="00480117"/>
    <w:rsid w:val="00490C7A"/>
    <w:rsid w:val="004919E0"/>
    <w:rsid w:val="00497909"/>
    <w:rsid w:val="004A03B6"/>
    <w:rsid w:val="004A3612"/>
    <w:rsid w:val="004A4EC1"/>
    <w:rsid w:val="004A7152"/>
    <w:rsid w:val="004B0138"/>
    <w:rsid w:val="004B0AFA"/>
    <w:rsid w:val="004B1FAA"/>
    <w:rsid w:val="004B4071"/>
    <w:rsid w:val="004C00C5"/>
    <w:rsid w:val="004D5225"/>
    <w:rsid w:val="004D53F2"/>
    <w:rsid w:val="004D7F13"/>
    <w:rsid w:val="004E2047"/>
    <w:rsid w:val="004E503E"/>
    <w:rsid w:val="004F4961"/>
    <w:rsid w:val="004F53DE"/>
    <w:rsid w:val="0050310C"/>
    <w:rsid w:val="005067C9"/>
    <w:rsid w:val="005157E5"/>
    <w:rsid w:val="00517512"/>
    <w:rsid w:val="00523CBB"/>
    <w:rsid w:val="00543722"/>
    <w:rsid w:val="00545411"/>
    <w:rsid w:val="00546BBA"/>
    <w:rsid w:val="00553EE4"/>
    <w:rsid w:val="0055627B"/>
    <w:rsid w:val="005604D2"/>
    <w:rsid w:val="00560621"/>
    <w:rsid w:val="00560796"/>
    <w:rsid w:val="005818E1"/>
    <w:rsid w:val="00587041"/>
    <w:rsid w:val="00587AAA"/>
    <w:rsid w:val="00590FB7"/>
    <w:rsid w:val="005A1132"/>
    <w:rsid w:val="005A16F4"/>
    <w:rsid w:val="005A2594"/>
    <w:rsid w:val="005A518A"/>
    <w:rsid w:val="005C5D9F"/>
    <w:rsid w:val="005C6D02"/>
    <w:rsid w:val="005D07EC"/>
    <w:rsid w:val="005E1030"/>
    <w:rsid w:val="005E4B8B"/>
    <w:rsid w:val="005F0384"/>
    <w:rsid w:val="005F054B"/>
    <w:rsid w:val="005F10E7"/>
    <w:rsid w:val="005F122F"/>
    <w:rsid w:val="005F2DB8"/>
    <w:rsid w:val="005F7929"/>
    <w:rsid w:val="005F7DB9"/>
    <w:rsid w:val="00605DA9"/>
    <w:rsid w:val="00606A99"/>
    <w:rsid w:val="006079F7"/>
    <w:rsid w:val="006113FA"/>
    <w:rsid w:val="006143F2"/>
    <w:rsid w:val="006174D8"/>
    <w:rsid w:val="00617EFC"/>
    <w:rsid w:val="00620734"/>
    <w:rsid w:val="00621327"/>
    <w:rsid w:val="00623F17"/>
    <w:rsid w:val="00627374"/>
    <w:rsid w:val="00630893"/>
    <w:rsid w:val="00631FC0"/>
    <w:rsid w:val="006337F7"/>
    <w:rsid w:val="00637224"/>
    <w:rsid w:val="0064231C"/>
    <w:rsid w:val="00642EFF"/>
    <w:rsid w:val="00646BEF"/>
    <w:rsid w:val="00650B7E"/>
    <w:rsid w:val="00651622"/>
    <w:rsid w:val="00651E75"/>
    <w:rsid w:val="00654823"/>
    <w:rsid w:val="006558A9"/>
    <w:rsid w:val="00655F81"/>
    <w:rsid w:val="0065771A"/>
    <w:rsid w:val="006625F4"/>
    <w:rsid w:val="006628F5"/>
    <w:rsid w:val="00662CF8"/>
    <w:rsid w:val="00670BE7"/>
    <w:rsid w:val="0067619F"/>
    <w:rsid w:val="006769D4"/>
    <w:rsid w:val="00677CE5"/>
    <w:rsid w:val="00680ABF"/>
    <w:rsid w:val="006908AA"/>
    <w:rsid w:val="00692992"/>
    <w:rsid w:val="006A07B7"/>
    <w:rsid w:val="006B025A"/>
    <w:rsid w:val="006B02C4"/>
    <w:rsid w:val="006B1CDB"/>
    <w:rsid w:val="006B73A6"/>
    <w:rsid w:val="006C08FC"/>
    <w:rsid w:val="006C24EA"/>
    <w:rsid w:val="006D4A8D"/>
    <w:rsid w:val="006F001F"/>
    <w:rsid w:val="006F0A57"/>
    <w:rsid w:val="006F2877"/>
    <w:rsid w:val="006F39B4"/>
    <w:rsid w:val="006F7F96"/>
    <w:rsid w:val="007069B8"/>
    <w:rsid w:val="007074C2"/>
    <w:rsid w:val="00707C27"/>
    <w:rsid w:val="00712DE9"/>
    <w:rsid w:val="007147BB"/>
    <w:rsid w:val="00714BC8"/>
    <w:rsid w:val="007153A4"/>
    <w:rsid w:val="0071797D"/>
    <w:rsid w:val="007225AC"/>
    <w:rsid w:val="00723CA4"/>
    <w:rsid w:val="00724391"/>
    <w:rsid w:val="00726AC6"/>
    <w:rsid w:val="0073315A"/>
    <w:rsid w:val="0073496F"/>
    <w:rsid w:val="0074288B"/>
    <w:rsid w:val="00742CA6"/>
    <w:rsid w:val="00745D53"/>
    <w:rsid w:val="00747984"/>
    <w:rsid w:val="007521F1"/>
    <w:rsid w:val="00753002"/>
    <w:rsid w:val="0075671D"/>
    <w:rsid w:val="00763C78"/>
    <w:rsid w:val="00765998"/>
    <w:rsid w:val="00766008"/>
    <w:rsid w:val="0076613B"/>
    <w:rsid w:val="00770E8D"/>
    <w:rsid w:val="00777D1B"/>
    <w:rsid w:val="0078053B"/>
    <w:rsid w:val="007851C8"/>
    <w:rsid w:val="00785211"/>
    <w:rsid w:val="007932D8"/>
    <w:rsid w:val="007937A0"/>
    <w:rsid w:val="00796D10"/>
    <w:rsid w:val="007A1C8F"/>
    <w:rsid w:val="007A3862"/>
    <w:rsid w:val="007A6B50"/>
    <w:rsid w:val="007A7254"/>
    <w:rsid w:val="007B0423"/>
    <w:rsid w:val="007B18B2"/>
    <w:rsid w:val="007B31FE"/>
    <w:rsid w:val="007B3D7B"/>
    <w:rsid w:val="007B5B1A"/>
    <w:rsid w:val="007B65AC"/>
    <w:rsid w:val="007C5B72"/>
    <w:rsid w:val="007C6B53"/>
    <w:rsid w:val="007C731D"/>
    <w:rsid w:val="007D2025"/>
    <w:rsid w:val="007D6B5F"/>
    <w:rsid w:val="007E5176"/>
    <w:rsid w:val="007F1563"/>
    <w:rsid w:val="007F1DB3"/>
    <w:rsid w:val="00801F7D"/>
    <w:rsid w:val="00806083"/>
    <w:rsid w:val="008121BD"/>
    <w:rsid w:val="00812663"/>
    <w:rsid w:val="00813CA8"/>
    <w:rsid w:val="008151ED"/>
    <w:rsid w:val="00827FFB"/>
    <w:rsid w:val="0083356B"/>
    <w:rsid w:val="00837BE6"/>
    <w:rsid w:val="00840C92"/>
    <w:rsid w:val="008435C2"/>
    <w:rsid w:val="008458D0"/>
    <w:rsid w:val="00853B55"/>
    <w:rsid w:val="00860901"/>
    <w:rsid w:val="00860E2F"/>
    <w:rsid w:val="008679F9"/>
    <w:rsid w:val="00871005"/>
    <w:rsid w:val="00874413"/>
    <w:rsid w:val="00876052"/>
    <w:rsid w:val="008775DA"/>
    <w:rsid w:val="00880184"/>
    <w:rsid w:val="00886247"/>
    <w:rsid w:val="0088676E"/>
    <w:rsid w:val="008905EB"/>
    <w:rsid w:val="00890C82"/>
    <w:rsid w:val="008927D8"/>
    <w:rsid w:val="00895F72"/>
    <w:rsid w:val="008A04DF"/>
    <w:rsid w:val="008A1081"/>
    <w:rsid w:val="008A2EF9"/>
    <w:rsid w:val="008A34F0"/>
    <w:rsid w:val="008A6902"/>
    <w:rsid w:val="008A782F"/>
    <w:rsid w:val="008B4E49"/>
    <w:rsid w:val="008C1882"/>
    <w:rsid w:val="008C1CEC"/>
    <w:rsid w:val="008C2FA7"/>
    <w:rsid w:val="008C4BEC"/>
    <w:rsid w:val="008C730D"/>
    <w:rsid w:val="008D0D53"/>
    <w:rsid w:val="008D1325"/>
    <w:rsid w:val="008D1B4B"/>
    <w:rsid w:val="008D635E"/>
    <w:rsid w:val="008D7AC6"/>
    <w:rsid w:val="008F5355"/>
    <w:rsid w:val="008F5A2F"/>
    <w:rsid w:val="008F7180"/>
    <w:rsid w:val="0090209D"/>
    <w:rsid w:val="00904373"/>
    <w:rsid w:val="009067BC"/>
    <w:rsid w:val="009100CC"/>
    <w:rsid w:val="00910550"/>
    <w:rsid w:val="00910C51"/>
    <w:rsid w:val="00912EFA"/>
    <w:rsid w:val="00917367"/>
    <w:rsid w:val="00924013"/>
    <w:rsid w:val="00925858"/>
    <w:rsid w:val="00931D97"/>
    <w:rsid w:val="0093524C"/>
    <w:rsid w:val="00936B45"/>
    <w:rsid w:val="009407BD"/>
    <w:rsid w:val="0094155D"/>
    <w:rsid w:val="0094449C"/>
    <w:rsid w:val="00947D06"/>
    <w:rsid w:val="009502CE"/>
    <w:rsid w:val="009506D5"/>
    <w:rsid w:val="00954166"/>
    <w:rsid w:val="00960117"/>
    <w:rsid w:val="009606ED"/>
    <w:rsid w:val="00960CE0"/>
    <w:rsid w:val="009614A9"/>
    <w:rsid w:val="00961E6B"/>
    <w:rsid w:val="009711D2"/>
    <w:rsid w:val="00972B29"/>
    <w:rsid w:val="0097322D"/>
    <w:rsid w:val="009775E1"/>
    <w:rsid w:val="00987D02"/>
    <w:rsid w:val="009915E5"/>
    <w:rsid w:val="00995DC3"/>
    <w:rsid w:val="009A0471"/>
    <w:rsid w:val="009A1838"/>
    <w:rsid w:val="009A31F0"/>
    <w:rsid w:val="009A76CC"/>
    <w:rsid w:val="009A7BE6"/>
    <w:rsid w:val="009A7C53"/>
    <w:rsid w:val="009B11CF"/>
    <w:rsid w:val="009B1A46"/>
    <w:rsid w:val="009B24DD"/>
    <w:rsid w:val="009B380A"/>
    <w:rsid w:val="009C0977"/>
    <w:rsid w:val="009C261F"/>
    <w:rsid w:val="009C41C3"/>
    <w:rsid w:val="009D2086"/>
    <w:rsid w:val="009D47E3"/>
    <w:rsid w:val="009D61BA"/>
    <w:rsid w:val="009E1BBD"/>
    <w:rsid w:val="009E7AB3"/>
    <w:rsid w:val="009F693B"/>
    <w:rsid w:val="00A048EA"/>
    <w:rsid w:val="00A0740E"/>
    <w:rsid w:val="00A11193"/>
    <w:rsid w:val="00A21691"/>
    <w:rsid w:val="00A240DF"/>
    <w:rsid w:val="00A24879"/>
    <w:rsid w:val="00A34A1F"/>
    <w:rsid w:val="00A44113"/>
    <w:rsid w:val="00A46429"/>
    <w:rsid w:val="00A5199E"/>
    <w:rsid w:val="00A614DD"/>
    <w:rsid w:val="00A65916"/>
    <w:rsid w:val="00A66991"/>
    <w:rsid w:val="00A709A9"/>
    <w:rsid w:val="00A71D19"/>
    <w:rsid w:val="00A72156"/>
    <w:rsid w:val="00A76D49"/>
    <w:rsid w:val="00A7732E"/>
    <w:rsid w:val="00A81F7B"/>
    <w:rsid w:val="00A92994"/>
    <w:rsid w:val="00A94809"/>
    <w:rsid w:val="00AA0A52"/>
    <w:rsid w:val="00AA4305"/>
    <w:rsid w:val="00AB1960"/>
    <w:rsid w:val="00AB25B5"/>
    <w:rsid w:val="00AB72BF"/>
    <w:rsid w:val="00AB7AF9"/>
    <w:rsid w:val="00AC00B2"/>
    <w:rsid w:val="00AC134F"/>
    <w:rsid w:val="00AF473F"/>
    <w:rsid w:val="00B15C97"/>
    <w:rsid w:val="00B23A87"/>
    <w:rsid w:val="00B24614"/>
    <w:rsid w:val="00B2786C"/>
    <w:rsid w:val="00B32586"/>
    <w:rsid w:val="00B34FB5"/>
    <w:rsid w:val="00B35DBC"/>
    <w:rsid w:val="00B3641E"/>
    <w:rsid w:val="00B41EB5"/>
    <w:rsid w:val="00B46026"/>
    <w:rsid w:val="00B469A9"/>
    <w:rsid w:val="00B51609"/>
    <w:rsid w:val="00B572AF"/>
    <w:rsid w:val="00B72E70"/>
    <w:rsid w:val="00B8040C"/>
    <w:rsid w:val="00B80EBF"/>
    <w:rsid w:val="00B84BE0"/>
    <w:rsid w:val="00B86588"/>
    <w:rsid w:val="00B906F9"/>
    <w:rsid w:val="00B91F75"/>
    <w:rsid w:val="00B9214E"/>
    <w:rsid w:val="00B94C44"/>
    <w:rsid w:val="00B95469"/>
    <w:rsid w:val="00B974E8"/>
    <w:rsid w:val="00BA0426"/>
    <w:rsid w:val="00BA3BD4"/>
    <w:rsid w:val="00BA63A2"/>
    <w:rsid w:val="00BA72C2"/>
    <w:rsid w:val="00BB386D"/>
    <w:rsid w:val="00BB4403"/>
    <w:rsid w:val="00BB497D"/>
    <w:rsid w:val="00BB5646"/>
    <w:rsid w:val="00BC20F3"/>
    <w:rsid w:val="00BC2A39"/>
    <w:rsid w:val="00BC3F95"/>
    <w:rsid w:val="00BC54D1"/>
    <w:rsid w:val="00BD32B5"/>
    <w:rsid w:val="00BE1E32"/>
    <w:rsid w:val="00BE47EC"/>
    <w:rsid w:val="00BE5BAB"/>
    <w:rsid w:val="00BE7142"/>
    <w:rsid w:val="00BE7844"/>
    <w:rsid w:val="00BF11F0"/>
    <w:rsid w:val="00BF13D7"/>
    <w:rsid w:val="00BF1885"/>
    <w:rsid w:val="00BF5250"/>
    <w:rsid w:val="00BF57D4"/>
    <w:rsid w:val="00C05873"/>
    <w:rsid w:val="00C12C4B"/>
    <w:rsid w:val="00C15F35"/>
    <w:rsid w:val="00C16DE8"/>
    <w:rsid w:val="00C17BEE"/>
    <w:rsid w:val="00C21FFC"/>
    <w:rsid w:val="00C23664"/>
    <w:rsid w:val="00C320C0"/>
    <w:rsid w:val="00C32EA2"/>
    <w:rsid w:val="00C369A0"/>
    <w:rsid w:val="00C417D9"/>
    <w:rsid w:val="00C44F25"/>
    <w:rsid w:val="00C45C7C"/>
    <w:rsid w:val="00C47C9F"/>
    <w:rsid w:val="00C51D98"/>
    <w:rsid w:val="00C60C60"/>
    <w:rsid w:val="00C62033"/>
    <w:rsid w:val="00C6327C"/>
    <w:rsid w:val="00C659EA"/>
    <w:rsid w:val="00C67D66"/>
    <w:rsid w:val="00C705BE"/>
    <w:rsid w:val="00C71E02"/>
    <w:rsid w:val="00C720F9"/>
    <w:rsid w:val="00C76DF6"/>
    <w:rsid w:val="00C861FA"/>
    <w:rsid w:val="00C87523"/>
    <w:rsid w:val="00C8784C"/>
    <w:rsid w:val="00CA0FFC"/>
    <w:rsid w:val="00CA2EC5"/>
    <w:rsid w:val="00CA4FA2"/>
    <w:rsid w:val="00CA65DA"/>
    <w:rsid w:val="00CB2359"/>
    <w:rsid w:val="00CB43F1"/>
    <w:rsid w:val="00CB5F8E"/>
    <w:rsid w:val="00CB7EAE"/>
    <w:rsid w:val="00CC0190"/>
    <w:rsid w:val="00CC1015"/>
    <w:rsid w:val="00CC41E9"/>
    <w:rsid w:val="00CC43CE"/>
    <w:rsid w:val="00CD01DE"/>
    <w:rsid w:val="00CD0F0D"/>
    <w:rsid w:val="00CD13B2"/>
    <w:rsid w:val="00CD21FC"/>
    <w:rsid w:val="00CD6AC5"/>
    <w:rsid w:val="00CD725A"/>
    <w:rsid w:val="00CE03B6"/>
    <w:rsid w:val="00CE36F1"/>
    <w:rsid w:val="00CE3F17"/>
    <w:rsid w:val="00CE7816"/>
    <w:rsid w:val="00CF116C"/>
    <w:rsid w:val="00CF1973"/>
    <w:rsid w:val="00D105DC"/>
    <w:rsid w:val="00D123A6"/>
    <w:rsid w:val="00D17068"/>
    <w:rsid w:val="00D172FC"/>
    <w:rsid w:val="00D214D0"/>
    <w:rsid w:val="00D22323"/>
    <w:rsid w:val="00D24CB4"/>
    <w:rsid w:val="00D257D8"/>
    <w:rsid w:val="00D27239"/>
    <w:rsid w:val="00D3204A"/>
    <w:rsid w:val="00D320D3"/>
    <w:rsid w:val="00D324D5"/>
    <w:rsid w:val="00D333B2"/>
    <w:rsid w:val="00D340F4"/>
    <w:rsid w:val="00D348D6"/>
    <w:rsid w:val="00D36362"/>
    <w:rsid w:val="00D40E18"/>
    <w:rsid w:val="00D43254"/>
    <w:rsid w:val="00D50E4F"/>
    <w:rsid w:val="00D525BA"/>
    <w:rsid w:val="00D54682"/>
    <w:rsid w:val="00D55025"/>
    <w:rsid w:val="00D57C99"/>
    <w:rsid w:val="00D60497"/>
    <w:rsid w:val="00D611E1"/>
    <w:rsid w:val="00D63563"/>
    <w:rsid w:val="00D655A9"/>
    <w:rsid w:val="00D8589C"/>
    <w:rsid w:val="00D86EF1"/>
    <w:rsid w:val="00D918CA"/>
    <w:rsid w:val="00D968AE"/>
    <w:rsid w:val="00DA1CC9"/>
    <w:rsid w:val="00DA2932"/>
    <w:rsid w:val="00DB1B63"/>
    <w:rsid w:val="00DB49AA"/>
    <w:rsid w:val="00DB4CC2"/>
    <w:rsid w:val="00DB5E3F"/>
    <w:rsid w:val="00DB6430"/>
    <w:rsid w:val="00DB65B0"/>
    <w:rsid w:val="00DB7904"/>
    <w:rsid w:val="00DC03AC"/>
    <w:rsid w:val="00DC1071"/>
    <w:rsid w:val="00DC46AF"/>
    <w:rsid w:val="00DD168C"/>
    <w:rsid w:val="00DD3C05"/>
    <w:rsid w:val="00DE149A"/>
    <w:rsid w:val="00DE20E1"/>
    <w:rsid w:val="00DE58B8"/>
    <w:rsid w:val="00DF179A"/>
    <w:rsid w:val="00DF271C"/>
    <w:rsid w:val="00DF3FE2"/>
    <w:rsid w:val="00DF4147"/>
    <w:rsid w:val="00DF4EC8"/>
    <w:rsid w:val="00DF77EB"/>
    <w:rsid w:val="00E02E52"/>
    <w:rsid w:val="00E12E95"/>
    <w:rsid w:val="00E14334"/>
    <w:rsid w:val="00E15BD0"/>
    <w:rsid w:val="00E16076"/>
    <w:rsid w:val="00E16769"/>
    <w:rsid w:val="00E17991"/>
    <w:rsid w:val="00E20221"/>
    <w:rsid w:val="00E2039E"/>
    <w:rsid w:val="00E26457"/>
    <w:rsid w:val="00E27A0C"/>
    <w:rsid w:val="00E30014"/>
    <w:rsid w:val="00E32049"/>
    <w:rsid w:val="00E35CB1"/>
    <w:rsid w:val="00E4387A"/>
    <w:rsid w:val="00E439FD"/>
    <w:rsid w:val="00E43B7A"/>
    <w:rsid w:val="00E47F7D"/>
    <w:rsid w:val="00E53990"/>
    <w:rsid w:val="00E54DD9"/>
    <w:rsid w:val="00E61830"/>
    <w:rsid w:val="00E61ABF"/>
    <w:rsid w:val="00E63C6E"/>
    <w:rsid w:val="00E6429B"/>
    <w:rsid w:val="00E650FC"/>
    <w:rsid w:val="00E66479"/>
    <w:rsid w:val="00E737B1"/>
    <w:rsid w:val="00E8562C"/>
    <w:rsid w:val="00E85B74"/>
    <w:rsid w:val="00E907B5"/>
    <w:rsid w:val="00E9560B"/>
    <w:rsid w:val="00EA1770"/>
    <w:rsid w:val="00EA7FF8"/>
    <w:rsid w:val="00EB0957"/>
    <w:rsid w:val="00EB2164"/>
    <w:rsid w:val="00EB3F7D"/>
    <w:rsid w:val="00EB5129"/>
    <w:rsid w:val="00EB55D6"/>
    <w:rsid w:val="00EC05A7"/>
    <w:rsid w:val="00EC0671"/>
    <w:rsid w:val="00EC2252"/>
    <w:rsid w:val="00EC43A6"/>
    <w:rsid w:val="00ED074F"/>
    <w:rsid w:val="00ED561E"/>
    <w:rsid w:val="00ED639E"/>
    <w:rsid w:val="00EE76D0"/>
    <w:rsid w:val="00EF318E"/>
    <w:rsid w:val="00EF3F05"/>
    <w:rsid w:val="00EF7386"/>
    <w:rsid w:val="00F0742C"/>
    <w:rsid w:val="00F07790"/>
    <w:rsid w:val="00F161CB"/>
    <w:rsid w:val="00F214BC"/>
    <w:rsid w:val="00F2193F"/>
    <w:rsid w:val="00F222C8"/>
    <w:rsid w:val="00F227B7"/>
    <w:rsid w:val="00F37D8C"/>
    <w:rsid w:val="00F41568"/>
    <w:rsid w:val="00F44717"/>
    <w:rsid w:val="00F473C2"/>
    <w:rsid w:val="00F50551"/>
    <w:rsid w:val="00F52252"/>
    <w:rsid w:val="00F52A87"/>
    <w:rsid w:val="00F53F6B"/>
    <w:rsid w:val="00F606A1"/>
    <w:rsid w:val="00F60E6A"/>
    <w:rsid w:val="00F6179A"/>
    <w:rsid w:val="00F64084"/>
    <w:rsid w:val="00F657AD"/>
    <w:rsid w:val="00F67A78"/>
    <w:rsid w:val="00F73ACD"/>
    <w:rsid w:val="00F805F7"/>
    <w:rsid w:val="00F83B83"/>
    <w:rsid w:val="00F85C99"/>
    <w:rsid w:val="00F85E56"/>
    <w:rsid w:val="00F867DD"/>
    <w:rsid w:val="00F90492"/>
    <w:rsid w:val="00F9205C"/>
    <w:rsid w:val="00F93D18"/>
    <w:rsid w:val="00F94A76"/>
    <w:rsid w:val="00F959C0"/>
    <w:rsid w:val="00F96E47"/>
    <w:rsid w:val="00FA0C1D"/>
    <w:rsid w:val="00FA1988"/>
    <w:rsid w:val="00FA43EA"/>
    <w:rsid w:val="00FA572C"/>
    <w:rsid w:val="00FA5BE2"/>
    <w:rsid w:val="00FB1037"/>
    <w:rsid w:val="00FB5ECD"/>
    <w:rsid w:val="00FB647D"/>
    <w:rsid w:val="00FC165E"/>
    <w:rsid w:val="00FC1EED"/>
    <w:rsid w:val="00FD709E"/>
    <w:rsid w:val="00FE05BB"/>
    <w:rsid w:val="00FE3179"/>
    <w:rsid w:val="00FE3A2A"/>
    <w:rsid w:val="00FE3F31"/>
    <w:rsid w:val="00FE450F"/>
    <w:rsid w:val="00FE582F"/>
    <w:rsid w:val="00FE70D9"/>
    <w:rsid w:val="00FF24D1"/>
    <w:rsid w:val="00FF39DE"/>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822"/>
    <w:rPr>
      <w:sz w:val="24"/>
      <w:szCs w:val="24"/>
    </w:rPr>
  </w:style>
  <w:style w:type="paragraph" w:styleId="Heading2">
    <w:name w:val="heading 2"/>
    <w:basedOn w:val="Normal"/>
    <w:next w:val="Normal"/>
    <w:qFormat/>
    <w:rsid w:val="00765998"/>
    <w:pPr>
      <w:keepNext/>
      <w:tabs>
        <w:tab w:val="left" w:pos="-720"/>
      </w:tabs>
      <w:suppressAutoHyphens/>
      <w:ind w:right="72"/>
      <w:jc w:val="center"/>
      <w:outlineLvl w:val="1"/>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54D1"/>
    <w:rPr>
      <w:rFonts w:ascii="Tahoma" w:hAnsi="Tahoma" w:cs="Tahoma"/>
      <w:sz w:val="16"/>
      <w:szCs w:val="16"/>
    </w:rPr>
  </w:style>
  <w:style w:type="character" w:customStyle="1" w:styleId="BalloonTextChar">
    <w:name w:val="Balloon Text Char"/>
    <w:basedOn w:val="DefaultParagraphFont"/>
    <w:link w:val="BalloonText"/>
    <w:uiPriority w:val="99"/>
    <w:semiHidden/>
    <w:rsid w:val="00677CE5"/>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link w:val="HeaderChar"/>
    <w:uiPriority w:val="99"/>
    <w:rsid w:val="00BC54D1"/>
    <w:pPr>
      <w:tabs>
        <w:tab w:val="center" w:pos="4320"/>
        <w:tab w:val="right" w:pos="8640"/>
      </w:tabs>
    </w:pPr>
  </w:style>
  <w:style w:type="character" w:customStyle="1" w:styleId="HeaderChar">
    <w:name w:val="Header Char"/>
    <w:basedOn w:val="DefaultParagraphFont"/>
    <w:link w:val="Header"/>
    <w:uiPriority w:val="99"/>
    <w:rsid w:val="00677CE5"/>
    <w:rPr>
      <w:sz w:val="24"/>
      <w:szCs w:val="24"/>
    </w:rPr>
  </w:style>
  <w:style w:type="paragraph" w:styleId="Footer">
    <w:name w:val="footer"/>
    <w:basedOn w:val="Normal"/>
    <w:link w:val="FooterChar"/>
    <w:uiPriority w:val="99"/>
    <w:rsid w:val="00BC54D1"/>
    <w:pPr>
      <w:tabs>
        <w:tab w:val="center" w:pos="4320"/>
        <w:tab w:val="right" w:pos="8640"/>
      </w:tabs>
    </w:pPr>
  </w:style>
  <w:style w:type="character" w:customStyle="1" w:styleId="FooterChar">
    <w:name w:val="Footer Char"/>
    <w:basedOn w:val="DefaultParagraphFont"/>
    <w:link w:val="Footer"/>
    <w:uiPriority w:val="99"/>
    <w:rsid w:val="00BF5250"/>
    <w:rPr>
      <w:sz w:val="24"/>
      <w:szCs w:val="24"/>
    </w:r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uiPriority w:val="59"/>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65998"/>
    <w:pPr>
      <w:spacing w:after="240"/>
      <w:jc w:val="both"/>
    </w:pPr>
    <w:rPr>
      <w:rFonts w:ascii="Arial" w:hAnsi="Arial"/>
      <w:i/>
      <w:iCs/>
    </w:rPr>
  </w:style>
  <w:style w:type="character" w:styleId="PageNumber">
    <w:name w:val="page number"/>
    <w:basedOn w:val="DefaultParagraphFont"/>
    <w:rsid w:val="00765998"/>
  </w:style>
  <w:style w:type="paragraph" w:styleId="BodyTextIndent">
    <w:name w:val="Body Text Indent"/>
    <w:basedOn w:val="Normal"/>
    <w:rsid w:val="00765998"/>
    <w:pPr>
      <w:ind w:left="1800"/>
    </w:pPr>
    <w:rPr>
      <w:rFonts w:ascii="Arial" w:hAnsi="Arial"/>
    </w:rPr>
  </w:style>
  <w:style w:type="paragraph" w:styleId="BodyTextIndent3">
    <w:name w:val="Body Text Indent 3"/>
    <w:basedOn w:val="Normal"/>
    <w:rsid w:val="00765998"/>
    <w:pPr>
      <w:spacing w:after="120"/>
      <w:ind w:left="360"/>
    </w:pPr>
    <w:rPr>
      <w:rFonts w:ascii="Arial" w:hAnsi="Arial"/>
      <w:sz w:val="16"/>
      <w:szCs w:val="16"/>
    </w:rPr>
  </w:style>
  <w:style w:type="paragraph" w:styleId="BlockText">
    <w:name w:val="Block Text"/>
    <w:basedOn w:val="Normal"/>
    <w:rsid w:val="00DB65B0"/>
    <w:pPr>
      <w:ind w:left="720" w:right="720"/>
      <w:jc w:val="both"/>
    </w:pPr>
    <w:rPr>
      <w:rFonts w:ascii="Univers" w:hAnsi="Univers"/>
      <w:szCs w:val="20"/>
    </w:rPr>
  </w:style>
  <w:style w:type="paragraph" w:customStyle="1" w:styleId="Default">
    <w:name w:val="Default"/>
    <w:rsid w:val="007074C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D105DC"/>
    <w:pPr>
      <w:ind w:left="720"/>
      <w:contextualSpacing/>
    </w:pPr>
  </w:style>
  <w:style w:type="table" w:customStyle="1" w:styleId="TableGrid2">
    <w:name w:val="Table Grid2"/>
    <w:basedOn w:val="TableNormal"/>
    <w:next w:val="TableGrid"/>
    <w:uiPriority w:val="59"/>
    <w:rsid w:val="00677C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0FFC"/>
    <w:pPr>
      <w:spacing w:before="100" w:beforeAutospacing="1" w:after="100" w:afterAutospacing="1"/>
    </w:pPr>
  </w:style>
  <w:style w:type="character" w:customStyle="1" w:styleId="apple-tab-span">
    <w:name w:val="apple-tab-span"/>
    <w:basedOn w:val="DefaultParagraphFont"/>
    <w:rsid w:val="00083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822"/>
    <w:rPr>
      <w:sz w:val="24"/>
      <w:szCs w:val="24"/>
    </w:rPr>
  </w:style>
  <w:style w:type="paragraph" w:styleId="Heading2">
    <w:name w:val="heading 2"/>
    <w:basedOn w:val="Normal"/>
    <w:next w:val="Normal"/>
    <w:qFormat/>
    <w:rsid w:val="00765998"/>
    <w:pPr>
      <w:keepNext/>
      <w:tabs>
        <w:tab w:val="left" w:pos="-720"/>
      </w:tabs>
      <w:suppressAutoHyphens/>
      <w:ind w:right="72"/>
      <w:jc w:val="center"/>
      <w:outlineLvl w:val="1"/>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54D1"/>
    <w:rPr>
      <w:rFonts w:ascii="Tahoma" w:hAnsi="Tahoma" w:cs="Tahoma"/>
      <w:sz w:val="16"/>
      <w:szCs w:val="16"/>
    </w:rPr>
  </w:style>
  <w:style w:type="character" w:customStyle="1" w:styleId="BalloonTextChar">
    <w:name w:val="Balloon Text Char"/>
    <w:basedOn w:val="DefaultParagraphFont"/>
    <w:link w:val="BalloonText"/>
    <w:uiPriority w:val="99"/>
    <w:semiHidden/>
    <w:rsid w:val="00677CE5"/>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link w:val="HeaderChar"/>
    <w:uiPriority w:val="99"/>
    <w:rsid w:val="00BC54D1"/>
    <w:pPr>
      <w:tabs>
        <w:tab w:val="center" w:pos="4320"/>
        <w:tab w:val="right" w:pos="8640"/>
      </w:tabs>
    </w:pPr>
  </w:style>
  <w:style w:type="character" w:customStyle="1" w:styleId="HeaderChar">
    <w:name w:val="Header Char"/>
    <w:basedOn w:val="DefaultParagraphFont"/>
    <w:link w:val="Header"/>
    <w:uiPriority w:val="99"/>
    <w:rsid w:val="00677CE5"/>
    <w:rPr>
      <w:sz w:val="24"/>
      <w:szCs w:val="24"/>
    </w:rPr>
  </w:style>
  <w:style w:type="paragraph" w:styleId="Footer">
    <w:name w:val="footer"/>
    <w:basedOn w:val="Normal"/>
    <w:link w:val="FooterChar"/>
    <w:uiPriority w:val="99"/>
    <w:rsid w:val="00BC54D1"/>
    <w:pPr>
      <w:tabs>
        <w:tab w:val="center" w:pos="4320"/>
        <w:tab w:val="right" w:pos="8640"/>
      </w:tabs>
    </w:pPr>
  </w:style>
  <w:style w:type="character" w:customStyle="1" w:styleId="FooterChar">
    <w:name w:val="Footer Char"/>
    <w:basedOn w:val="DefaultParagraphFont"/>
    <w:link w:val="Footer"/>
    <w:uiPriority w:val="99"/>
    <w:rsid w:val="00BF5250"/>
    <w:rPr>
      <w:sz w:val="24"/>
      <w:szCs w:val="24"/>
    </w:r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uiPriority w:val="59"/>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65998"/>
    <w:pPr>
      <w:spacing w:after="240"/>
      <w:jc w:val="both"/>
    </w:pPr>
    <w:rPr>
      <w:rFonts w:ascii="Arial" w:hAnsi="Arial"/>
      <w:i/>
      <w:iCs/>
    </w:rPr>
  </w:style>
  <w:style w:type="character" w:styleId="PageNumber">
    <w:name w:val="page number"/>
    <w:basedOn w:val="DefaultParagraphFont"/>
    <w:rsid w:val="00765998"/>
  </w:style>
  <w:style w:type="paragraph" w:styleId="BodyTextIndent">
    <w:name w:val="Body Text Indent"/>
    <w:basedOn w:val="Normal"/>
    <w:rsid w:val="00765998"/>
    <w:pPr>
      <w:ind w:left="1800"/>
    </w:pPr>
    <w:rPr>
      <w:rFonts w:ascii="Arial" w:hAnsi="Arial"/>
    </w:rPr>
  </w:style>
  <w:style w:type="paragraph" w:styleId="BodyTextIndent3">
    <w:name w:val="Body Text Indent 3"/>
    <w:basedOn w:val="Normal"/>
    <w:rsid w:val="00765998"/>
    <w:pPr>
      <w:spacing w:after="120"/>
      <w:ind w:left="360"/>
    </w:pPr>
    <w:rPr>
      <w:rFonts w:ascii="Arial" w:hAnsi="Arial"/>
      <w:sz w:val="16"/>
      <w:szCs w:val="16"/>
    </w:rPr>
  </w:style>
  <w:style w:type="paragraph" w:styleId="BlockText">
    <w:name w:val="Block Text"/>
    <w:basedOn w:val="Normal"/>
    <w:rsid w:val="00DB65B0"/>
    <w:pPr>
      <w:ind w:left="720" w:right="720"/>
      <w:jc w:val="both"/>
    </w:pPr>
    <w:rPr>
      <w:rFonts w:ascii="Univers" w:hAnsi="Univers"/>
      <w:szCs w:val="20"/>
    </w:rPr>
  </w:style>
  <w:style w:type="paragraph" w:customStyle="1" w:styleId="Default">
    <w:name w:val="Default"/>
    <w:rsid w:val="007074C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D105DC"/>
    <w:pPr>
      <w:ind w:left="720"/>
      <w:contextualSpacing/>
    </w:pPr>
  </w:style>
  <w:style w:type="table" w:customStyle="1" w:styleId="TableGrid2">
    <w:name w:val="Table Grid2"/>
    <w:basedOn w:val="TableNormal"/>
    <w:next w:val="TableGrid"/>
    <w:uiPriority w:val="59"/>
    <w:rsid w:val="00677C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0FFC"/>
    <w:pPr>
      <w:spacing w:before="100" w:beforeAutospacing="1" w:after="100" w:afterAutospacing="1"/>
    </w:pPr>
  </w:style>
  <w:style w:type="character" w:customStyle="1" w:styleId="apple-tab-span">
    <w:name w:val="apple-tab-span"/>
    <w:basedOn w:val="DefaultParagraphFont"/>
    <w:rsid w:val="0008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69418">
      <w:bodyDiv w:val="1"/>
      <w:marLeft w:val="0"/>
      <w:marRight w:val="0"/>
      <w:marTop w:val="0"/>
      <w:marBottom w:val="0"/>
      <w:divBdr>
        <w:top w:val="none" w:sz="0" w:space="0" w:color="auto"/>
        <w:left w:val="none" w:sz="0" w:space="0" w:color="auto"/>
        <w:bottom w:val="none" w:sz="0" w:space="0" w:color="auto"/>
        <w:right w:val="none" w:sz="0" w:space="0" w:color="auto"/>
      </w:divBdr>
    </w:div>
    <w:div w:id="10627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1013</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Letterhead - Template</vt:lpstr>
    </vt:vector>
  </TitlesOfParts>
  <Company>County of Napa</Company>
  <LinksUpToDate>false</LinksUpToDate>
  <CharactersWithSpaces>6467</CharactersWithSpaces>
  <SharedDoc>false</SharedDoc>
  <HLinks>
    <vt:vector size="6" baseType="variant">
      <vt:variant>
        <vt:i4>262248</vt:i4>
      </vt:variant>
      <vt:variant>
        <vt:i4>0</vt:i4>
      </vt:variant>
      <vt:variant>
        <vt:i4>0</vt:i4>
      </vt:variant>
      <vt:variant>
        <vt:i4>5</vt:i4>
      </vt:variant>
      <vt:variant>
        <vt:lpwstr>mailto:John.McDowell@countyofnapa.org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Template</dc:title>
  <dc:subject>Design Guidelines</dc:subject>
  <dc:creator>County of Napa</dc:creator>
  <cp:lastModifiedBy>Morrison, David</cp:lastModifiedBy>
  <cp:revision>4</cp:revision>
  <cp:lastPrinted>2015-05-15T23:31:00Z</cp:lastPrinted>
  <dcterms:created xsi:type="dcterms:W3CDTF">2015-09-24T21:01:00Z</dcterms:created>
  <dcterms:modified xsi:type="dcterms:W3CDTF">2015-09-24T21:06:00Z</dcterms:modified>
</cp:coreProperties>
</file>