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7C9B" w14:textId="77777777" w:rsidR="00E5545D" w:rsidRPr="00420D2E" w:rsidRDefault="00E5545D" w:rsidP="004D7BD6">
      <w:pPr>
        <w:spacing w:after="120"/>
        <w:jc w:val="center"/>
        <w:rPr>
          <w:rFonts w:asciiTheme="minorHAnsi" w:hAnsiTheme="minorHAnsi" w:cstheme="minorHAnsi"/>
          <w:b/>
          <w:spacing w:val="40"/>
          <w:sz w:val="28"/>
          <w:szCs w:val="28"/>
        </w:rPr>
      </w:pPr>
      <w:r w:rsidRPr="00420D2E">
        <w:rPr>
          <w:rFonts w:asciiTheme="minorHAnsi" w:hAnsiTheme="minorHAnsi" w:cstheme="minorHAnsi"/>
          <w:b/>
          <w:spacing w:val="40"/>
          <w:sz w:val="28"/>
          <w:szCs w:val="28"/>
        </w:rPr>
        <w:t>MEMORANDUM</w:t>
      </w:r>
    </w:p>
    <w:p w14:paraId="459B35BA" w14:textId="77777777" w:rsidR="00E5545D" w:rsidRPr="00420D2E" w:rsidRDefault="00E5545D" w:rsidP="004D7BD6">
      <w:pPr>
        <w:spacing w:after="120"/>
        <w:rPr>
          <w:rFonts w:asciiTheme="minorHAnsi" w:hAnsiTheme="minorHAnsi" w:cstheme="minorHAnsi"/>
          <w:sz w:val="22"/>
          <w:szCs w:val="22"/>
        </w:rPr>
      </w:pPr>
    </w:p>
    <w:p w14:paraId="6E68FE4E" w14:textId="77777777" w:rsidR="00BA2222" w:rsidRPr="00420D2E" w:rsidRDefault="003D1C51" w:rsidP="004D7BD6">
      <w:pPr>
        <w:spacing w:after="120"/>
        <w:rPr>
          <w:rFonts w:asciiTheme="minorHAnsi" w:hAnsiTheme="minorHAnsi" w:cstheme="minorHAnsi"/>
        </w:rPr>
      </w:pPr>
      <w:r w:rsidRPr="00420D2E">
        <w:rPr>
          <w:rFonts w:asciiTheme="minorHAnsi" w:hAnsiTheme="minorHAnsi" w:cstheme="minorHAnsi"/>
        </w:rPr>
        <w:t>TO:</w:t>
      </w:r>
      <w:r w:rsidRPr="00420D2E">
        <w:rPr>
          <w:rFonts w:asciiTheme="minorHAnsi" w:hAnsiTheme="minorHAnsi" w:cstheme="minorHAnsi"/>
        </w:rPr>
        <w:tab/>
      </w:r>
      <w:r w:rsidRPr="00420D2E">
        <w:rPr>
          <w:rFonts w:asciiTheme="minorHAnsi" w:hAnsiTheme="minorHAnsi" w:cstheme="minorHAnsi"/>
        </w:rPr>
        <w:tab/>
        <w:t>Board of Supervisors</w:t>
      </w:r>
    </w:p>
    <w:p w14:paraId="4EC530C7" w14:textId="5D7308A7" w:rsidR="003D1C51" w:rsidRPr="00420D2E" w:rsidRDefault="00E739FC" w:rsidP="004D7BD6">
      <w:pPr>
        <w:spacing w:after="120"/>
        <w:rPr>
          <w:rFonts w:asciiTheme="minorHAnsi" w:hAnsiTheme="minorHAnsi" w:cstheme="minorHAnsi"/>
        </w:rPr>
      </w:pPr>
      <w:r w:rsidRPr="00420D2E">
        <w:rPr>
          <w:rFonts w:asciiTheme="minorHAnsi" w:hAnsiTheme="minorHAnsi" w:cstheme="minorHAnsi"/>
        </w:rPr>
        <w:t>FROM:</w:t>
      </w:r>
      <w:r w:rsidRPr="00420D2E">
        <w:rPr>
          <w:rFonts w:asciiTheme="minorHAnsi" w:hAnsiTheme="minorHAnsi" w:cstheme="minorHAnsi"/>
        </w:rPr>
        <w:tab/>
      </w:r>
      <w:r w:rsidR="004D7BD6">
        <w:rPr>
          <w:rFonts w:asciiTheme="minorHAnsi" w:hAnsiTheme="minorHAnsi" w:cstheme="minorHAnsi"/>
        </w:rPr>
        <w:tab/>
      </w:r>
      <w:r w:rsidRPr="00420D2E">
        <w:rPr>
          <w:rFonts w:asciiTheme="minorHAnsi" w:hAnsiTheme="minorHAnsi" w:cstheme="minorHAnsi"/>
        </w:rPr>
        <w:t>Minh C. Tran</w:t>
      </w:r>
      <w:r w:rsidR="003D1C51" w:rsidRPr="00420D2E">
        <w:rPr>
          <w:rFonts w:asciiTheme="minorHAnsi" w:hAnsiTheme="minorHAnsi" w:cstheme="minorHAnsi"/>
        </w:rPr>
        <w:t>, County Executive Officer</w:t>
      </w:r>
    </w:p>
    <w:p w14:paraId="0FA19065" w14:textId="5B71D4C6" w:rsidR="003D1C51" w:rsidRPr="00420D2E" w:rsidRDefault="003D1C51" w:rsidP="004D7BD6">
      <w:pPr>
        <w:spacing w:after="120"/>
        <w:rPr>
          <w:rFonts w:asciiTheme="minorHAnsi" w:hAnsiTheme="minorHAnsi" w:cstheme="minorHAnsi"/>
        </w:rPr>
      </w:pPr>
      <w:r w:rsidRPr="00420D2E">
        <w:rPr>
          <w:rFonts w:asciiTheme="minorHAnsi" w:hAnsiTheme="minorHAnsi" w:cstheme="minorHAnsi"/>
        </w:rPr>
        <w:t>DATE:</w:t>
      </w:r>
      <w:r w:rsidRPr="00420D2E">
        <w:rPr>
          <w:rFonts w:asciiTheme="minorHAnsi" w:hAnsiTheme="minorHAnsi" w:cstheme="minorHAnsi"/>
        </w:rPr>
        <w:tab/>
      </w:r>
      <w:r w:rsidRPr="00420D2E">
        <w:rPr>
          <w:rFonts w:asciiTheme="minorHAnsi" w:hAnsiTheme="minorHAnsi" w:cstheme="minorHAnsi"/>
        </w:rPr>
        <w:tab/>
      </w:r>
      <w:r w:rsidR="000F1296" w:rsidRPr="00420D2E">
        <w:rPr>
          <w:rFonts w:asciiTheme="minorHAnsi" w:hAnsiTheme="minorHAnsi" w:cstheme="minorHAnsi"/>
        </w:rPr>
        <w:t xml:space="preserve">March </w:t>
      </w:r>
      <w:r w:rsidR="00ED612E">
        <w:rPr>
          <w:rFonts w:asciiTheme="minorHAnsi" w:hAnsiTheme="minorHAnsi" w:cstheme="minorHAnsi"/>
        </w:rPr>
        <w:t>2</w:t>
      </w:r>
      <w:r w:rsidR="006B592E">
        <w:rPr>
          <w:rFonts w:asciiTheme="minorHAnsi" w:hAnsiTheme="minorHAnsi" w:cstheme="minorHAnsi"/>
        </w:rPr>
        <w:t>3</w:t>
      </w:r>
      <w:r w:rsidR="003750BC" w:rsidRPr="00420D2E">
        <w:rPr>
          <w:rFonts w:asciiTheme="minorHAnsi" w:hAnsiTheme="minorHAnsi" w:cstheme="minorHAnsi"/>
        </w:rPr>
        <w:t>, 20</w:t>
      </w:r>
      <w:r w:rsidR="006B592E">
        <w:rPr>
          <w:rFonts w:asciiTheme="minorHAnsi" w:hAnsiTheme="minorHAnsi" w:cstheme="minorHAnsi"/>
        </w:rPr>
        <w:t>21</w:t>
      </w:r>
    </w:p>
    <w:p w14:paraId="11916325" w14:textId="6250BA44" w:rsidR="003D1C51" w:rsidRPr="00420D2E" w:rsidRDefault="003D1C51" w:rsidP="004D7BD6">
      <w:pPr>
        <w:spacing w:after="120"/>
        <w:rPr>
          <w:rFonts w:asciiTheme="minorHAnsi" w:hAnsiTheme="minorHAnsi" w:cstheme="minorHAnsi"/>
          <w:b/>
        </w:rPr>
      </w:pPr>
      <w:r w:rsidRPr="00420D2E">
        <w:rPr>
          <w:rFonts w:asciiTheme="minorHAnsi" w:hAnsiTheme="minorHAnsi" w:cstheme="minorHAnsi"/>
        </w:rPr>
        <w:t>RE:</w:t>
      </w:r>
      <w:r w:rsidRPr="00420D2E">
        <w:rPr>
          <w:rFonts w:asciiTheme="minorHAnsi" w:hAnsiTheme="minorHAnsi" w:cstheme="minorHAnsi"/>
        </w:rPr>
        <w:tab/>
      </w:r>
      <w:r w:rsidRPr="00420D2E">
        <w:rPr>
          <w:rFonts w:asciiTheme="minorHAnsi" w:hAnsiTheme="minorHAnsi" w:cstheme="minorHAnsi"/>
        </w:rPr>
        <w:tab/>
      </w:r>
      <w:r w:rsidRPr="00420D2E">
        <w:rPr>
          <w:rFonts w:asciiTheme="minorHAnsi" w:hAnsiTheme="minorHAnsi" w:cstheme="minorHAnsi"/>
          <w:b/>
        </w:rPr>
        <w:t>MID-YEAR FISCAL REVIEW</w:t>
      </w:r>
      <w:r w:rsidR="007D5599" w:rsidRPr="00420D2E">
        <w:rPr>
          <w:rFonts w:asciiTheme="minorHAnsi" w:hAnsiTheme="minorHAnsi" w:cstheme="minorHAnsi"/>
          <w:b/>
        </w:rPr>
        <w:t xml:space="preserve"> -</w:t>
      </w:r>
      <w:r w:rsidRPr="00420D2E">
        <w:rPr>
          <w:rFonts w:asciiTheme="minorHAnsi" w:hAnsiTheme="minorHAnsi" w:cstheme="minorHAnsi"/>
          <w:b/>
        </w:rPr>
        <w:t xml:space="preserve"> FISCAL YEAR </w:t>
      </w:r>
      <w:r w:rsidR="00EA316B" w:rsidRPr="00420D2E">
        <w:rPr>
          <w:rFonts w:asciiTheme="minorHAnsi" w:hAnsiTheme="minorHAnsi" w:cstheme="minorHAnsi"/>
          <w:b/>
        </w:rPr>
        <w:t>20</w:t>
      </w:r>
      <w:r w:rsidR="006B592E">
        <w:rPr>
          <w:rFonts w:asciiTheme="minorHAnsi" w:hAnsiTheme="minorHAnsi" w:cstheme="minorHAnsi"/>
          <w:b/>
        </w:rPr>
        <w:t>20</w:t>
      </w:r>
      <w:r w:rsidR="00ED612E">
        <w:rPr>
          <w:rFonts w:asciiTheme="minorHAnsi" w:hAnsiTheme="minorHAnsi" w:cstheme="minorHAnsi"/>
          <w:b/>
        </w:rPr>
        <w:t>-2</w:t>
      </w:r>
      <w:r w:rsidR="006B592E">
        <w:rPr>
          <w:rFonts w:asciiTheme="minorHAnsi" w:hAnsiTheme="minorHAnsi" w:cstheme="minorHAnsi"/>
          <w:b/>
        </w:rPr>
        <w:t>1</w:t>
      </w:r>
    </w:p>
    <w:p w14:paraId="232E5676" w14:textId="77777777" w:rsidR="00A61FD8" w:rsidRPr="00420D2E" w:rsidRDefault="00A61FD8" w:rsidP="004D7BD6">
      <w:pPr>
        <w:spacing w:after="120"/>
        <w:rPr>
          <w:rFonts w:asciiTheme="minorHAnsi" w:hAnsiTheme="minorHAnsi" w:cstheme="minorHAnsi"/>
        </w:rPr>
      </w:pPr>
      <w:r w:rsidRPr="00420D2E">
        <w:rPr>
          <w:rFonts w:asciiTheme="minorHAnsi" w:hAnsiTheme="minorHAnsi" w:cstheme="minorHAnsi"/>
          <w:b/>
          <w:u w:val="single"/>
        </w:rPr>
        <w:t>Introduction</w:t>
      </w:r>
    </w:p>
    <w:p w14:paraId="7849CDB9" w14:textId="3D135F78" w:rsidR="00A61FD8" w:rsidRPr="00420D2E" w:rsidRDefault="00A61FD8" w:rsidP="004D7BD6">
      <w:pPr>
        <w:spacing w:after="120"/>
        <w:rPr>
          <w:rFonts w:asciiTheme="minorHAnsi" w:hAnsiTheme="minorHAnsi" w:cstheme="minorHAnsi"/>
        </w:rPr>
      </w:pPr>
      <w:r w:rsidRPr="00420D2E">
        <w:rPr>
          <w:rFonts w:asciiTheme="minorHAnsi" w:hAnsiTheme="minorHAnsi" w:cstheme="minorHAnsi"/>
        </w:rPr>
        <w:t>A mid-year review of the County’s fiscal status, focusing particu</w:t>
      </w:r>
      <w:r w:rsidR="009B796E" w:rsidRPr="00420D2E">
        <w:rPr>
          <w:rFonts w:asciiTheme="minorHAnsi" w:hAnsiTheme="minorHAnsi" w:cstheme="minorHAnsi"/>
        </w:rPr>
        <w:t xml:space="preserve">larly on the General Fund, is </w:t>
      </w:r>
      <w:r w:rsidR="00C656A1" w:rsidRPr="00420D2E">
        <w:rPr>
          <w:rFonts w:asciiTheme="minorHAnsi" w:hAnsiTheme="minorHAnsi" w:cstheme="minorHAnsi"/>
        </w:rPr>
        <w:t>part</w:t>
      </w:r>
      <w:r w:rsidR="00923A4E" w:rsidRPr="00420D2E">
        <w:rPr>
          <w:rFonts w:asciiTheme="minorHAnsi" w:hAnsiTheme="minorHAnsi" w:cstheme="minorHAnsi"/>
        </w:rPr>
        <w:t xml:space="preserve"> </w:t>
      </w:r>
      <w:r w:rsidRPr="00420D2E">
        <w:rPr>
          <w:rFonts w:asciiTheme="minorHAnsi" w:hAnsiTheme="minorHAnsi" w:cstheme="minorHAnsi"/>
        </w:rPr>
        <w:t xml:space="preserve">of </w:t>
      </w:r>
      <w:r w:rsidR="00472FA5" w:rsidRPr="00420D2E">
        <w:rPr>
          <w:rFonts w:asciiTheme="minorHAnsi" w:hAnsiTheme="minorHAnsi" w:cstheme="minorHAnsi"/>
        </w:rPr>
        <w:t>the County’s</w:t>
      </w:r>
      <w:r w:rsidRPr="00420D2E">
        <w:rPr>
          <w:rFonts w:asciiTheme="minorHAnsi" w:hAnsiTheme="minorHAnsi" w:cstheme="minorHAnsi"/>
        </w:rPr>
        <w:t xml:space="preserve"> on-going fiscal monitoring process. </w:t>
      </w:r>
      <w:r w:rsidR="00E523EF" w:rsidRPr="00420D2E">
        <w:rPr>
          <w:rFonts w:asciiTheme="minorHAnsi" w:hAnsiTheme="minorHAnsi" w:cstheme="minorHAnsi"/>
        </w:rPr>
        <w:t xml:space="preserve"> </w:t>
      </w:r>
      <w:r w:rsidRPr="00420D2E">
        <w:rPr>
          <w:rFonts w:asciiTheme="minorHAnsi" w:hAnsiTheme="minorHAnsi" w:cstheme="minorHAnsi"/>
        </w:rPr>
        <w:t>Using actual revenue and expenditures</w:t>
      </w:r>
      <w:r w:rsidR="00E523EF" w:rsidRPr="00420D2E">
        <w:rPr>
          <w:rFonts w:asciiTheme="minorHAnsi" w:hAnsiTheme="minorHAnsi" w:cstheme="minorHAnsi"/>
        </w:rPr>
        <w:t xml:space="preserve"> from the first six months of the fiscal year</w:t>
      </w:r>
      <w:r w:rsidRPr="00420D2E">
        <w:rPr>
          <w:rFonts w:asciiTheme="minorHAnsi" w:hAnsiTheme="minorHAnsi" w:cstheme="minorHAnsi"/>
        </w:rPr>
        <w:t xml:space="preserve">, </w:t>
      </w:r>
      <w:r w:rsidR="00472FA5" w:rsidRPr="00420D2E">
        <w:rPr>
          <w:rFonts w:asciiTheme="minorHAnsi" w:hAnsiTheme="minorHAnsi" w:cstheme="minorHAnsi"/>
        </w:rPr>
        <w:t>the</w:t>
      </w:r>
      <w:r w:rsidR="006D5BAE" w:rsidRPr="00420D2E">
        <w:rPr>
          <w:rFonts w:asciiTheme="minorHAnsi" w:hAnsiTheme="minorHAnsi" w:cstheme="minorHAnsi"/>
        </w:rPr>
        <w:t xml:space="preserve"> County Executive Office (</w:t>
      </w:r>
      <w:r w:rsidR="00472FA5" w:rsidRPr="00420D2E">
        <w:rPr>
          <w:rFonts w:asciiTheme="minorHAnsi" w:hAnsiTheme="minorHAnsi" w:cstheme="minorHAnsi"/>
        </w:rPr>
        <w:t>CEO</w:t>
      </w:r>
      <w:r w:rsidR="006D5BAE" w:rsidRPr="00420D2E">
        <w:rPr>
          <w:rFonts w:asciiTheme="minorHAnsi" w:hAnsiTheme="minorHAnsi" w:cstheme="minorHAnsi"/>
        </w:rPr>
        <w:t>)</w:t>
      </w:r>
      <w:r w:rsidR="00472FA5" w:rsidRPr="00420D2E">
        <w:rPr>
          <w:rFonts w:asciiTheme="minorHAnsi" w:hAnsiTheme="minorHAnsi" w:cstheme="minorHAnsi"/>
        </w:rPr>
        <w:t xml:space="preserve"> staff</w:t>
      </w:r>
      <w:r w:rsidRPr="00420D2E">
        <w:rPr>
          <w:rFonts w:asciiTheme="minorHAnsi" w:hAnsiTheme="minorHAnsi" w:cstheme="minorHAnsi"/>
        </w:rPr>
        <w:t xml:space="preserve"> work</w:t>
      </w:r>
      <w:r w:rsidR="00472FA5" w:rsidRPr="00420D2E">
        <w:rPr>
          <w:rFonts w:asciiTheme="minorHAnsi" w:hAnsiTheme="minorHAnsi" w:cstheme="minorHAnsi"/>
        </w:rPr>
        <w:t>s</w:t>
      </w:r>
      <w:r w:rsidRPr="00420D2E">
        <w:rPr>
          <w:rFonts w:asciiTheme="minorHAnsi" w:hAnsiTheme="minorHAnsi" w:cstheme="minorHAnsi"/>
        </w:rPr>
        <w:t xml:space="preserve"> with </w:t>
      </w:r>
      <w:r w:rsidR="00EA316B" w:rsidRPr="00420D2E">
        <w:rPr>
          <w:rFonts w:asciiTheme="minorHAnsi" w:hAnsiTheme="minorHAnsi" w:cstheme="minorHAnsi"/>
        </w:rPr>
        <w:t xml:space="preserve">the Auditor-Controller’s office and </w:t>
      </w:r>
      <w:r w:rsidRPr="00420D2E">
        <w:rPr>
          <w:rFonts w:asciiTheme="minorHAnsi" w:hAnsiTheme="minorHAnsi" w:cstheme="minorHAnsi"/>
        </w:rPr>
        <w:t>department</w:t>
      </w:r>
      <w:r w:rsidR="00002CF3">
        <w:rPr>
          <w:rFonts w:asciiTheme="minorHAnsi" w:hAnsiTheme="minorHAnsi" w:cstheme="minorHAnsi"/>
        </w:rPr>
        <w:t xml:space="preserve"> staff</w:t>
      </w:r>
      <w:r w:rsidRPr="00420D2E">
        <w:rPr>
          <w:rFonts w:asciiTheme="minorHAnsi" w:hAnsiTheme="minorHAnsi" w:cstheme="minorHAnsi"/>
        </w:rPr>
        <w:t xml:space="preserve"> to forecast revenues</w:t>
      </w:r>
      <w:r w:rsidR="008156B3" w:rsidRPr="00420D2E">
        <w:rPr>
          <w:rFonts w:asciiTheme="minorHAnsi" w:hAnsiTheme="minorHAnsi" w:cstheme="minorHAnsi"/>
        </w:rPr>
        <w:t xml:space="preserve"> and</w:t>
      </w:r>
      <w:r w:rsidRPr="00420D2E">
        <w:rPr>
          <w:rFonts w:asciiTheme="minorHAnsi" w:hAnsiTheme="minorHAnsi" w:cstheme="minorHAnsi"/>
        </w:rPr>
        <w:t xml:space="preserve"> ex</w:t>
      </w:r>
      <w:r w:rsidR="00AC2C59" w:rsidRPr="00420D2E">
        <w:rPr>
          <w:rFonts w:asciiTheme="minorHAnsi" w:hAnsiTheme="minorHAnsi" w:cstheme="minorHAnsi"/>
        </w:rPr>
        <w:t xml:space="preserve">penditures </w:t>
      </w:r>
      <w:r w:rsidRPr="00420D2E">
        <w:rPr>
          <w:rFonts w:asciiTheme="minorHAnsi" w:hAnsiTheme="minorHAnsi" w:cstheme="minorHAnsi"/>
        </w:rPr>
        <w:t>throu</w:t>
      </w:r>
      <w:r w:rsidR="00B35498" w:rsidRPr="00420D2E">
        <w:rPr>
          <w:rFonts w:asciiTheme="minorHAnsi" w:hAnsiTheme="minorHAnsi" w:cstheme="minorHAnsi"/>
        </w:rPr>
        <w:t xml:space="preserve">gh the end of the fiscal year. </w:t>
      </w:r>
      <w:r w:rsidRPr="00420D2E">
        <w:rPr>
          <w:rFonts w:asciiTheme="minorHAnsi" w:hAnsiTheme="minorHAnsi" w:cstheme="minorHAnsi"/>
        </w:rPr>
        <w:t xml:space="preserve">This review enables </w:t>
      </w:r>
      <w:r w:rsidR="00902A39" w:rsidRPr="00420D2E">
        <w:rPr>
          <w:rFonts w:asciiTheme="minorHAnsi" w:hAnsiTheme="minorHAnsi" w:cstheme="minorHAnsi"/>
        </w:rPr>
        <w:t>the County</w:t>
      </w:r>
      <w:r w:rsidRPr="00420D2E">
        <w:rPr>
          <w:rFonts w:asciiTheme="minorHAnsi" w:hAnsiTheme="minorHAnsi" w:cstheme="minorHAnsi"/>
        </w:rPr>
        <w:t xml:space="preserve"> to address any current-year budget </w:t>
      </w:r>
      <w:r w:rsidR="002A5FBC" w:rsidRPr="00420D2E">
        <w:rPr>
          <w:rFonts w:asciiTheme="minorHAnsi" w:hAnsiTheme="minorHAnsi" w:cstheme="minorHAnsi"/>
        </w:rPr>
        <w:t>concern</w:t>
      </w:r>
      <w:r w:rsidRPr="00420D2E">
        <w:rPr>
          <w:rFonts w:asciiTheme="minorHAnsi" w:hAnsiTheme="minorHAnsi" w:cstheme="minorHAnsi"/>
        </w:rPr>
        <w:t xml:space="preserve">s in a timely manner.  </w:t>
      </w:r>
      <w:r w:rsidR="007D4273" w:rsidRPr="00420D2E">
        <w:rPr>
          <w:rFonts w:asciiTheme="minorHAnsi" w:hAnsiTheme="minorHAnsi" w:cstheme="minorHAnsi"/>
        </w:rPr>
        <w:t>This process</w:t>
      </w:r>
      <w:r w:rsidRPr="00420D2E">
        <w:rPr>
          <w:rFonts w:asciiTheme="minorHAnsi" w:hAnsiTheme="minorHAnsi" w:cstheme="minorHAnsi"/>
        </w:rPr>
        <w:t xml:space="preserve"> also assists in </w:t>
      </w:r>
      <w:r w:rsidR="00D13E90" w:rsidRPr="00420D2E">
        <w:rPr>
          <w:rFonts w:asciiTheme="minorHAnsi" w:hAnsiTheme="minorHAnsi" w:cstheme="minorHAnsi"/>
        </w:rPr>
        <w:t xml:space="preserve">the preparation of </w:t>
      </w:r>
      <w:r w:rsidRPr="00420D2E">
        <w:rPr>
          <w:rFonts w:asciiTheme="minorHAnsi" w:hAnsiTheme="minorHAnsi" w:cstheme="minorHAnsi"/>
        </w:rPr>
        <w:t xml:space="preserve">the </w:t>
      </w:r>
      <w:r w:rsidR="009A0E54" w:rsidRPr="00420D2E">
        <w:rPr>
          <w:rFonts w:asciiTheme="minorHAnsi" w:hAnsiTheme="minorHAnsi" w:cstheme="minorHAnsi"/>
        </w:rPr>
        <w:t xml:space="preserve">FY </w:t>
      </w:r>
      <w:r w:rsidR="006B592E">
        <w:rPr>
          <w:rFonts w:asciiTheme="minorHAnsi" w:hAnsiTheme="minorHAnsi" w:cstheme="minorHAnsi"/>
        </w:rPr>
        <w:t>2021</w:t>
      </w:r>
      <w:r w:rsidR="00ED612E">
        <w:rPr>
          <w:rFonts w:asciiTheme="minorHAnsi" w:hAnsiTheme="minorHAnsi" w:cstheme="minorHAnsi"/>
        </w:rPr>
        <w:t>-</w:t>
      </w:r>
      <w:r w:rsidR="006B592E">
        <w:rPr>
          <w:rFonts w:asciiTheme="minorHAnsi" w:hAnsiTheme="minorHAnsi" w:cstheme="minorHAnsi"/>
        </w:rPr>
        <w:t>22</w:t>
      </w:r>
      <w:r w:rsidR="006B592E" w:rsidRPr="00420D2E">
        <w:rPr>
          <w:rFonts w:asciiTheme="minorHAnsi" w:hAnsiTheme="minorHAnsi" w:cstheme="minorHAnsi"/>
        </w:rPr>
        <w:t xml:space="preserve"> </w:t>
      </w:r>
      <w:r w:rsidR="009B796E" w:rsidRPr="00420D2E">
        <w:rPr>
          <w:rFonts w:asciiTheme="minorHAnsi" w:hAnsiTheme="minorHAnsi" w:cstheme="minorHAnsi"/>
        </w:rPr>
        <w:t>b</w:t>
      </w:r>
      <w:r w:rsidRPr="00420D2E">
        <w:rPr>
          <w:rFonts w:asciiTheme="minorHAnsi" w:hAnsiTheme="minorHAnsi" w:cstheme="minorHAnsi"/>
        </w:rPr>
        <w:t xml:space="preserve">udget, in part by providing an estimate of the </w:t>
      </w:r>
      <w:r w:rsidR="009A0E54" w:rsidRPr="00420D2E">
        <w:rPr>
          <w:rFonts w:asciiTheme="minorHAnsi" w:hAnsiTheme="minorHAnsi" w:cstheme="minorHAnsi"/>
        </w:rPr>
        <w:t xml:space="preserve">FY </w:t>
      </w:r>
      <w:r w:rsidR="006B592E">
        <w:rPr>
          <w:rFonts w:asciiTheme="minorHAnsi" w:hAnsiTheme="minorHAnsi" w:cstheme="minorHAnsi"/>
        </w:rPr>
        <w:t>2020</w:t>
      </w:r>
      <w:r w:rsidR="00ED612E">
        <w:rPr>
          <w:rFonts w:asciiTheme="minorHAnsi" w:hAnsiTheme="minorHAnsi" w:cstheme="minorHAnsi"/>
        </w:rPr>
        <w:t>-2</w:t>
      </w:r>
      <w:r w:rsidR="006B592E">
        <w:rPr>
          <w:rFonts w:asciiTheme="minorHAnsi" w:hAnsiTheme="minorHAnsi" w:cstheme="minorHAnsi"/>
        </w:rPr>
        <w:t>1</w:t>
      </w:r>
      <w:r w:rsidRPr="00420D2E">
        <w:rPr>
          <w:rFonts w:asciiTheme="minorHAnsi" w:hAnsiTheme="minorHAnsi" w:cstheme="minorHAnsi"/>
        </w:rPr>
        <w:t xml:space="preserve"> General Fund </w:t>
      </w:r>
      <w:r w:rsidR="008156B3" w:rsidRPr="00420D2E">
        <w:rPr>
          <w:rFonts w:asciiTheme="minorHAnsi" w:hAnsiTheme="minorHAnsi" w:cstheme="minorHAnsi"/>
        </w:rPr>
        <w:t xml:space="preserve">available </w:t>
      </w:r>
      <w:r w:rsidRPr="00420D2E">
        <w:rPr>
          <w:rFonts w:asciiTheme="minorHAnsi" w:hAnsiTheme="minorHAnsi" w:cstheme="minorHAnsi"/>
        </w:rPr>
        <w:t>ending fund balance</w:t>
      </w:r>
      <w:r w:rsidR="00024EE8" w:rsidRPr="00420D2E">
        <w:rPr>
          <w:rFonts w:asciiTheme="minorHAnsi" w:hAnsiTheme="minorHAnsi" w:cstheme="minorHAnsi"/>
        </w:rPr>
        <w:t xml:space="preserve"> for use in the FY </w:t>
      </w:r>
      <w:r w:rsidR="006B592E">
        <w:rPr>
          <w:rFonts w:asciiTheme="minorHAnsi" w:hAnsiTheme="minorHAnsi" w:cstheme="minorHAnsi"/>
        </w:rPr>
        <w:t>2021</w:t>
      </w:r>
      <w:r w:rsidR="00ED612E">
        <w:rPr>
          <w:rFonts w:asciiTheme="minorHAnsi" w:hAnsiTheme="minorHAnsi" w:cstheme="minorHAnsi"/>
        </w:rPr>
        <w:t>-</w:t>
      </w:r>
      <w:r w:rsidR="006B592E">
        <w:rPr>
          <w:rFonts w:asciiTheme="minorHAnsi" w:hAnsiTheme="minorHAnsi" w:cstheme="minorHAnsi"/>
        </w:rPr>
        <w:t>22</w:t>
      </w:r>
      <w:r w:rsidR="006B592E" w:rsidRPr="00420D2E">
        <w:rPr>
          <w:rFonts w:asciiTheme="minorHAnsi" w:hAnsiTheme="minorHAnsi" w:cstheme="minorHAnsi"/>
        </w:rPr>
        <w:t xml:space="preserve"> </w:t>
      </w:r>
      <w:r w:rsidR="00024EE8" w:rsidRPr="00420D2E">
        <w:rPr>
          <w:rFonts w:asciiTheme="minorHAnsi" w:hAnsiTheme="minorHAnsi" w:cstheme="minorHAnsi"/>
        </w:rPr>
        <w:t>budget process</w:t>
      </w:r>
      <w:r w:rsidRPr="00420D2E">
        <w:rPr>
          <w:rFonts w:asciiTheme="minorHAnsi" w:hAnsiTheme="minorHAnsi" w:cstheme="minorHAnsi"/>
        </w:rPr>
        <w:t xml:space="preserve">.  </w:t>
      </w:r>
      <w:r w:rsidR="000E0843" w:rsidRPr="00420D2E">
        <w:rPr>
          <w:rFonts w:asciiTheme="minorHAnsi" w:hAnsiTheme="minorHAnsi" w:cstheme="minorHAnsi"/>
        </w:rPr>
        <w:t>As in prior years, t</w:t>
      </w:r>
      <w:r w:rsidRPr="00420D2E">
        <w:rPr>
          <w:rFonts w:asciiTheme="minorHAnsi" w:hAnsiTheme="minorHAnsi" w:cstheme="minorHAnsi"/>
        </w:rPr>
        <w:t>he current year ending fund balance becomes the beginning fund balance for the next fiscal year.</w:t>
      </w:r>
      <w:r w:rsidR="00970BEB" w:rsidRPr="00420D2E">
        <w:rPr>
          <w:rFonts w:asciiTheme="minorHAnsi" w:hAnsiTheme="minorHAnsi" w:cstheme="minorHAnsi"/>
        </w:rPr>
        <w:t xml:space="preserve">  </w:t>
      </w:r>
    </w:p>
    <w:p w14:paraId="37B6AFF5" w14:textId="2677BB6A" w:rsidR="00A61FD8" w:rsidRPr="00420D2E" w:rsidRDefault="003750BC" w:rsidP="004D7BD6">
      <w:pPr>
        <w:spacing w:after="120"/>
        <w:rPr>
          <w:rFonts w:asciiTheme="minorHAnsi" w:hAnsiTheme="minorHAnsi" w:cstheme="minorHAnsi"/>
        </w:rPr>
      </w:pPr>
      <w:r w:rsidRPr="00420D2E">
        <w:rPr>
          <w:rFonts w:asciiTheme="minorHAnsi" w:hAnsiTheme="minorHAnsi" w:cstheme="minorHAnsi"/>
        </w:rPr>
        <w:t xml:space="preserve">The property tax estimates for FY </w:t>
      </w:r>
      <w:r w:rsidR="006B592E">
        <w:rPr>
          <w:rFonts w:asciiTheme="minorHAnsi" w:hAnsiTheme="minorHAnsi" w:cstheme="minorHAnsi"/>
        </w:rPr>
        <w:t>2020</w:t>
      </w:r>
      <w:r w:rsidR="00ED612E">
        <w:rPr>
          <w:rFonts w:asciiTheme="minorHAnsi" w:hAnsiTheme="minorHAnsi" w:cstheme="minorHAnsi"/>
        </w:rPr>
        <w:t>-2</w:t>
      </w:r>
      <w:r w:rsidR="006B592E">
        <w:rPr>
          <w:rFonts w:asciiTheme="minorHAnsi" w:hAnsiTheme="minorHAnsi" w:cstheme="minorHAnsi"/>
        </w:rPr>
        <w:t>1</w:t>
      </w:r>
      <w:r w:rsidRPr="00420D2E">
        <w:rPr>
          <w:rFonts w:asciiTheme="minorHAnsi" w:hAnsiTheme="minorHAnsi" w:cstheme="minorHAnsi"/>
        </w:rPr>
        <w:t xml:space="preserve"> </w:t>
      </w:r>
      <w:r w:rsidR="00ED612E">
        <w:rPr>
          <w:rFonts w:asciiTheme="minorHAnsi" w:hAnsiTheme="minorHAnsi" w:cstheme="minorHAnsi"/>
        </w:rPr>
        <w:t>have been updated to reflect the final assessed roll that was submitted by the Assessor</w:t>
      </w:r>
      <w:r w:rsidRPr="00420D2E">
        <w:rPr>
          <w:rFonts w:asciiTheme="minorHAnsi" w:hAnsiTheme="minorHAnsi" w:cstheme="minorHAnsi"/>
        </w:rPr>
        <w:t>.</w:t>
      </w:r>
      <w:r w:rsidR="00ED612E">
        <w:rPr>
          <w:rFonts w:asciiTheme="minorHAnsi" w:hAnsiTheme="minorHAnsi" w:cstheme="minorHAnsi"/>
        </w:rPr>
        <w:t xml:space="preserve">  Actual property tax receipts are estimated to exceed budget by $</w:t>
      </w:r>
      <w:r w:rsidR="00592547">
        <w:rPr>
          <w:rFonts w:asciiTheme="minorHAnsi" w:hAnsiTheme="minorHAnsi" w:cstheme="minorHAnsi"/>
        </w:rPr>
        <w:t>5</w:t>
      </w:r>
      <w:r w:rsidR="00ED612E">
        <w:rPr>
          <w:rFonts w:asciiTheme="minorHAnsi" w:hAnsiTheme="minorHAnsi" w:cstheme="minorHAnsi"/>
        </w:rPr>
        <w:t>.</w:t>
      </w:r>
      <w:r w:rsidR="00592547">
        <w:rPr>
          <w:rFonts w:asciiTheme="minorHAnsi" w:hAnsiTheme="minorHAnsi" w:cstheme="minorHAnsi"/>
        </w:rPr>
        <w:t>3</w:t>
      </w:r>
      <w:r w:rsidR="00ED612E">
        <w:rPr>
          <w:rFonts w:asciiTheme="minorHAnsi" w:hAnsiTheme="minorHAnsi" w:cstheme="minorHAnsi"/>
        </w:rPr>
        <w:t xml:space="preserve"> million</w:t>
      </w:r>
      <w:r w:rsidR="00592547">
        <w:rPr>
          <w:rFonts w:asciiTheme="minorHAnsi" w:hAnsiTheme="minorHAnsi" w:cstheme="minorHAnsi"/>
        </w:rPr>
        <w:t xml:space="preserve">. </w:t>
      </w:r>
      <w:r w:rsidR="0069778F" w:rsidRPr="00420D2E">
        <w:rPr>
          <w:rFonts w:asciiTheme="minorHAnsi" w:hAnsiTheme="minorHAnsi" w:cstheme="minorHAnsi"/>
        </w:rPr>
        <w:t xml:space="preserve">The </w:t>
      </w:r>
      <w:r w:rsidR="00902A39" w:rsidRPr="00420D2E">
        <w:rPr>
          <w:rFonts w:asciiTheme="minorHAnsi" w:hAnsiTheme="minorHAnsi" w:cstheme="minorHAnsi"/>
        </w:rPr>
        <w:t xml:space="preserve">available fund balance in the </w:t>
      </w:r>
      <w:r w:rsidR="0069778F" w:rsidRPr="00420D2E">
        <w:rPr>
          <w:rFonts w:asciiTheme="minorHAnsi" w:hAnsiTheme="minorHAnsi" w:cstheme="minorHAnsi"/>
        </w:rPr>
        <w:t xml:space="preserve">General Fund is sufficient to sustain the </w:t>
      </w:r>
      <w:r w:rsidR="00F471FC" w:rsidRPr="00420D2E">
        <w:rPr>
          <w:rFonts w:asciiTheme="minorHAnsi" w:hAnsiTheme="minorHAnsi" w:cstheme="minorHAnsi"/>
        </w:rPr>
        <w:t>projected</w:t>
      </w:r>
      <w:r w:rsidR="0069778F" w:rsidRPr="00420D2E">
        <w:rPr>
          <w:rFonts w:asciiTheme="minorHAnsi" w:hAnsiTheme="minorHAnsi" w:cstheme="minorHAnsi"/>
        </w:rPr>
        <w:t xml:space="preserve"> level </w:t>
      </w:r>
      <w:r w:rsidR="009E2B75" w:rsidRPr="00420D2E">
        <w:rPr>
          <w:rFonts w:asciiTheme="minorHAnsi" w:hAnsiTheme="minorHAnsi" w:cstheme="minorHAnsi"/>
        </w:rPr>
        <w:t xml:space="preserve">of </w:t>
      </w:r>
      <w:r w:rsidR="008156B3" w:rsidRPr="00420D2E">
        <w:rPr>
          <w:rFonts w:asciiTheme="minorHAnsi" w:hAnsiTheme="minorHAnsi" w:cstheme="minorHAnsi"/>
        </w:rPr>
        <w:t>expenditures</w:t>
      </w:r>
      <w:r w:rsidR="00F471FC" w:rsidRPr="00420D2E">
        <w:rPr>
          <w:rFonts w:asciiTheme="minorHAnsi" w:hAnsiTheme="minorHAnsi" w:cstheme="minorHAnsi"/>
        </w:rPr>
        <w:t xml:space="preserve"> for the current fiscal year.  </w:t>
      </w:r>
      <w:r w:rsidR="00245D31" w:rsidRPr="00420D2E">
        <w:rPr>
          <w:rFonts w:asciiTheme="minorHAnsi" w:hAnsiTheme="minorHAnsi" w:cstheme="minorHAnsi"/>
        </w:rPr>
        <w:t>As always,</w:t>
      </w:r>
      <w:r w:rsidR="00F471FC" w:rsidRPr="00420D2E">
        <w:rPr>
          <w:rFonts w:asciiTheme="minorHAnsi" w:hAnsiTheme="minorHAnsi" w:cstheme="minorHAnsi"/>
        </w:rPr>
        <w:t xml:space="preserve"> we continually monitor revenue trends and </w:t>
      </w:r>
      <w:r w:rsidR="00A1686B">
        <w:rPr>
          <w:rFonts w:asciiTheme="minorHAnsi" w:hAnsiTheme="minorHAnsi" w:cstheme="minorHAnsi"/>
        </w:rPr>
        <w:t>evaluate</w:t>
      </w:r>
      <w:r w:rsidR="00F471FC" w:rsidRPr="00420D2E">
        <w:rPr>
          <w:rFonts w:asciiTheme="minorHAnsi" w:hAnsiTheme="minorHAnsi" w:cstheme="minorHAnsi"/>
        </w:rPr>
        <w:t xml:space="preserve"> the impact that existing or proposed expenditure increases will have on </w:t>
      </w:r>
      <w:r w:rsidR="00586180" w:rsidRPr="00420D2E">
        <w:rPr>
          <w:rFonts w:asciiTheme="minorHAnsi" w:hAnsiTheme="minorHAnsi" w:cstheme="minorHAnsi"/>
        </w:rPr>
        <w:t xml:space="preserve">the </w:t>
      </w:r>
      <w:r w:rsidR="00F471FC" w:rsidRPr="00420D2E">
        <w:rPr>
          <w:rFonts w:asciiTheme="minorHAnsi" w:hAnsiTheme="minorHAnsi" w:cstheme="minorHAnsi"/>
        </w:rPr>
        <w:t xml:space="preserve">fund balance now and into the future.  </w:t>
      </w:r>
    </w:p>
    <w:p w14:paraId="527287F3" w14:textId="77777777" w:rsidR="00A61FD8" w:rsidRPr="00D96CBA" w:rsidRDefault="00A61FD8" w:rsidP="004D7BD6">
      <w:pPr>
        <w:spacing w:after="120"/>
        <w:rPr>
          <w:rFonts w:asciiTheme="minorHAnsi" w:hAnsiTheme="minorHAnsi" w:cstheme="minorHAnsi"/>
          <w:b/>
          <w:u w:val="single"/>
        </w:rPr>
      </w:pPr>
      <w:r w:rsidRPr="00D96CBA">
        <w:rPr>
          <w:rFonts w:asciiTheme="minorHAnsi" w:hAnsiTheme="minorHAnsi" w:cstheme="minorHAnsi"/>
          <w:b/>
          <w:u w:val="single"/>
        </w:rPr>
        <w:t>General Fund Current Year Fiscal Status</w:t>
      </w:r>
    </w:p>
    <w:p w14:paraId="504C908F" w14:textId="1CF515E5" w:rsidR="00B05586" w:rsidRDefault="00A61FD8" w:rsidP="00ED612E">
      <w:pPr>
        <w:spacing w:after="120"/>
        <w:rPr>
          <w:rFonts w:asciiTheme="minorHAnsi" w:hAnsiTheme="minorHAnsi" w:cstheme="minorHAnsi"/>
        </w:rPr>
      </w:pPr>
      <w:r w:rsidRPr="00420D2E">
        <w:rPr>
          <w:rFonts w:asciiTheme="minorHAnsi" w:hAnsiTheme="minorHAnsi" w:cstheme="minorHAnsi"/>
        </w:rPr>
        <w:t xml:space="preserve">Using the most current information available, we believe that the General Fund will likely </w:t>
      </w:r>
      <w:r w:rsidR="00413E32" w:rsidRPr="00420D2E">
        <w:rPr>
          <w:rFonts w:asciiTheme="minorHAnsi" w:hAnsiTheme="minorHAnsi" w:cstheme="minorHAnsi"/>
        </w:rPr>
        <w:t xml:space="preserve">end FY </w:t>
      </w:r>
      <w:r w:rsidR="00ED612E">
        <w:rPr>
          <w:rFonts w:asciiTheme="minorHAnsi" w:hAnsiTheme="minorHAnsi" w:cstheme="minorHAnsi"/>
        </w:rPr>
        <w:t>20</w:t>
      </w:r>
      <w:r w:rsidR="006B592E">
        <w:rPr>
          <w:rFonts w:asciiTheme="minorHAnsi" w:hAnsiTheme="minorHAnsi" w:cstheme="minorHAnsi"/>
        </w:rPr>
        <w:t>20</w:t>
      </w:r>
      <w:r w:rsidR="00ED612E">
        <w:rPr>
          <w:rFonts w:asciiTheme="minorHAnsi" w:hAnsiTheme="minorHAnsi" w:cstheme="minorHAnsi"/>
        </w:rPr>
        <w:t>-2</w:t>
      </w:r>
      <w:r w:rsidR="006B592E">
        <w:rPr>
          <w:rFonts w:asciiTheme="minorHAnsi" w:hAnsiTheme="minorHAnsi" w:cstheme="minorHAnsi"/>
        </w:rPr>
        <w:t>1</w:t>
      </w:r>
      <w:r w:rsidRPr="00420D2E">
        <w:rPr>
          <w:rFonts w:asciiTheme="minorHAnsi" w:hAnsiTheme="minorHAnsi" w:cstheme="minorHAnsi"/>
        </w:rPr>
        <w:t xml:space="preserve"> with an unassigned ending </w:t>
      </w:r>
      <w:r w:rsidR="005C00F4" w:rsidRPr="00420D2E">
        <w:rPr>
          <w:rFonts w:asciiTheme="minorHAnsi" w:hAnsiTheme="minorHAnsi" w:cstheme="minorHAnsi"/>
        </w:rPr>
        <w:t>F</w:t>
      </w:r>
      <w:r w:rsidR="00F85D83" w:rsidRPr="00420D2E">
        <w:rPr>
          <w:rFonts w:asciiTheme="minorHAnsi" w:hAnsiTheme="minorHAnsi" w:cstheme="minorHAnsi"/>
        </w:rPr>
        <w:t xml:space="preserve">und </w:t>
      </w:r>
      <w:r w:rsidR="005C00F4" w:rsidRPr="00420D2E">
        <w:rPr>
          <w:rFonts w:asciiTheme="minorHAnsi" w:hAnsiTheme="minorHAnsi" w:cstheme="minorHAnsi"/>
        </w:rPr>
        <w:t>B</w:t>
      </w:r>
      <w:r w:rsidRPr="00420D2E">
        <w:rPr>
          <w:rFonts w:asciiTheme="minorHAnsi" w:hAnsiTheme="minorHAnsi" w:cstheme="minorHAnsi"/>
        </w:rPr>
        <w:t>alance of approximately $</w:t>
      </w:r>
      <w:r w:rsidR="006B592E">
        <w:rPr>
          <w:rFonts w:asciiTheme="minorHAnsi" w:hAnsiTheme="minorHAnsi" w:cstheme="minorHAnsi"/>
        </w:rPr>
        <w:t>1</w:t>
      </w:r>
      <w:r w:rsidR="00073F1B">
        <w:rPr>
          <w:rFonts w:asciiTheme="minorHAnsi" w:hAnsiTheme="minorHAnsi" w:cstheme="minorHAnsi"/>
        </w:rPr>
        <w:t>3</w:t>
      </w:r>
      <w:r w:rsidR="00D034CF">
        <w:rPr>
          <w:rFonts w:asciiTheme="minorHAnsi" w:hAnsiTheme="minorHAnsi" w:cstheme="minorHAnsi"/>
        </w:rPr>
        <w:t>.</w:t>
      </w:r>
      <w:r w:rsidR="00EE1A25">
        <w:rPr>
          <w:rFonts w:asciiTheme="minorHAnsi" w:hAnsiTheme="minorHAnsi" w:cstheme="minorHAnsi"/>
        </w:rPr>
        <w:t>9</w:t>
      </w:r>
      <w:r w:rsidR="003750BC" w:rsidRPr="00420D2E">
        <w:rPr>
          <w:rFonts w:asciiTheme="minorHAnsi" w:hAnsiTheme="minorHAnsi" w:cstheme="minorHAnsi"/>
        </w:rPr>
        <w:t xml:space="preserve"> </w:t>
      </w:r>
      <w:r w:rsidR="005C00F4" w:rsidRPr="00420D2E">
        <w:rPr>
          <w:rFonts w:asciiTheme="minorHAnsi" w:hAnsiTheme="minorHAnsi" w:cstheme="minorHAnsi"/>
        </w:rPr>
        <w:t xml:space="preserve">million. </w:t>
      </w:r>
      <w:r w:rsidR="00ED612E">
        <w:rPr>
          <w:rFonts w:asciiTheme="minorHAnsi" w:hAnsiTheme="minorHAnsi" w:cstheme="minorHAnsi"/>
        </w:rPr>
        <w:t>Consistent with the methodology used as part of the 5-year forecasts, staff is projecting that $</w:t>
      </w:r>
      <w:r w:rsidR="006B592E">
        <w:rPr>
          <w:rFonts w:asciiTheme="minorHAnsi" w:hAnsiTheme="minorHAnsi" w:cstheme="minorHAnsi"/>
        </w:rPr>
        <w:t>9</w:t>
      </w:r>
      <w:r w:rsidR="00ED612E">
        <w:rPr>
          <w:rFonts w:asciiTheme="minorHAnsi" w:hAnsiTheme="minorHAnsi" w:cstheme="minorHAnsi"/>
        </w:rPr>
        <w:t>.</w:t>
      </w:r>
      <w:r w:rsidR="006B592E">
        <w:rPr>
          <w:rFonts w:asciiTheme="minorHAnsi" w:hAnsiTheme="minorHAnsi" w:cstheme="minorHAnsi"/>
        </w:rPr>
        <w:t>3</w:t>
      </w:r>
      <w:r w:rsidR="00ED612E">
        <w:rPr>
          <w:rFonts w:asciiTheme="minorHAnsi" w:hAnsiTheme="minorHAnsi" w:cstheme="minorHAnsi"/>
        </w:rPr>
        <w:t xml:space="preserve"> million will be utilized to balance the FY </w:t>
      </w:r>
      <w:r w:rsidR="006B592E">
        <w:rPr>
          <w:rFonts w:asciiTheme="minorHAnsi" w:hAnsiTheme="minorHAnsi" w:cstheme="minorHAnsi"/>
        </w:rPr>
        <w:t>2021</w:t>
      </w:r>
      <w:r w:rsidR="00ED612E">
        <w:rPr>
          <w:rFonts w:asciiTheme="minorHAnsi" w:hAnsiTheme="minorHAnsi" w:cstheme="minorHAnsi"/>
        </w:rPr>
        <w:t>-</w:t>
      </w:r>
      <w:r w:rsidR="006B592E">
        <w:rPr>
          <w:rFonts w:asciiTheme="minorHAnsi" w:hAnsiTheme="minorHAnsi" w:cstheme="minorHAnsi"/>
        </w:rPr>
        <w:t xml:space="preserve">22 </w:t>
      </w:r>
      <w:r w:rsidR="00ED612E">
        <w:rPr>
          <w:rFonts w:asciiTheme="minorHAnsi" w:hAnsiTheme="minorHAnsi" w:cstheme="minorHAnsi"/>
        </w:rPr>
        <w:t>recommended budget.</w:t>
      </w:r>
    </w:p>
    <w:p w14:paraId="381C0A24" w14:textId="3F5F71D5" w:rsidR="004D7BD6" w:rsidRDefault="004D7BD6" w:rsidP="004D7BD6">
      <w:pPr>
        <w:spacing w:after="120"/>
        <w:rPr>
          <w:rFonts w:asciiTheme="minorHAnsi" w:hAnsiTheme="minorHAnsi" w:cstheme="minorHAnsi"/>
        </w:rPr>
      </w:pPr>
      <w:r>
        <w:rPr>
          <w:rFonts w:asciiTheme="minorHAnsi" w:hAnsiTheme="minorHAnsi" w:cstheme="minorHAnsi"/>
        </w:rPr>
        <w:t xml:space="preserve">Consistent with Board Policy, the budget and estimates shown in the table do not reflect any revenue for Excess ERAF, which will be appropriated to </w:t>
      </w:r>
      <w:r w:rsidR="00592547">
        <w:rPr>
          <w:rFonts w:asciiTheme="minorHAnsi" w:hAnsiTheme="minorHAnsi" w:cstheme="minorHAnsi"/>
        </w:rPr>
        <w:t>the Accumulated Capital Outlay</w:t>
      </w:r>
      <w:r>
        <w:rPr>
          <w:rFonts w:asciiTheme="minorHAnsi" w:hAnsiTheme="minorHAnsi" w:cstheme="minorHAnsi"/>
        </w:rPr>
        <w:t xml:space="preserve"> as part of the year-end process.  This estimate also assumes that the remaining balance in contingency will be fully utilized.</w:t>
      </w:r>
    </w:p>
    <w:p w14:paraId="4FE3320A" w14:textId="2E8EABC0" w:rsidR="00420D2E" w:rsidRDefault="00420D2E" w:rsidP="004D7BD6">
      <w:pPr>
        <w:spacing w:after="120"/>
        <w:rPr>
          <w:rFonts w:asciiTheme="minorHAnsi" w:hAnsiTheme="minorHAnsi" w:cstheme="minorHAnsi"/>
        </w:rPr>
      </w:pPr>
    </w:p>
    <w:p w14:paraId="0E7C7A2D" w14:textId="77777777" w:rsidR="006014C9" w:rsidRDefault="006014C9" w:rsidP="004D7BD6">
      <w:pPr>
        <w:spacing w:after="120"/>
        <w:jc w:val="center"/>
        <w:rPr>
          <w:rFonts w:asciiTheme="minorHAnsi" w:hAnsiTheme="minorHAnsi" w:cstheme="minorHAnsi"/>
        </w:rPr>
      </w:pPr>
    </w:p>
    <w:p w14:paraId="3D2B2B7F" w14:textId="2DB1865D" w:rsidR="00420D2E" w:rsidRDefault="00420D2E" w:rsidP="004D7BD6">
      <w:pPr>
        <w:spacing w:after="120"/>
        <w:jc w:val="center"/>
        <w:rPr>
          <w:rFonts w:asciiTheme="minorHAnsi" w:hAnsiTheme="minorHAnsi" w:cstheme="minorHAnsi"/>
        </w:rPr>
      </w:pPr>
      <w:r w:rsidRPr="00420D2E">
        <w:rPr>
          <w:rFonts w:asciiTheme="minorHAnsi" w:hAnsiTheme="minorHAnsi" w:cstheme="minorHAnsi"/>
        </w:rPr>
        <w:lastRenderedPageBreak/>
        <w:t>GENERAL FUND BUDGET</w:t>
      </w:r>
    </w:p>
    <w:tbl>
      <w:tblPr>
        <w:tblW w:w="10060" w:type="dxa"/>
        <w:tblLook w:val="04A0" w:firstRow="1" w:lastRow="0" w:firstColumn="1" w:lastColumn="0" w:noHBand="0" w:noVBand="1"/>
      </w:tblPr>
      <w:tblGrid>
        <w:gridCol w:w="3240"/>
        <w:gridCol w:w="2230"/>
        <w:gridCol w:w="2340"/>
        <w:gridCol w:w="2250"/>
      </w:tblGrid>
      <w:tr w:rsidR="004507FC" w14:paraId="7CAE80ED" w14:textId="77777777" w:rsidTr="004507FC">
        <w:trPr>
          <w:trHeight w:val="615"/>
        </w:trPr>
        <w:tc>
          <w:tcPr>
            <w:tcW w:w="3240" w:type="dxa"/>
            <w:tcBorders>
              <w:top w:val="nil"/>
              <w:left w:val="nil"/>
              <w:bottom w:val="nil"/>
              <w:right w:val="nil"/>
            </w:tcBorders>
            <w:shd w:val="clear" w:color="auto" w:fill="auto"/>
            <w:noWrap/>
            <w:vAlign w:val="bottom"/>
            <w:hideMark/>
          </w:tcPr>
          <w:p w14:paraId="7790F3D7" w14:textId="77777777" w:rsidR="004507FC" w:rsidRDefault="004507FC">
            <w:pPr>
              <w:rPr>
                <w:sz w:val="20"/>
                <w:szCs w:val="20"/>
              </w:rPr>
            </w:pPr>
            <w:bookmarkStart w:id="0" w:name="_GoBack"/>
            <w:bookmarkEnd w:id="0"/>
          </w:p>
        </w:tc>
        <w:tc>
          <w:tcPr>
            <w:tcW w:w="2230" w:type="dxa"/>
            <w:tcBorders>
              <w:top w:val="nil"/>
              <w:left w:val="nil"/>
              <w:bottom w:val="nil"/>
              <w:right w:val="nil"/>
            </w:tcBorders>
            <w:shd w:val="clear" w:color="auto" w:fill="auto"/>
            <w:vAlign w:val="bottom"/>
            <w:hideMark/>
          </w:tcPr>
          <w:p w14:paraId="1DD68B3F" w14:textId="77777777" w:rsidR="004507FC" w:rsidRDefault="004507FC" w:rsidP="004507FC">
            <w:pPr>
              <w:jc w:val="center"/>
              <w:rPr>
                <w:rFonts w:ascii="Calibri" w:hAnsi="Calibri" w:cs="Calibri"/>
                <w:b/>
                <w:bCs/>
                <w:color w:val="000000"/>
                <w:sz w:val="22"/>
                <w:szCs w:val="22"/>
              </w:rPr>
            </w:pPr>
            <w:r>
              <w:rPr>
                <w:rFonts w:ascii="Calibri" w:hAnsi="Calibri" w:cs="Calibri"/>
                <w:b/>
                <w:bCs/>
                <w:color w:val="000000"/>
                <w:sz w:val="22"/>
                <w:szCs w:val="22"/>
              </w:rPr>
              <w:t xml:space="preserve">FY 2020-21 </w:t>
            </w:r>
          </w:p>
          <w:p w14:paraId="0EE781DC" w14:textId="5E37CD94" w:rsidR="004507FC" w:rsidRDefault="004507FC" w:rsidP="004507FC">
            <w:pPr>
              <w:jc w:val="center"/>
              <w:rPr>
                <w:rFonts w:ascii="Calibri" w:hAnsi="Calibri" w:cs="Calibri"/>
                <w:b/>
                <w:bCs/>
                <w:color w:val="000000"/>
                <w:sz w:val="22"/>
                <w:szCs w:val="22"/>
              </w:rPr>
            </w:pPr>
            <w:r>
              <w:rPr>
                <w:rFonts w:ascii="Calibri" w:hAnsi="Calibri" w:cs="Calibri"/>
                <w:b/>
                <w:bCs/>
                <w:color w:val="000000"/>
                <w:sz w:val="22"/>
                <w:szCs w:val="22"/>
              </w:rPr>
              <w:t>Adjusted Budget</w:t>
            </w:r>
          </w:p>
        </w:tc>
        <w:tc>
          <w:tcPr>
            <w:tcW w:w="2340" w:type="dxa"/>
            <w:tcBorders>
              <w:top w:val="nil"/>
              <w:left w:val="nil"/>
              <w:bottom w:val="nil"/>
              <w:right w:val="nil"/>
            </w:tcBorders>
            <w:shd w:val="clear" w:color="auto" w:fill="auto"/>
            <w:vAlign w:val="bottom"/>
            <w:hideMark/>
          </w:tcPr>
          <w:p w14:paraId="56C1A730" w14:textId="77777777" w:rsidR="004507FC" w:rsidRDefault="004507FC" w:rsidP="004507FC">
            <w:pPr>
              <w:jc w:val="center"/>
              <w:rPr>
                <w:rFonts w:ascii="Calibri" w:hAnsi="Calibri" w:cs="Calibri"/>
                <w:b/>
                <w:bCs/>
                <w:color w:val="000000"/>
                <w:sz w:val="22"/>
                <w:szCs w:val="22"/>
              </w:rPr>
            </w:pPr>
            <w:r>
              <w:rPr>
                <w:rFonts w:ascii="Calibri" w:hAnsi="Calibri" w:cs="Calibri"/>
                <w:b/>
                <w:bCs/>
                <w:color w:val="000000"/>
                <w:sz w:val="22"/>
                <w:szCs w:val="22"/>
              </w:rPr>
              <w:t xml:space="preserve">FY 2020-21                </w:t>
            </w:r>
          </w:p>
          <w:p w14:paraId="626D870C" w14:textId="4056A340" w:rsidR="004507FC" w:rsidRDefault="004507FC" w:rsidP="004507FC">
            <w:pPr>
              <w:jc w:val="center"/>
              <w:rPr>
                <w:rFonts w:ascii="Calibri" w:hAnsi="Calibri" w:cs="Calibri"/>
                <w:b/>
                <w:bCs/>
                <w:color w:val="000000"/>
                <w:sz w:val="22"/>
                <w:szCs w:val="22"/>
              </w:rPr>
            </w:pPr>
            <w:r>
              <w:rPr>
                <w:rFonts w:ascii="Calibri" w:hAnsi="Calibri" w:cs="Calibri"/>
                <w:b/>
                <w:bCs/>
                <w:color w:val="000000"/>
                <w:sz w:val="22"/>
                <w:szCs w:val="22"/>
              </w:rPr>
              <w:t>Six Month Estimate</w:t>
            </w:r>
          </w:p>
        </w:tc>
        <w:tc>
          <w:tcPr>
            <w:tcW w:w="2250" w:type="dxa"/>
            <w:tcBorders>
              <w:top w:val="nil"/>
              <w:left w:val="nil"/>
              <w:bottom w:val="nil"/>
              <w:right w:val="nil"/>
            </w:tcBorders>
            <w:shd w:val="clear" w:color="auto" w:fill="auto"/>
            <w:vAlign w:val="bottom"/>
            <w:hideMark/>
          </w:tcPr>
          <w:p w14:paraId="1EE2C50F" w14:textId="36B90F61" w:rsidR="004507FC" w:rsidRDefault="004507FC" w:rsidP="004507FC">
            <w:pPr>
              <w:jc w:val="center"/>
              <w:rPr>
                <w:rFonts w:ascii="Calibri" w:hAnsi="Calibri" w:cs="Calibri"/>
                <w:b/>
                <w:bCs/>
                <w:color w:val="000000"/>
                <w:sz w:val="22"/>
                <w:szCs w:val="22"/>
              </w:rPr>
            </w:pPr>
            <w:r>
              <w:rPr>
                <w:rFonts w:ascii="Calibri" w:hAnsi="Calibri" w:cs="Calibri"/>
                <w:b/>
                <w:bCs/>
                <w:color w:val="000000"/>
                <w:sz w:val="22"/>
                <w:szCs w:val="22"/>
              </w:rPr>
              <w:t>Difference</w:t>
            </w:r>
          </w:p>
        </w:tc>
      </w:tr>
      <w:tr w:rsidR="004507FC" w14:paraId="02824FA4" w14:textId="77777777" w:rsidTr="004507FC">
        <w:trPr>
          <w:trHeight w:val="300"/>
        </w:trPr>
        <w:tc>
          <w:tcPr>
            <w:tcW w:w="3240" w:type="dxa"/>
            <w:tcBorders>
              <w:top w:val="nil"/>
              <w:left w:val="nil"/>
              <w:bottom w:val="nil"/>
              <w:right w:val="nil"/>
            </w:tcBorders>
            <w:shd w:val="clear" w:color="auto" w:fill="auto"/>
            <w:vAlign w:val="bottom"/>
            <w:hideMark/>
          </w:tcPr>
          <w:p w14:paraId="4D94F1F1" w14:textId="77777777" w:rsidR="004507FC" w:rsidRDefault="004507FC">
            <w:pPr>
              <w:rPr>
                <w:rFonts w:ascii="Calibri" w:hAnsi="Calibri" w:cs="Calibri"/>
                <w:b/>
                <w:bCs/>
                <w:color w:val="000000"/>
                <w:sz w:val="22"/>
                <w:szCs w:val="22"/>
              </w:rPr>
            </w:pPr>
            <w:r>
              <w:rPr>
                <w:rFonts w:ascii="Calibri" w:hAnsi="Calibri" w:cs="Calibri"/>
                <w:b/>
                <w:bCs/>
                <w:color w:val="000000"/>
                <w:sz w:val="22"/>
                <w:szCs w:val="22"/>
              </w:rPr>
              <w:t>Resources</w:t>
            </w:r>
          </w:p>
        </w:tc>
        <w:tc>
          <w:tcPr>
            <w:tcW w:w="2230" w:type="dxa"/>
            <w:tcBorders>
              <w:top w:val="nil"/>
              <w:left w:val="nil"/>
              <w:bottom w:val="nil"/>
              <w:right w:val="nil"/>
            </w:tcBorders>
            <w:shd w:val="clear" w:color="auto" w:fill="auto"/>
            <w:noWrap/>
            <w:vAlign w:val="bottom"/>
            <w:hideMark/>
          </w:tcPr>
          <w:p w14:paraId="66128F7A" w14:textId="77777777" w:rsidR="004507FC" w:rsidRDefault="004507FC" w:rsidP="004507FC">
            <w:pPr>
              <w:jc w:val="center"/>
              <w:rPr>
                <w:rFonts w:ascii="Calibri" w:hAnsi="Calibri" w:cs="Calibri"/>
                <w:b/>
                <w:bCs/>
                <w:color w:val="000000"/>
                <w:sz w:val="22"/>
                <w:szCs w:val="22"/>
              </w:rPr>
            </w:pPr>
          </w:p>
        </w:tc>
        <w:tc>
          <w:tcPr>
            <w:tcW w:w="2340" w:type="dxa"/>
            <w:tcBorders>
              <w:top w:val="nil"/>
              <w:left w:val="nil"/>
              <w:bottom w:val="nil"/>
              <w:right w:val="nil"/>
            </w:tcBorders>
            <w:shd w:val="clear" w:color="auto" w:fill="auto"/>
            <w:noWrap/>
            <w:vAlign w:val="bottom"/>
            <w:hideMark/>
          </w:tcPr>
          <w:p w14:paraId="71172EDB" w14:textId="77777777" w:rsidR="004507FC" w:rsidRDefault="004507FC" w:rsidP="004507FC">
            <w:pPr>
              <w:jc w:val="center"/>
              <w:rPr>
                <w:sz w:val="20"/>
                <w:szCs w:val="20"/>
              </w:rPr>
            </w:pPr>
          </w:p>
        </w:tc>
        <w:tc>
          <w:tcPr>
            <w:tcW w:w="2250" w:type="dxa"/>
            <w:tcBorders>
              <w:top w:val="nil"/>
              <w:left w:val="nil"/>
              <w:bottom w:val="nil"/>
              <w:right w:val="nil"/>
            </w:tcBorders>
            <w:shd w:val="clear" w:color="auto" w:fill="auto"/>
            <w:noWrap/>
            <w:vAlign w:val="bottom"/>
            <w:hideMark/>
          </w:tcPr>
          <w:p w14:paraId="216D8B36" w14:textId="77777777" w:rsidR="004507FC" w:rsidRDefault="004507FC" w:rsidP="004507FC">
            <w:pPr>
              <w:jc w:val="center"/>
              <w:rPr>
                <w:sz w:val="20"/>
                <w:szCs w:val="20"/>
              </w:rPr>
            </w:pPr>
          </w:p>
        </w:tc>
      </w:tr>
      <w:tr w:rsidR="004507FC" w14:paraId="7EB480BB" w14:textId="77777777" w:rsidTr="004507FC">
        <w:trPr>
          <w:trHeight w:val="300"/>
        </w:trPr>
        <w:tc>
          <w:tcPr>
            <w:tcW w:w="3240" w:type="dxa"/>
            <w:tcBorders>
              <w:top w:val="nil"/>
              <w:left w:val="nil"/>
              <w:bottom w:val="nil"/>
              <w:right w:val="nil"/>
            </w:tcBorders>
            <w:shd w:val="clear" w:color="auto" w:fill="auto"/>
            <w:vAlign w:val="bottom"/>
            <w:hideMark/>
          </w:tcPr>
          <w:p w14:paraId="5C3602D2" w14:textId="77777777" w:rsidR="004507FC" w:rsidRDefault="004507FC">
            <w:pPr>
              <w:rPr>
                <w:rFonts w:ascii="Calibri" w:hAnsi="Calibri" w:cs="Calibri"/>
                <w:color w:val="000000"/>
                <w:sz w:val="22"/>
                <w:szCs w:val="22"/>
              </w:rPr>
            </w:pPr>
            <w:r>
              <w:rPr>
                <w:rFonts w:ascii="Calibri" w:hAnsi="Calibri" w:cs="Calibri"/>
                <w:color w:val="000000"/>
                <w:sz w:val="22"/>
                <w:szCs w:val="22"/>
              </w:rPr>
              <w:t>Available Fund Balance</w:t>
            </w:r>
          </w:p>
        </w:tc>
        <w:tc>
          <w:tcPr>
            <w:tcW w:w="2230" w:type="dxa"/>
            <w:tcBorders>
              <w:top w:val="nil"/>
              <w:left w:val="nil"/>
              <w:bottom w:val="nil"/>
              <w:right w:val="nil"/>
            </w:tcBorders>
            <w:shd w:val="clear" w:color="auto" w:fill="auto"/>
            <w:noWrap/>
            <w:vAlign w:val="bottom"/>
            <w:hideMark/>
          </w:tcPr>
          <w:p w14:paraId="1F170DA2" w14:textId="4B7F412C"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                40,912,214</w:t>
            </w:r>
          </w:p>
        </w:tc>
        <w:tc>
          <w:tcPr>
            <w:tcW w:w="2340" w:type="dxa"/>
            <w:tcBorders>
              <w:top w:val="nil"/>
              <w:left w:val="nil"/>
              <w:bottom w:val="nil"/>
              <w:right w:val="nil"/>
            </w:tcBorders>
            <w:shd w:val="clear" w:color="auto" w:fill="auto"/>
            <w:noWrap/>
            <w:vAlign w:val="bottom"/>
            <w:hideMark/>
          </w:tcPr>
          <w:p w14:paraId="5272B413" w14:textId="0DB2BD46"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                40,912,214</w:t>
            </w:r>
          </w:p>
        </w:tc>
        <w:tc>
          <w:tcPr>
            <w:tcW w:w="2250" w:type="dxa"/>
            <w:tcBorders>
              <w:top w:val="nil"/>
              <w:left w:val="nil"/>
              <w:bottom w:val="nil"/>
              <w:right w:val="nil"/>
            </w:tcBorders>
            <w:shd w:val="clear" w:color="auto" w:fill="auto"/>
            <w:noWrap/>
            <w:vAlign w:val="bottom"/>
            <w:hideMark/>
          </w:tcPr>
          <w:p w14:paraId="15732DE6" w14:textId="204D4BEB"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                                  -</w:t>
            </w:r>
          </w:p>
        </w:tc>
      </w:tr>
      <w:tr w:rsidR="004507FC" w14:paraId="042B9AFA" w14:textId="77777777" w:rsidTr="004507FC">
        <w:trPr>
          <w:trHeight w:val="300"/>
        </w:trPr>
        <w:tc>
          <w:tcPr>
            <w:tcW w:w="3240" w:type="dxa"/>
            <w:tcBorders>
              <w:top w:val="nil"/>
              <w:left w:val="nil"/>
              <w:bottom w:val="nil"/>
              <w:right w:val="nil"/>
            </w:tcBorders>
            <w:shd w:val="clear" w:color="auto" w:fill="auto"/>
            <w:noWrap/>
            <w:vAlign w:val="bottom"/>
            <w:hideMark/>
          </w:tcPr>
          <w:p w14:paraId="6DBB7E44" w14:textId="77777777" w:rsidR="004507FC" w:rsidRDefault="004507FC">
            <w:pPr>
              <w:jc w:val="right"/>
              <w:rPr>
                <w:rFonts w:ascii="Calibri" w:hAnsi="Calibri" w:cs="Calibri"/>
                <w:color w:val="000000"/>
                <w:sz w:val="22"/>
                <w:szCs w:val="22"/>
              </w:rPr>
            </w:pPr>
          </w:p>
        </w:tc>
        <w:tc>
          <w:tcPr>
            <w:tcW w:w="2230" w:type="dxa"/>
            <w:tcBorders>
              <w:top w:val="nil"/>
              <w:left w:val="nil"/>
              <w:bottom w:val="nil"/>
              <w:right w:val="nil"/>
            </w:tcBorders>
            <w:shd w:val="clear" w:color="auto" w:fill="auto"/>
            <w:noWrap/>
            <w:vAlign w:val="bottom"/>
            <w:hideMark/>
          </w:tcPr>
          <w:p w14:paraId="4CE7EC1E" w14:textId="77777777" w:rsidR="004507FC" w:rsidRDefault="004507FC" w:rsidP="004507FC">
            <w:pPr>
              <w:jc w:val="right"/>
              <w:rPr>
                <w:sz w:val="20"/>
                <w:szCs w:val="20"/>
              </w:rPr>
            </w:pPr>
          </w:p>
        </w:tc>
        <w:tc>
          <w:tcPr>
            <w:tcW w:w="2340" w:type="dxa"/>
            <w:tcBorders>
              <w:top w:val="nil"/>
              <w:left w:val="nil"/>
              <w:bottom w:val="nil"/>
              <w:right w:val="nil"/>
            </w:tcBorders>
            <w:shd w:val="clear" w:color="auto" w:fill="auto"/>
            <w:noWrap/>
            <w:vAlign w:val="bottom"/>
            <w:hideMark/>
          </w:tcPr>
          <w:p w14:paraId="785A06A6" w14:textId="77777777" w:rsidR="004507FC" w:rsidRDefault="004507FC" w:rsidP="004507FC">
            <w:pPr>
              <w:jc w:val="right"/>
              <w:rPr>
                <w:sz w:val="20"/>
                <w:szCs w:val="20"/>
              </w:rPr>
            </w:pPr>
          </w:p>
        </w:tc>
        <w:tc>
          <w:tcPr>
            <w:tcW w:w="2250" w:type="dxa"/>
            <w:tcBorders>
              <w:top w:val="nil"/>
              <w:left w:val="nil"/>
              <w:bottom w:val="nil"/>
              <w:right w:val="nil"/>
            </w:tcBorders>
            <w:shd w:val="clear" w:color="auto" w:fill="auto"/>
            <w:noWrap/>
            <w:vAlign w:val="bottom"/>
            <w:hideMark/>
          </w:tcPr>
          <w:p w14:paraId="30BE00A6" w14:textId="77777777" w:rsidR="004507FC" w:rsidRDefault="004507FC" w:rsidP="004507FC">
            <w:pPr>
              <w:jc w:val="right"/>
              <w:rPr>
                <w:sz w:val="20"/>
                <w:szCs w:val="20"/>
              </w:rPr>
            </w:pPr>
          </w:p>
        </w:tc>
      </w:tr>
      <w:tr w:rsidR="004507FC" w14:paraId="1A83BC2F" w14:textId="77777777" w:rsidTr="004507FC">
        <w:trPr>
          <w:trHeight w:val="300"/>
        </w:trPr>
        <w:tc>
          <w:tcPr>
            <w:tcW w:w="3240" w:type="dxa"/>
            <w:tcBorders>
              <w:top w:val="nil"/>
              <w:left w:val="nil"/>
              <w:bottom w:val="nil"/>
              <w:right w:val="nil"/>
            </w:tcBorders>
            <w:shd w:val="clear" w:color="auto" w:fill="auto"/>
            <w:vAlign w:val="bottom"/>
            <w:hideMark/>
          </w:tcPr>
          <w:p w14:paraId="17E524EA" w14:textId="77777777" w:rsidR="004507FC" w:rsidRDefault="004507FC">
            <w:pPr>
              <w:rPr>
                <w:rFonts w:ascii="Calibri" w:hAnsi="Calibri" w:cs="Calibri"/>
                <w:color w:val="000000"/>
                <w:sz w:val="22"/>
                <w:szCs w:val="22"/>
              </w:rPr>
            </w:pPr>
            <w:r>
              <w:rPr>
                <w:rFonts w:ascii="Calibri" w:hAnsi="Calibri" w:cs="Calibri"/>
                <w:color w:val="000000"/>
                <w:sz w:val="22"/>
                <w:szCs w:val="22"/>
              </w:rPr>
              <w:t>Non-Departmental Revenue</w:t>
            </w:r>
          </w:p>
        </w:tc>
        <w:tc>
          <w:tcPr>
            <w:tcW w:w="2230" w:type="dxa"/>
            <w:tcBorders>
              <w:top w:val="nil"/>
              <w:left w:val="nil"/>
              <w:bottom w:val="nil"/>
              <w:right w:val="nil"/>
            </w:tcBorders>
            <w:shd w:val="clear" w:color="auto" w:fill="auto"/>
            <w:noWrap/>
            <w:vAlign w:val="bottom"/>
            <w:hideMark/>
          </w:tcPr>
          <w:p w14:paraId="4CC5F269" w14:textId="7B90EDCB"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126,888,945</w:t>
            </w:r>
          </w:p>
        </w:tc>
        <w:tc>
          <w:tcPr>
            <w:tcW w:w="2340" w:type="dxa"/>
            <w:tcBorders>
              <w:top w:val="nil"/>
              <w:left w:val="nil"/>
              <w:bottom w:val="nil"/>
              <w:right w:val="nil"/>
            </w:tcBorders>
            <w:shd w:val="clear" w:color="auto" w:fill="auto"/>
            <w:noWrap/>
            <w:vAlign w:val="bottom"/>
            <w:hideMark/>
          </w:tcPr>
          <w:p w14:paraId="60F171F8" w14:textId="4051CA68"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136,643,242</w:t>
            </w:r>
          </w:p>
        </w:tc>
        <w:tc>
          <w:tcPr>
            <w:tcW w:w="2250" w:type="dxa"/>
            <w:tcBorders>
              <w:top w:val="nil"/>
              <w:left w:val="nil"/>
              <w:bottom w:val="nil"/>
              <w:right w:val="nil"/>
            </w:tcBorders>
            <w:shd w:val="clear" w:color="auto" w:fill="auto"/>
            <w:noWrap/>
            <w:vAlign w:val="bottom"/>
            <w:hideMark/>
          </w:tcPr>
          <w:p w14:paraId="29AE3068" w14:textId="45C843E0"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9,754,297</w:t>
            </w:r>
          </w:p>
        </w:tc>
      </w:tr>
      <w:tr w:rsidR="004507FC" w14:paraId="59CB2075" w14:textId="77777777" w:rsidTr="004507FC">
        <w:trPr>
          <w:trHeight w:val="300"/>
        </w:trPr>
        <w:tc>
          <w:tcPr>
            <w:tcW w:w="3240" w:type="dxa"/>
            <w:tcBorders>
              <w:top w:val="nil"/>
              <w:left w:val="nil"/>
              <w:bottom w:val="nil"/>
              <w:right w:val="nil"/>
            </w:tcBorders>
            <w:shd w:val="clear" w:color="auto" w:fill="auto"/>
            <w:vAlign w:val="bottom"/>
            <w:hideMark/>
          </w:tcPr>
          <w:p w14:paraId="4AD7059B" w14:textId="77777777" w:rsidR="004507FC" w:rsidRDefault="004507FC">
            <w:pPr>
              <w:rPr>
                <w:rFonts w:ascii="Calibri" w:hAnsi="Calibri" w:cs="Calibri"/>
                <w:color w:val="000000"/>
                <w:sz w:val="22"/>
                <w:szCs w:val="22"/>
              </w:rPr>
            </w:pPr>
            <w:r>
              <w:rPr>
                <w:rFonts w:ascii="Calibri" w:hAnsi="Calibri" w:cs="Calibri"/>
                <w:color w:val="000000"/>
                <w:sz w:val="22"/>
                <w:szCs w:val="22"/>
              </w:rPr>
              <w:t>Departmental Revenue</w:t>
            </w:r>
          </w:p>
        </w:tc>
        <w:tc>
          <w:tcPr>
            <w:tcW w:w="2230" w:type="dxa"/>
            <w:tcBorders>
              <w:top w:val="nil"/>
              <w:left w:val="nil"/>
              <w:bottom w:val="nil"/>
              <w:right w:val="nil"/>
            </w:tcBorders>
            <w:shd w:val="clear" w:color="auto" w:fill="auto"/>
            <w:noWrap/>
            <w:vAlign w:val="bottom"/>
            <w:hideMark/>
          </w:tcPr>
          <w:p w14:paraId="35FEDD6E" w14:textId="004B00DD"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119,241,053</w:t>
            </w:r>
          </w:p>
        </w:tc>
        <w:tc>
          <w:tcPr>
            <w:tcW w:w="2340" w:type="dxa"/>
            <w:tcBorders>
              <w:top w:val="nil"/>
              <w:left w:val="nil"/>
              <w:bottom w:val="nil"/>
              <w:right w:val="nil"/>
            </w:tcBorders>
            <w:shd w:val="clear" w:color="auto" w:fill="auto"/>
            <w:noWrap/>
            <w:vAlign w:val="bottom"/>
            <w:hideMark/>
          </w:tcPr>
          <w:p w14:paraId="0D81A1CD" w14:textId="5FE64C76"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120,433,675</w:t>
            </w:r>
          </w:p>
        </w:tc>
        <w:tc>
          <w:tcPr>
            <w:tcW w:w="2250" w:type="dxa"/>
            <w:tcBorders>
              <w:top w:val="nil"/>
              <w:left w:val="nil"/>
              <w:bottom w:val="nil"/>
              <w:right w:val="nil"/>
            </w:tcBorders>
            <w:shd w:val="clear" w:color="auto" w:fill="auto"/>
            <w:noWrap/>
            <w:vAlign w:val="bottom"/>
            <w:hideMark/>
          </w:tcPr>
          <w:p w14:paraId="4128EAF9" w14:textId="07C3D2BC"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1,192,622</w:t>
            </w:r>
          </w:p>
        </w:tc>
      </w:tr>
      <w:tr w:rsidR="004507FC" w14:paraId="6B867C25" w14:textId="77777777" w:rsidTr="004507FC">
        <w:trPr>
          <w:trHeight w:val="300"/>
        </w:trPr>
        <w:tc>
          <w:tcPr>
            <w:tcW w:w="3240" w:type="dxa"/>
            <w:tcBorders>
              <w:top w:val="nil"/>
              <w:left w:val="nil"/>
              <w:bottom w:val="nil"/>
              <w:right w:val="nil"/>
            </w:tcBorders>
            <w:shd w:val="clear" w:color="auto" w:fill="auto"/>
            <w:vAlign w:val="bottom"/>
            <w:hideMark/>
          </w:tcPr>
          <w:p w14:paraId="60A905B7" w14:textId="77777777" w:rsidR="004507FC" w:rsidRDefault="004507FC">
            <w:pPr>
              <w:rPr>
                <w:rFonts w:ascii="Calibri" w:hAnsi="Calibri" w:cs="Calibri"/>
                <w:b/>
                <w:bCs/>
                <w:color w:val="000000"/>
                <w:sz w:val="22"/>
                <w:szCs w:val="22"/>
              </w:rPr>
            </w:pPr>
            <w:r>
              <w:rPr>
                <w:rFonts w:ascii="Calibri" w:hAnsi="Calibri" w:cs="Calibri"/>
                <w:b/>
                <w:bCs/>
                <w:color w:val="000000"/>
                <w:sz w:val="22"/>
                <w:szCs w:val="22"/>
              </w:rPr>
              <w:t>Total Revenue</w:t>
            </w:r>
          </w:p>
        </w:tc>
        <w:tc>
          <w:tcPr>
            <w:tcW w:w="2230" w:type="dxa"/>
            <w:tcBorders>
              <w:top w:val="nil"/>
              <w:left w:val="nil"/>
              <w:bottom w:val="nil"/>
              <w:right w:val="nil"/>
            </w:tcBorders>
            <w:shd w:val="clear" w:color="auto" w:fill="auto"/>
            <w:noWrap/>
            <w:vAlign w:val="bottom"/>
            <w:hideMark/>
          </w:tcPr>
          <w:p w14:paraId="4F4D15D2" w14:textId="62352A9E"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246,129,998</w:t>
            </w:r>
          </w:p>
        </w:tc>
        <w:tc>
          <w:tcPr>
            <w:tcW w:w="2340" w:type="dxa"/>
            <w:tcBorders>
              <w:top w:val="nil"/>
              <w:left w:val="nil"/>
              <w:bottom w:val="nil"/>
              <w:right w:val="nil"/>
            </w:tcBorders>
            <w:shd w:val="clear" w:color="auto" w:fill="auto"/>
            <w:noWrap/>
            <w:vAlign w:val="bottom"/>
            <w:hideMark/>
          </w:tcPr>
          <w:p w14:paraId="5B4AF90C" w14:textId="18DF4FE6"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257,076,917</w:t>
            </w:r>
          </w:p>
        </w:tc>
        <w:tc>
          <w:tcPr>
            <w:tcW w:w="2250" w:type="dxa"/>
            <w:tcBorders>
              <w:top w:val="nil"/>
              <w:left w:val="nil"/>
              <w:bottom w:val="nil"/>
              <w:right w:val="nil"/>
            </w:tcBorders>
            <w:shd w:val="clear" w:color="auto" w:fill="auto"/>
            <w:noWrap/>
            <w:vAlign w:val="bottom"/>
            <w:hideMark/>
          </w:tcPr>
          <w:p w14:paraId="66412071" w14:textId="5317D51C"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10,946,919</w:t>
            </w:r>
          </w:p>
        </w:tc>
      </w:tr>
      <w:tr w:rsidR="004507FC" w14:paraId="7EBFFB3D" w14:textId="77777777" w:rsidTr="004507FC">
        <w:trPr>
          <w:trHeight w:val="300"/>
        </w:trPr>
        <w:tc>
          <w:tcPr>
            <w:tcW w:w="3240" w:type="dxa"/>
            <w:tcBorders>
              <w:top w:val="nil"/>
              <w:left w:val="nil"/>
              <w:bottom w:val="nil"/>
              <w:right w:val="nil"/>
            </w:tcBorders>
            <w:shd w:val="clear" w:color="auto" w:fill="auto"/>
            <w:vAlign w:val="bottom"/>
            <w:hideMark/>
          </w:tcPr>
          <w:p w14:paraId="21558344" w14:textId="77777777" w:rsidR="004507FC" w:rsidRDefault="004507FC">
            <w:pPr>
              <w:jc w:val="right"/>
              <w:rPr>
                <w:rFonts w:ascii="Calibri" w:hAnsi="Calibri" w:cs="Calibri"/>
                <w:b/>
                <w:bCs/>
                <w:color w:val="000000"/>
                <w:sz w:val="22"/>
                <w:szCs w:val="22"/>
              </w:rPr>
            </w:pPr>
          </w:p>
        </w:tc>
        <w:tc>
          <w:tcPr>
            <w:tcW w:w="2230" w:type="dxa"/>
            <w:tcBorders>
              <w:top w:val="nil"/>
              <w:left w:val="nil"/>
              <w:bottom w:val="nil"/>
              <w:right w:val="nil"/>
            </w:tcBorders>
            <w:shd w:val="clear" w:color="auto" w:fill="auto"/>
            <w:noWrap/>
            <w:vAlign w:val="bottom"/>
            <w:hideMark/>
          </w:tcPr>
          <w:p w14:paraId="689989DD" w14:textId="77777777" w:rsidR="004507FC" w:rsidRDefault="004507FC" w:rsidP="004507FC">
            <w:pPr>
              <w:jc w:val="right"/>
              <w:rPr>
                <w:sz w:val="20"/>
                <w:szCs w:val="20"/>
              </w:rPr>
            </w:pPr>
          </w:p>
        </w:tc>
        <w:tc>
          <w:tcPr>
            <w:tcW w:w="2340" w:type="dxa"/>
            <w:tcBorders>
              <w:top w:val="nil"/>
              <w:left w:val="nil"/>
              <w:bottom w:val="nil"/>
              <w:right w:val="nil"/>
            </w:tcBorders>
            <w:shd w:val="clear" w:color="auto" w:fill="auto"/>
            <w:noWrap/>
            <w:vAlign w:val="bottom"/>
            <w:hideMark/>
          </w:tcPr>
          <w:p w14:paraId="654ACC08" w14:textId="77777777" w:rsidR="004507FC" w:rsidRDefault="004507FC" w:rsidP="004507FC">
            <w:pPr>
              <w:jc w:val="right"/>
              <w:rPr>
                <w:sz w:val="20"/>
                <w:szCs w:val="20"/>
              </w:rPr>
            </w:pPr>
          </w:p>
        </w:tc>
        <w:tc>
          <w:tcPr>
            <w:tcW w:w="2250" w:type="dxa"/>
            <w:tcBorders>
              <w:top w:val="nil"/>
              <w:left w:val="nil"/>
              <w:bottom w:val="nil"/>
              <w:right w:val="nil"/>
            </w:tcBorders>
            <w:shd w:val="clear" w:color="auto" w:fill="auto"/>
            <w:noWrap/>
            <w:vAlign w:val="bottom"/>
            <w:hideMark/>
          </w:tcPr>
          <w:p w14:paraId="01824C91" w14:textId="77777777" w:rsidR="004507FC" w:rsidRDefault="004507FC" w:rsidP="004507FC">
            <w:pPr>
              <w:jc w:val="right"/>
              <w:rPr>
                <w:sz w:val="20"/>
                <w:szCs w:val="20"/>
              </w:rPr>
            </w:pPr>
          </w:p>
        </w:tc>
      </w:tr>
      <w:tr w:rsidR="004507FC" w14:paraId="41D28C3B" w14:textId="77777777" w:rsidTr="004507FC">
        <w:trPr>
          <w:trHeight w:val="300"/>
        </w:trPr>
        <w:tc>
          <w:tcPr>
            <w:tcW w:w="3240" w:type="dxa"/>
            <w:tcBorders>
              <w:top w:val="nil"/>
              <w:left w:val="nil"/>
              <w:bottom w:val="nil"/>
              <w:right w:val="nil"/>
            </w:tcBorders>
            <w:shd w:val="clear" w:color="auto" w:fill="auto"/>
            <w:vAlign w:val="bottom"/>
            <w:hideMark/>
          </w:tcPr>
          <w:p w14:paraId="26164594" w14:textId="77777777" w:rsidR="004507FC" w:rsidRDefault="004507FC">
            <w:pPr>
              <w:rPr>
                <w:rFonts w:ascii="Calibri" w:hAnsi="Calibri" w:cs="Calibri"/>
                <w:color w:val="000000"/>
                <w:sz w:val="22"/>
                <w:szCs w:val="22"/>
              </w:rPr>
            </w:pPr>
            <w:r>
              <w:rPr>
                <w:rFonts w:ascii="Calibri" w:hAnsi="Calibri" w:cs="Calibri"/>
                <w:color w:val="000000"/>
                <w:sz w:val="22"/>
                <w:szCs w:val="22"/>
              </w:rPr>
              <w:t>Release assignment for emergencies</w:t>
            </w:r>
          </w:p>
        </w:tc>
        <w:tc>
          <w:tcPr>
            <w:tcW w:w="2230" w:type="dxa"/>
            <w:tcBorders>
              <w:top w:val="nil"/>
              <w:left w:val="nil"/>
              <w:bottom w:val="nil"/>
              <w:right w:val="nil"/>
            </w:tcBorders>
            <w:shd w:val="clear" w:color="auto" w:fill="auto"/>
            <w:noWrap/>
            <w:vAlign w:val="bottom"/>
            <w:hideMark/>
          </w:tcPr>
          <w:p w14:paraId="3F780BDE" w14:textId="39E3D36B"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w:t>
            </w:r>
          </w:p>
        </w:tc>
        <w:tc>
          <w:tcPr>
            <w:tcW w:w="2340" w:type="dxa"/>
            <w:tcBorders>
              <w:top w:val="nil"/>
              <w:left w:val="nil"/>
              <w:bottom w:val="nil"/>
              <w:right w:val="nil"/>
            </w:tcBorders>
            <w:shd w:val="clear" w:color="auto" w:fill="auto"/>
            <w:noWrap/>
            <w:vAlign w:val="bottom"/>
            <w:hideMark/>
          </w:tcPr>
          <w:p w14:paraId="7B6C19F6" w14:textId="4E5EC4E1"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20,592,000</w:t>
            </w:r>
          </w:p>
        </w:tc>
        <w:tc>
          <w:tcPr>
            <w:tcW w:w="2250" w:type="dxa"/>
            <w:tcBorders>
              <w:top w:val="nil"/>
              <w:left w:val="nil"/>
              <w:bottom w:val="nil"/>
              <w:right w:val="nil"/>
            </w:tcBorders>
            <w:shd w:val="clear" w:color="auto" w:fill="auto"/>
            <w:noWrap/>
            <w:vAlign w:val="bottom"/>
            <w:hideMark/>
          </w:tcPr>
          <w:p w14:paraId="7D2CFC28" w14:textId="2158FD4D"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20,592,000</w:t>
            </w:r>
          </w:p>
        </w:tc>
      </w:tr>
      <w:tr w:rsidR="004507FC" w14:paraId="218E868D" w14:textId="77777777" w:rsidTr="004507FC">
        <w:trPr>
          <w:trHeight w:val="300"/>
        </w:trPr>
        <w:tc>
          <w:tcPr>
            <w:tcW w:w="3240" w:type="dxa"/>
            <w:tcBorders>
              <w:top w:val="nil"/>
              <w:left w:val="nil"/>
              <w:bottom w:val="nil"/>
              <w:right w:val="nil"/>
            </w:tcBorders>
            <w:shd w:val="clear" w:color="auto" w:fill="auto"/>
            <w:vAlign w:val="bottom"/>
            <w:hideMark/>
          </w:tcPr>
          <w:p w14:paraId="455A9D75" w14:textId="77777777" w:rsidR="004507FC" w:rsidRDefault="004507FC">
            <w:pPr>
              <w:rPr>
                <w:rFonts w:ascii="Calibri" w:hAnsi="Calibri" w:cs="Calibri"/>
                <w:b/>
                <w:bCs/>
                <w:color w:val="000000"/>
                <w:sz w:val="22"/>
                <w:szCs w:val="22"/>
              </w:rPr>
            </w:pPr>
            <w:r>
              <w:rPr>
                <w:rFonts w:ascii="Calibri" w:hAnsi="Calibri" w:cs="Calibri"/>
                <w:b/>
                <w:bCs/>
                <w:color w:val="000000"/>
                <w:sz w:val="22"/>
                <w:szCs w:val="22"/>
              </w:rPr>
              <w:t>Total Resources</w:t>
            </w:r>
          </w:p>
        </w:tc>
        <w:tc>
          <w:tcPr>
            <w:tcW w:w="2230" w:type="dxa"/>
            <w:tcBorders>
              <w:top w:val="single" w:sz="4" w:space="0" w:color="auto"/>
              <w:left w:val="nil"/>
              <w:bottom w:val="single" w:sz="4" w:space="0" w:color="auto"/>
              <w:right w:val="nil"/>
            </w:tcBorders>
            <w:shd w:val="clear" w:color="auto" w:fill="auto"/>
            <w:noWrap/>
            <w:vAlign w:val="bottom"/>
            <w:hideMark/>
          </w:tcPr>
          <w:p w14:paraId="40576C2B" w14:textId="31261580"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287,042,212</w:t>
            </w:r>
          </w:p>
        </w:tc>
        <w:tc>
          <w:tcPr>
            <w:tcW w:w="2340" w:type="dxa"/>
            <w:tcBorders>
              <w:top w:val="single" w:sz="4" w:space="0" w:color="auto"/>
              <w:left w:val="nil"/>
              <w:bottom w:val="single" w:sz="4" w:space="0" w:color="auto"/>
              <w:right w:val="nil"/>
            </w:tcBorders>
            <w:shd w:val="clear" w:color="auto" w:fill="auto"/>
            <w:noWrap/>
            <w:vAlign w:val="bottom"/>
            <w:hideMark/>
          </w:tcPr>
          <w:p w14:paraId="74DD7F37" w14:textId="16993D2D"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318,581,131</w:t>
            </w:r>
          </w:p>
        </w:tc>
        <w:tc>
          <w:tcPr>
            <w:tcW w:w="2250" w:type="dxa"/>
            <w:tcBorders>
              <w:top w:val="single" w:sz="4" w:space="0" w:color="auto"/>
              <w:left w:val="nil"/>
              <w:bottom w:val="single" w:sz="4" w:space="0" w:color="auto"/>
              <w:right w:val="nil"/>
            </w:tcBorders>
            <w:shd w:val="clear" w:color="auto" w:fill="auto"/>
            <w:noWrap/>
            <w:vAlign w:val="bottom"/>
            <w:hideMark/>
          </w:tcPr>
          <w:p w14:paraId="706659C3" w14:textId="39B8072B"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31,538,919</w:t>
            </w:r>
          </w:p>
        </w:tc>
      </w:tr>
      <w:tr w:rsidR="004507FC" w14:paraId="105B11B3" w14:textId="77777777" w:rsidTr="004507FC">
        <w:trPr>
          <w:trHeight w:val="300"/>
        </w:trPr>
        <w:tc>
          <w:tcPr>
            <w:tcW w:w="3240" w:type="dxa"/>
            <w:tcBorders>
              <w:top w:val="nil"/>
              <w:left w:val="nil"/>
              <w:bottom w:val="nil"/>
              <w:right w:val="nil"/>
            </w:tcBorders>
            <w:shd w:val="clear" w:color="auto" w:fill="auto"/>
            <w:vAlign w:val="bottom"/>
            <w:hideMark/>
          </w:tcPr>
          <w:p w14:paraId="73CC9AAC" w14:textId="77777777" w:rsidR="004507FC" w:rsidRDefault="004507FC">
            <w:pPr>
              <w:jc w:val="right"/>
              <w:rPr>
                <w:rFonts w:ascii="Calibri" w:hAnsi="Calibri" w:cs="Calibri"/>
                <w:b/>
                <w:bCs/>
                <w:color w:val="000000"/>
                <w:sz w:val="22"/>
                <w:szCs w:val="22"/>
              </w:rPr>
            </w:pPr>
          </w:p>
        </w:tc>
        <w:tc>
          <w:tcPr>
            <w:tcW w:w="2230" w:type="dxa"/>
            <w:tcBorders>
              <w:top w:val="nil"/>
              <w:left w:val="nil"/>
              <w:bottom w:val="nil"/>
              <w:right w:val="nil"/>
            </w:tcBorders>
            <w:shd w:val="clear" w:color="auto" w:fill="auto"/>
            <w:noWrap/>
            <w:vAlign w:val="bottom"/>
            <w:hideMark/>
          </w:tcPr>
          <w:p w14:paraId="0B56B552" w14:textId="77777777" w:rsidR="004507FC" w:rsidRDefault="004507FC" w:rsidP="004507FC">
            <w:pPr>
              <w:jc w:val="right"/>
              <w:rPr>
                <w:sz w:val="20"/>
                <w:szCs w:val="20"/>
              </w:rPr>
            </w:pPr>
          </w:p>
        </w:tc>
        <w:tc>
          <w:tcPr>
            <w:tcW w:w="2340" w:type="dxa"/>
            <w:tcBorders>
              <w:top w:val="nil"/>
              <w:left w:val="nil"/>
              <w:bottom w:val="nil"/>
              <w:right w:val="nil"/>
            </w:tcBorders>
            <w:shd w:val="clear" w:color="auto" w:fill="auto"/>
            <w:noWrap/>
            <w:vAlign w:val="bottom"/>
            <w:hideMark/>
          </w:tcPr>
          <w:p w14:paraId="1876AF95" w14:textId="77777777" w:rsidR="004507FC" w:rsidRDefault="004507FC" w:rsidP="004507FC">
            <w:pPr>
              <w:jc w:val="right"/>
              <w:rPr>
                <w:sz w:val="20"/>
                <w:szCs w:val="20"/>
              </w:rPr>
            </w:pPr>
          </w:p>
        </w:tc>
        <w:tc>
          <w:tcPr>
            <w:tcW w:w="2250" w:type="dxa"/>
            <w:tcBorders>
              <w:top w:val="nil"/>
              <w:left w:val="nil"/>
              <w:bottom w:val="nil"/>
              <w:right w:val="nil"/>
            </w:tcBorders>
            <w:shd w:val="clear" w:color="auto" w:fill="auto"/>
            <w:noWrap/>
            <w:vAlign w:val="bottom"/>
            <w:hideMark/>
          </w:tcPr>
          <w:p w14:paraId="1C3AA1BA" w14:textId="77777777" w:rsidR="004507FC" w:rsidRDefault="004507FC" w:rsidP="004507FC">
            <w:pPr>
              <w:jc w:val="right"/>
              <w:rPr>
                <w:sz w:val="20"/>
                <w:szCs w:val="20"/>
              </w:rPr>
            </w:pPr>
          </w:p>
        </w:tc>
      </w:tr>
      <w:tr w:rsidR="004507FC" w14:paraId="0E64600F" w14:textId="77777777" w:rsidTr="004507FC">
        <w:trPr>
          <w:trHeight w:val="300"/>
        </w:trPr>
        <w:tc>
          <w:tcPr>
            <w:tcW w:w="3240" w:type="dxa"/>
            <w:tcBorders>
              <w:top w:val="nil"/>
              <w:left w:val="nil"/>
              <w:bottom w:val="nil"/>
              <w:right w:val="nil"/>
            </w:tcBorders>
            <w:shd w:val="clear" w:color="auto" w:fill="auto"/>
            <w:vAlign w:val="bottom"/>
            <w:hideMark/>
          </w:tcPr>
          <w:p w14:paraId="10C2AB30" w14:textId="77777777" w:rsidR="004507FC" w:rsidRPr="004507FC" w:rsidRDefault="004507FC">
            <w:pPr>
              <w:rPr>
                <w:rFonts w:ascii="Calibri" w:hAnsi="Calibri" w:cs="Calibri"/>
                <w:b/>
                <w:color w:val="000000"/>
                <w:sz w:val="22"/>
                <w:szCs w:val="22"/>
              </w:rPr>
            </w:pPr>
            <w:r w:rsidRPr="004507FC">
              <w:rPr>
                <w:rFonts w:ascii="Calibri" w:hAnsi="Calibri" w:cs="Calibri"/>
                <w:b/>
                <w:color w:val="000000"/>
                <w:sz w:val="22"/>
                <w:szCs w:val="22"/>
              </w:rPr>
              <w:t>Requirements</w:t>
            </w:r>
          </w:p>
        </w:tc>
        <w:tc>
          <w:tcPr>
            <w:tcW w:w="2230" w:type="dxa"/>
            <w:tcBorders>
              <w:top w:val="nil"/>
              <w:left w:val="nil"/>
              <w:bottom w:val="nil"/>
              <w:right w:val="nil"/>
            </w:tcBorders>
            <w:shd w:val="clear" w:color="auto" w:fill="auto"/>
            <w:noWrap/>
            <w:vAlign w:val="bottom"/>
            <w:hideMark/>
          </w:tcPr>
          <w:p w14:paraId="172E1BE5" w14:textId="77777777" w:rsidR="004507FC" w:rsidRDefault="004507FC" w:rsidP="004507FC">
            <w:pPr>
              <w:jc w:val="right"/>
              <w:rPr>
                <w:rFonts w:ascii="Calibri" w:hAnsi="Calibri" w:cs="Calibri"/>
                <w:color w:val="000000"/>
                <w:sz w:val="22"/>
                <w:szCs w:val="22"/>
              </w:rPr>
            </w:pPr>
          </w:p>
        </w:tc>
        <w:tc>
          <w:tcPr>
            <w:tcW w:w="2340" w:type="dxa"/>
            <w:tcBorders>
              <w:top w:val="nil"/>
              <w:left w:val="nil"/>
              <w:bottom w:val="nil"/>
              <w:right w:val="nil"/>
            </w:tcBorders>
            <w:shd w:val="clear" w:color="auto" w:fill="auto"/>
            <w:noWrap/>
            <w:vAlign w:val="bottom"/>
            <w:hideMark/>
          </w:tcPr>
          <w:p w14:paraId="5EF0D04B" w14:textId="77777777" w:rsidR="004507FC" w:rsidRDefault="004507FC" w:rsidP="004507FC">
            <w:pPr>
              <w:jc w:val="right"/>
              <w:rPr>
                <w:sz w:val="20"/>
                <w:szCs w:val="20"/>
              </w:rPr>
            </w:pPr>
          </w:p>
        </w:tc>
        <w:tc>
          <w:tcPr>
            <w:tcW w:w="2250" w:type="dxa"/>
            <w:tcBorders>
              <w:top w:val="nil"/>
              <w:left w:val="nil"/>
              <w:bottom w:val="nil"/>
              <w:right w:val="nil"/>
            </w:tcBorders>
            <w:shd w:val="clear" w:color="auto" w:fill="auto"/>
            <w:noWrap/>
            <w:vAlign w:val="bottom"/>
            <w:hideMark/>
          </w:tcPr>
          <w:p w14:paraId="5773BE9D" w14:textId="77777777" w:rsidR="004507FC" w:rsidRDefault="004507FC" w:rsidP="004507FC">
            <w:pPr>
              <w:jc w:val="right"/>
              <w:rPr>
                <w:sz w:val="20"/>
                <w:szCs w:val="20"/>
              </w:rPr>
            </w:pPr>
          </w:p>
        </w:tc>
      </w:tr>
      <w:tr w:rsidR="004507FC" w14:paraId="7BC1E9E4" w14:textId="77777777" w:rsidTr="004507FC">
        <w:trPr>
          <w:trHeight w:val="300"/>
        </w:trPr>
        <w:tc>
          <w:tcPr>
            <w:tcW w:w="3240" w:type="dxa"/>
            <w:tcBorders>
              <w:top w:val="nil"/>
              <w:left w:val="nil"/>
              <w:bottom w:val="nil"/>
              <w:right w:val="nil"/>
            </w:tcBorders>
            <w:shd w:val="clear" w:color="auto" w:fill="auto"/>
            <w:vAlign w:val="bottom"/>
            <w:hideMark/>
          </w:tcPr>
          <w:p w14:paraId="3BC5DCD1" w14:textId="77777777" w:rsidR="004507FC" w:rsidRDefault="004507FC">
            <w:pPr>
              <w:rPr>
                <w:rFonts w:ascii="Calibri" w:hAnsi="Calibri" w:cs="Calibri"/>
                <w:color w:val="000000"/>
                <w:sz w:val="22"/>
                <w:szCs w:val="22"/>
              </w:rPr>
            </w:pPr>
            <w:r>
              <w:rPr>
                <w:rFonts w:ascii="Calibri" w:hAnsi="Calibri" w:cs="Calibri"/>
                <w:color w:val="000000"/>
                <w:sz w:val="22"/>
                <w:szCs w:val="22"/>
              </w:rPr>
              <w:t>Expenditures</w:t>
            </w:r>
          </w:p>
        </w:tc>
        <w:tc>
          <w:tcPr>
            <w:tcW w:w="2230" w:type="dxa"/>
            <w:tcBorders>
              <w:top w:val="nil"/>
              <w:left w:val="nil"/>
              <w:bottom w:val="nil"/>
              <w:right w:val="nil"/>
            </w:tcBorders>
            <w:shd w:val="clear" w:color="auto" w:fill="auto"/>
            <w:noWrap/>
            <w:vAlign w:val="bottom"/>
            <w:hideMark/>
          </w:tcPr>
          <w:p w14:paraId="30B50EB3" w14:textId="32A3E44E"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301,029,562</w:t>
            </w:r>
          </w:p>
        </w:tc>
        <w:tc>
          <w:tcPr>
            <w:tcW w:w="2340" w:type="dxa"/>
            <w:tcBorders>
              <w:top w:val="nil"/>
              <w:left w:val="nil"/>
              <w:bottom w:val="nil"/>
              <w:right w:val="nil"/>
            </w:tcBorders>
            <w:shd w:val="clear" w:color="auto" w:fill="auto"/>
            <w:noWrap/>
            <w:vAlign w:val="bottom"/>
            <w:hideMark/>
          </w:tcPr>
          <w:p w14:paraId="2D01BB86" w14:textId="71C720B2"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294,392,447</w:t>
            </w:r>
          </w:p>
        </w:tc>
        <w:tc>
          <w:tcPr>
            <w:tcW w:w="2250" w:type="dxa"/>
            <w:tcBorders>
              <w:top w:val="nil"/>
              <w:left w:val="nil"/>
              <w:bottom w:val="nil"/>
              <w:right w:val="nil"/>
            </w:tcBorders>
            <w:shd w:val="clear" w:color="auto" w:fill="auto"/>
            <w:noWrap/>
            <w:vAlign w:val="bottom"/>
            <w:hideMark/>
          </w:tcPr>
          <w:p w14:paraId="3683DCFF" w14:textId="10DBD7A5"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6,637,115</w:t>
            </w:r>
          </w:p>
        </w:tc>
      </w:tr>
      <w:tr w:rsidR="004507FC" w14:paraId="5DD019A2" w14:textId="77777777" w:rsidTr="004507FC">
        <w:trPr>
          <w:trHeight w:val="300"/>
        </w:trPr>
        <w:tc>
          <w:tcPr>
            <w:tcW w:w="3240" w:type="dxa"/>
            <w:tcBorders>
              <w:top w:val="nil"/>
              <w:left w:val="nil"/>
              <w:bottom w:val="nil"/>
              <w:right w:val="nil"/>
            </w:tcBorders>
            <w:shd w:val="clear" w:color="auto" w:fill="auto"/>
            <w:vAlign w:val="bottom"/>
            <w:hideMark/>
          </w:tcPr>
          <w:p w14:paraId="5936C610" w14:textId="77777777" w:rsidR="004507FC" w:rsidRDefault="004507FC">
            <w:pPr>
              <w:rPr>
                <w:rFonts w:ascii="Calibri" w:hAnsi="Calibri" w:cs="Calibri"/>
                <w:color w:val="000000"/>
                <w:sz w:val="22"/>
                <w:szCs w:val="22"/>
              </w:rPr>
            </w:pPr>
            <w:r>
              <w:rPr>
                <w:rFonts w:ascii="Calibri" w:hAnsi="Calibri" w:cs="Calibri"/>
                <w:color w:val="000000"/>
                <w:sz w:val="22"/>
                <w:szCs w:val="22"/>
              </w:rPr>
              <w:t>Contingency</w:t>
            </w:r>
          </w:p>
        </w:tc>
        <w:tc>
          <w:tcPr>
            <w:tcW w:w="2230" w:type="dxa"/>
            <w:tcBorders>
              <w:top w:val="nil"/>
              <w:left w:val="nil"/>
              <w:bottom w:val="nil"/>
              <w:right w:val="nil"/>
            </w:tcBorders>
            <w:shd w:val="clear" w:color="auto" w:fill="auto"/>
            <w:noWrap/>
            <w:vAlign w:val="bottom"/>
            <w:hideMark/>
          </w:tcPr>
          <w:p w14:paraId="255945EE" w14:textId="79DB3B4C"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1,502,000</w:t>
            </w:r>
          </w:p>
        </w:tc>
        <w:tc>
          <w:tcPr>
            <w:tcW w:w="2340" w:type="dxa"/>
            <w:tcBorders>
              <w:top w:val="nil"/>
              <w:left w:val="nil"/>
              <w:bottom w:val="nil"/>
              <w:right w:val="nil"/>
            </w:tcBorders>
            <w:shd w:val="clear" w:color="auto" w:fill="auto"/>
            <w:noWrap/>
            <w:vAlign w:val="bottom"/>
            <w:hideMark/>
          </w:tcPr>
          <w:p w14:paraId="6CDC8770" w14:textId="1E42091F"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1,445,380</w:t>
            </w:r>
          </w:p>
        </w:tc>
        <w:tc>
          <w:tcPr>
            <w:tcW w:w="2250" w:type="dxa"/>
            <w:tcBorders>
              <w:top w:val="nil"/>
              <w:left w:val="nil"/>
              <w:bottom w:val="nil"/>
              <w:right w:val="nil"/>
            </w:tcBorders>
            <w:shd w:val="clear" w:color="auto" w:fill="auto"/>
            <w:noWrap/>
            <w:vAlign w:val="bottom"/>
            <w:hideMark/>
          </w:tcPr>
          <w:p w14:paraId="6344B491" w14:textId="40E3E0B7"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56,620</w:t>
            </w:r>
          </w:p>
        </w:tc>
      </w:tr>
      <w:tr w:rsidR="004507FC" w14:paraId="5FB33B98" w14:textId="77777777" w:rsidTr="004507FC">
        <w:trPr>
          <w:trHeight w:val="300"/>
        </w:trPr>
        <w:tc>
          <w:tcPr>
            <w:tcW w:w="3240" w:type="dxa"/>
            <w:tcBorders>
              <w:top w:val="nil"/>
              <w:left w:val="nil"/>
              <w:bottom w:val="nil"/>
              <w:right w:val="nil"/>
            </w:tcBorders>
            <w:shd w:val="clear" w:color="auto" w:fill="auto"/>
            <w:vAlign w:val="bottom"/>
            <w:hideMark/>
          </w:tcPr>
          <w:p w14:paraId="13743877" w14:textId="77777777" w:rsidR="004507FC" w:rsidRDefault="004507FC">
            <w:pPr>
              <w:rPr>
                <w:rFonts w:ascii="Calibri" w:hAnsi="Calibri" w:cs="Calibri"/>
                <w:b/>
                <w:bCs/>
                <w:color w:val="000000"/>
                <w:sz w:val="22"/>
                <w:szCs w:val="22"/>
              </w:rPr>
            </w:pPr>
            <w:r>
              <w:rPr>
                <w:rFonts w:ascii="Calibri" w:hAnsi="Calibri" w:cs="Calibri"/>
                <w:b/>
                <w:bCs/>
                <w:color w:val="000000"/>
                <w:sz w:val="22"/>
                <w:szCs w:val="22"/>
              </w:rPr>
              <w:t>Total Expenditures</w:t>
            </w:r>
          </w:p>
        </w:tc>
        <w:tc>
          <w:tcPr>
            <w:tcW w:w="2230" w:type="dxa"/>
            <w:tcBorders>
              <w:top w:val="nil"/>
              <w:left w:val="nil"/>
              <w:bottom w:val="nil"/>
              <w:right w:val="nil"/>
            </w:tcBorders>
            <w:shd w:val="clear" w:color="auto" w:fill="auto"/>
            <w:noWrap/>
            <w:vAlign w:val="bottom"/>
            <w:hideMark/>
          </w:tcPr>
          <w:p w14:paraId="6CA6F42F" w14:textId="41FF0E3F"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302,531,562</w:t>
            </w:r>
          </w:p>
        </w:tc>
        <w:tc>
          <w:tcPr>
            <w:tcW w:w="2340" w:type="dxa"/>
            <w:tcBorders>
              <w:top w:val="nil"/>
              <w:left w:val="nil"/>
              <w:bottom w:val="nil"/>
              <w:right w:val="nil"/>
            </w:tcBorders>
            <w:shd w:val="clear" w:color="auto" w:fill="auto"/>
            <w:noWrap/>
            <w:vAlign w:val="bottom"/>
            <w:hideMark/>
          </w:tcPr>
          <w:p w14:paraId="5BF2AFCD" w14:textId="519EFF2A"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295,837,827</w:t>
            </w:r>
          </w:p>
        </w:tc>
        <w:tc>
          <w:tcPr>
            <w:tcW w:w="2250" w:type="dxa"/>
            <w:tcBorders>
              <w:top w:val="nil"/>
              <w:left w:val="nil"/>
              <w:bottom w:val="nil"/>
              <w:right w:val="nil"/>
            </w:tcBorders>
            <w:shd w:val="clear" w:color="auto" w:fill="auto"/>
            <w:noWrap/>
            <w:vAlign w:val="bottom"/>
            <w:hideMark/>
          </w:tcPr>
          <w:p w14:paraId="084F27B7" w14:textId="0093C4A8"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6,693,735</w:t>
            </w:r>
          </w:p>
        </w:tc>
      </w:tr>
      <w:tr w:rsidR="004507FC" w14:paraId="4F06B200" w14:textId="77777777" w:rsidTr="004507FC">
        <w:trPr>
          <w:trHeight w:val="300"/>
        </w:trPr>
        <w:tc>
          <w:tcPr>
            <w:tcW w:w="3240" w:type="dxa"/>
            <w:tcBorders>
              <w:top w:val="nil"/>
              <w:left w:val="nil"/>
              <w:bottom w:val="nil"/>
              <w:right w:val="nil"/>
            </w:tcBorders>
            <w:shd w:val="clear" w:color="auto" w:fill="auto"/>
            <w:vAlign w:val="bottom"/>
            <w:hideMark/>
          </w:tcPr>
          <w:p w14:paraId="7A02252F" w14:textId="77777777" w:rsidR="004507FC" w:rsidRDefault="004507FC">
            <w:pPr>
              <w:jc w:val="right"/>
              <w:rPr>
                <w:rFonts w:ascii="Calibri" w:hAnsi="Calibri" w:cs="Calibri"/>
                <w:b/>
                <w:bCs/>
                <w:color w:val="000000"/>
                <w:sz w:val="22"/>
                <w:szCs w:val="22"/>
              </w:rPr>
            </w:pPr>
          </w:p>
        </w:tc>
        <w:tc>
          <w:tcPr>
            <w:tcW w:w="2230" w:type="dxa"/>
            <w:tcBorders>
              <w:top w:val="nil"/>
              <w:left w:val="nil"/>
              <w:bottom w:val="nil"/>
              <w:right w:val="nil"/>
            </w:tcBorders>
            <w:shd w:val="clear" w:color="auto" w:fill="auto"/>
            <w:noWrap/>
            <w:vAlign w:val="bottom"/>
            <w:hideMark/>
          </w:tcPr>
          <w:p w14:paraId="3F597CA7" w14:textId="77777777" w:rsidR="004507FC" w:rsidRDefault="004507FC" w:rsidP="004507FC">
            <w:pPr>
              <w:jc w:val="right"/>
              <w:rPr>
                <w:sz w:val="20"/>
                <w:szCs w:val="20"/>
              </w:rPr>
            </w:pPr>
          </w:p>
        </w:tc>
        <w:tc>
          <w:tcPr>
            <w:tcW w:w="2340" w:type="dxa"/>
            <w:tcBorders>
              <w:top w:val="nil"/>
              <w:left w:val="nil"/>
              <w:bottom w:val="nil"/>
              <w:right w:val="nil"/>
            </w:tcBorders>
            <w:shd w:val="clear" w:color="auto" w:fill="auto"/>
            <w:noWrap/>
            <w:vAlign w:val="bottom"/>
            <w:hideMark/>
          </w:tcPr>
          <w:p w14:paraId="670FE0D1" w14:textId="77777777" w:rsidR="004507FC" w:rsidRDefault="004507FC" w:rsidP="004507FC">
            <w:pPr>
              <w:jc w:val="right"/>
              <w:rPr>
                <w:sz w:val="20"/>
                <w:szCs w:val="20"/>
              </w:rPr>
            </w:pPr>
          </w:p>
        </w:tc>
        <w:tc>
          <w:tcPr>
            <w:tcW w:w="2250" w:type="dxa"/>
            <w:tcBorders>
              <w:top w:val="nil"/>
              <w:left w:val="nil"/>
              <w:bottom w:val="nil"/>
              <w:right w:val="nil"/>
            </w:tcBorders>
            <w:shd w:val="clear" w:color="auto" w:fill="auto"/>
            <w:noWrap/>
            <w:vAlign w:val="bottom"/>
            <w:hideMark/>
          </w:tcPr>
          <w:p w14:paraId="67309D12" w14:textId="77777777" w:rsidR="004507FC" w:rsidRDefault="004507FC" w:rsidP="004507FC">
            <w:pPr>
              <w:jc w:val="right"/>
              <w:rPr>
                <w:sz w:val="20"/>
                <w:szCs w:val="20"/>
              </w:rPr>
            </w:pPr>
          </w:p>
        </w:tc>
      </w:tr>
      <w:tr w:rsidR="004507FC" w14:paraId="0DAD5212" w14:textId="77777777" w:rsidTr="004507FC">
        <w:trPr>
          <w:trHeight w:val="300"/>
        </w:trPr>
        <w:tc>
          <w:tcPr>
            <w:tcW w:w="3240" w:type="dxa"/>
            <w:tcBorders>
              <w:top w:val="nil"/>
              <w:left w:val="nil"/>
              <w:bottom w:val="nil"/>
              <w:right w:val="nil"/>
            </w:tcBorders>
            <w:shd w:val="clear" w:color="auto" w:fill="auto"/>
            <w:vAlign w:val="bottom"/>
            <w:hideMark/>
          </w:tcPr>
          <w:p w14:paraId="4EE78A82" w14:textId="77777777" w:rsidR="004507FC" w:rsidRDefault="004507FC">
            <w:pPr>
              <w:rPr>
                <w:rFonts w:ascii="Calibri" w:hAnsi="Calibri" w:cs="Calibri"/>
                <w:color w:val="000000"/>
                <w:sz w:val="22"/>
                <w:szCs w:val="22"/>
              </w:rPr>
            </w:pPr>
            <w:r>
              <w:rPr>
                <w:rFonts w:ascii="Calibri" w:hAnsi="Calibri" w:cs="Calibri"/>
                <w:color w:val="000000"/>
                <w:sz w:val="22"/>
                <w:szCs w:val="22"/>
              </w:rPr>
              <w:t>Assignments and Designations</w:t>
            </w:r>
          </w:p>
        </w:tc>
        <w:tc>
          <w:tcPr>
            <w:tcW w:w="2230" w:type="dxa"/>
            <w:tcBorders>
              <w:top w:val="nil"/>
              <w:left w:val="nil"/>
              <w:bottom w:val="nil"/>
              <w:right w:val="nil"/>
            </w:tcBorders>
            <w:shd w:val="clear" w:color="auto" w:fill="auto"/>
            <w:noWrap/>
            <w:vAlign w:val="bottom"/>
            <w:hideMark/>
          </w:tcPr>
          <w:p w14:paraId="23B97545" w14:textId="5E1DD96F"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w:t>
            </w:r>
          </w:p>
        </w:tc>
        <w:tc>
          <w:tcPr>
            <w:tcW w:w="2340" w:type="dxa"/>
            <w:tcBorders>
              <w:top w:val="nil"/>
              <w:left w:val="nil"/>
              <w:bottom w:val="nil"/>
              <w:right w:val="nil"/>
            </w:tcBorders>
            <w:shd w:val="clear" w:color="auto" w:fill="auto"/>
            <w:noWrap/>
            <w:vAlign w:val="bottom"/>
            <w:hideMark/>
          </w:tcPr>
          <w:p w14:paraId="1CD49BF4" w14:textId="2D0050F9"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8,837,983</w:t>
            </w:r>
          </w:p>
        </w:tc>
        <w:tc>
          <w:tcPr>
            <w:tcW w:w="2250" w:type="dxa"/>
            <w:tcBorders>
              <w:top w:val="nil"/>
              <w:left w:val="nil"/>
              <w:bottom w:val="nil"/>
              <w:right w:val="nil"/>
            </w:tcBorders>
            <w:shd w:val="clear" w:color="auto" w:fill="auto"/>
            <w:noWrap/>
            <w:vAlign w:val="bottom"/>
            <w:hideMark/>
          </w:tcPr>
          <w:p w14:paraId="236FA8D9" w14:textId="002F1DC1" w:rsidR="004507FC" w:rsidRDefault="004507FC" w:rsidP="004507FC">
            <w:pPr>
              <w:jc w:val="right"/>
              <w:rPr>
                <w:rFonts w:ascii="Calibri" w:hAnsi="Calibri" w:cs="Calibri"/>
                <w:color w:val="000000"/>
                <w:sz w:val="22"/>
                <w:szCs w:val="22"/>
              </w:rPr>
            </w:pPr>
            <w:r>
              <w:rPr>
                <w:rFonts w:ascii="Calibri" w:hAnsi="Calibri" w:cs="Calibri"/>
                <w:color w:val="000000"/>
                <w:sz w:val="22"/>
                <w:szCs w:val="22"/>
              </w:rPr>
              <w:t>(8,837,983)</w:t>
            </w:r>
          </w:p>
        </w:tc>
      </w:tr>
      <w:tr w:rsidR="004507FC" w14:paraId="0D5872F9" w14:textId="77777777" w:rsidTr="004507FC">
        <w:trPr>
          <w:trHeight w:val="300"/>
        </w:trPr>
        <w:tc>
          <w:tcPr>
            <w:tcW w:w="3240" w:type="dxa"/>
            <w:tcBorders>
              <w:top w:val="nil"/>
              <w:left w:val="nil"/>
              <w:bottom w:val="nil"/>
              <w:right w:val="nil"/>
            </w:tcBorders>
            <w:shd w:val="clear" w:color="auto" w:fill="auto"/>
            <w:vAlign w:val="bottom"/>
            <w:hideMark/>
          </w:tcPr>
          <w:p w14:paraId="4D3229B8" w14:textId="77777777" w:rsidR="004507FC" w:rsidRDefault="004507FC">
            <w:pPr>
              <w:rPr>
                <w:rFonts w:ascii="Calibri" w:hAnsi="Calibri" w:cs="Calibri"/>
                <w:b/>
                <w:bCs/>
                <w:color w:val="000000"/>
                <w:sz w:val="22"/>
                <w:szCs w:val="22"/>
              </w:rPr>
            </w:pPr>
            <w:r>
              <w:rPr>
                <w:rFonts w:ascii="Calibri" w:hAnsi="Calibri" w:cs="Calibri"/>
                <w:b/>
                <w:bCs/>
                <w:color w:val="000000"/>
                <w:sz w:val="22"/>
                <w:szCs w:val="22"/>
              </w:rPr>
              <w:t>Total Requirements</w:t>
            </w:r>
          </w:p>
        </w:tc>
        <w:tc>
          <w:tcPr>
            <w:tcW w:w="2230" w:type="dxa"/>
            <w:tcBorders>
              <w:top w:val="single" w:sz="4" w:space="0" w:color="auto"/>
              <w:left w:val="nil"/>
              <w:bottom w:val="single" w:sz="4" w:space="0" w:color="auto"/>
              <w:right w:val="nil"/>
            </w:tcBorders>
            <w:shd w:val="clear" w:color="auto" w:fill="auto"/>
            <w:noWrap/>
            <w:vAlign w:val="bottom"/>
            <w:hideMark/>
          </w:tcPr>
          <w:p w14:paraId="187765FE" w14:textId="34DBD635"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302,531,562</w:t>
            </w:r>
          </w:p>
        </w:tc>
        <w:tc>
          <w:tcPr>
            <w:tcW w:w="2340" w:type="dxa"/>
            <w:tcBorders>
              <w:top w:val="single" w:sz="4" w:space="0" w:color="auto"/>
              <w:left w:val="nil"/>
              <w:bottom w:val="single" w:sz="4" w:space="0" w:color="auto"/>
              <w:right w:val="nil"/>
            </w:tcBorders>
            <w:shd w:val="clear" w:color="auto" w:fill="auto"/>
            <w:noWrap/>
            <w:vAlign w:val="bottom"/>
            <w:hideMark/>
          </w:tcPr>
          <w:p w14:paraId="37907533" w14:textId="7B9EDA53"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304,675,810</w:t>
            </w:r>
          </w:p>
        </w:tc>
        <w:tc>
          <w:tcPr>
            <w:tcW w:w="2250" w:type="dxa"/>
            <w:tcBorders>
              <w:top w:val="single" w:sz="4" w:space="0" w:color="auto"/>
              <w:left w:val="nil"/>
              <w:bottom w:val="single" w:sz="4" w:space="0" w:color="auto"/>
              <w:right w:val="nil"/>
            </w:tcBorders>
            <w:shd w:val="clear" w:color="auto" w:fill="auto"/>
            <w:noWrap/>
            <w:vAlign w:val="bottom"/>
            <w:hideMark/>
          </w:tcPr>
          <w:p w14:paraId="3BECFAA5" w14:textId="182A952C"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(2,144,248)</w:t>
            </w:r>
          </w:p>
        </w:tc>
      </w:tr>
      <w:tr w:rsidR="004507FC" w14:paraId="5F2F0EB1" w14:textId="77777777" w:rsidTr="004507FC">
        <w:trPr>
          <w:trHeight w:val="315"/>
        </w:trPr>
        <w:tc>
          <w:tcPr>
            <w:tcW w:w="3240" w:type="dxa"/>
            <w:tcBorders>
              <w:top w:val="nil"/>
              <w:left w:val="nil"/>
              <w:bottom w:val="nil"/>
              <w:right w:val="nil"/>
            </w:tcBorders>
            <w:shd w:val="clear" w:color="auto" w:fill="auto"/>
            <w:vAlign w:val="bottom"/>
            <w:hideMark/>
          </w:tcPr>
          <w:p w14:paraId="153F6492" w14:textId="77777777" w:rsidR="004507FC" w:rsidRDefault="004507FC">
            <w:pPr>
              <w:rPr>
                <w:rFonts w:ascii="Calibri" w:hAnsi="Calibri" w:cs="Calibri"/>
                <w:b/>
                <w:bCs/>
                <w:color w:val="000000"/>
                <w:sz w:val="22"/>
                <w:szCs w:val="22"/>
              </w:rPr>
            </w:pPr>
            <w:r>
              <w:rPr>
                <w:rFonts w:ascii="Calibri" w:hAnsi="Calibri" w:cs="Calibri"/>
                <w:b/>
                <w:bCs/>
                <w:color w:val="000000"/>
                <w:sz w:val="22"/>
                <w:szCs w:val="22"/>
              </w:rPr>
              <w:t>Projected Ending Fund Balance</w:t>
            </w:r>
          </w:p>
        </w:tc>
        <w:tc>
          <w:tcPr>
            <w:tcW w:w="2230" w:type="dxa"/>
            <w:tcBorders>
              <w:top w:val="nil"/>
              <w:left w:val="nil"/>
              <w:bottom w:val="double" w:sz="6" w:space="0" w:color="auto"/>
              <w:right w:val="nil"/>
            </w:tcBorders>
            <w:shd w:val="clear" w:color="auto" w:fill="auto"/>
            <w:noWrap/>
            <w:vAlign w:val="bottom"/>
            <w:hideMark/>
          </w:tcPr>
          <w:p w14:paraId="3C01EBAA" w14:textId="34A96591"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              (15,489,350)</w:t>
            </w:r>
          </w:p>
        </w:tc>
        <w:tc>
          <w:tcPr>
            <w:tcW w:w="2340" w:type="dxa"/>
            <w:tcBorders>
              <w:top w:val="nil"/>
              <w:left w:val="nil"/>
              <w:bottom w:val="double" w:sz="6" w:space="0" w:color="auto"/>
              <w:right w:val="nil"/>
            </w:tcBorders>
            <w:shd w:val="clear" w:color="auto" w:fill="auto"/>
            <w:noWrap/>
            <w:vAlign w:val="bottom"/>
            <w:hideMark/>
          </w:tcPr>
          <w:p w14:paraId="30BA9C32" w14:textId="5CA9C594"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                13,905,321</w:t>
            </w:r>
          </w:p>
        </w:tc>
        <w:tc>
          <w:tcPr>
            <w:tcW w:w="2250" w:type="dxa"/>
            <w:tcBorders>
              <w:top w:val="nil"/>
              <w:left w:val="nil"/>
              <w:bottom w:val="double" w:sz="6" w:space="0" w:color="auto"/>
              <w:right w:val="nil"/>
            </w:tcBorders>
            <w:shd w:val="clear" w:color="auto" w:fill="auto"/>
            <w:noWrap/>
            <w:vAlign w:val="bottom"/>
            <w:hideMark/>
          </w:tcPr>
          <w:p w14:paraId="0206EFED" w14:textId="413BEF16" w:rsidR="004507FC" w:rsidRDefault="004507FC" w:rsidP="004507FC">
            <w:pPr>
              <w:jc w:val="right"/>
              <w:rPr>
                <w:rFonts w:ascii="Calibri" w:hAnsi="Calibri" w:cs="Calibri"/>
                <w:b/>
                <w:bCs/>
                <w:color w:val="000000"/>
                <w:sz w:val="22"/>
                <w:szCs w:val="22"/>
              </w:rPr>
            </w:pPr>
            <w:r>
              <w:rPr>
                <w:rFonts w:ascii="Calibri" w:hAnsi="Calibri" w:cs="Calibri"/>
                <w:b/>
                <w:bCs/>
                <w:color w:val="000000"/>
                <w:sz w:val="22"/>
                <w:szCs w:val="22"/>
              </w:rPr>
              <w:t>$                29,394,671</w:t>
            </w:r>
          </w:p>
        </w:tc>
      </w:tr>
    </w:tbl>
    <w:p w14:paraId="20C8DCED" w14:textId="3A30A051" w:rsidR="00C90E05" w:rsidRDefault="00C90E05" w:rsidP="004D7BD6">
      <w:pPr>
        <w:spacing w:after="120"/>
      </w:pPr>
    </w:p>
    <w:p w14:paraId="19DC2858" w14:textId="0B2148DD" w:rsidR="001D721A" w:rsidRPr="00A96ECC" w:rsidRDefault="00DA5188" w:rsidP="00D034CF">
      <w:pPr>
        <w:spacing w:after="120"/>
        <w:rPr>
          <w:rFonts w:asciiTheme="minorHAnsi" w:hAnsiTheme="minorHAnsi" w:cstheme="minorHAnsi"/>
        </w:rPr>
      </w:pPr>
      <w:r w:rsidRPr="00420D2E">
        <w:rPr>
          <w:rFonts w:asciiTheme="minorHAnsi" w:hAnsiTheme="minorHAnsi" w:cstheme="minorHAnsi"/>
        </w:rPr>
        <w:t>General Fund revenues are projected to be approximately $</w:t>
      </w:r>
      <w:r w:rsidR="00A72270">
        <w:rPr>
          <w:rFonts w:asciiTheme="minorHAnsi" w:hAnsiTheme="minorHAnsi" w:cstheme="minorHAnsi"/>
        </w:rPr>
        <w:t>10.9</w:t>
      </w:r>
      <w:r w:rsidR="000840C5" w:rsidRPr="00420D2E">
        <w:rPr>
          <w:rFonts w:asciiTheme="minorHAnsi" w:hAnsiTheme="minorHAnsi" w:cstheme="minorHAnsi"/>
        </w:rPr>
        <w:t xml:space="preserve"> </w:t>
      </w:r>
      <w:r w:rsidRPr="00420D2E">
        <w:rPr>
          <w:rFonts w:asciiTheme="minorHAnsi" w:hAnsiTheme="minorHAnsi" w:cstheme="minorHAnsi"/>
        </w:rPr>
        <w:t xml:space="preserve">million </w:t>
      </w:r>
      <w:r w:rsidR="00A96ECC">
        <w:rPr>
          <w:rFonts w:asciiTheme="minorHAnsi" w:hAnsiTheme="minorHAnsi" w:cstheme="minorHAnsi"/>
        </w:rPr>
        <w:t xml:space="preserve">more than the adjusted budget, </w:t>
      </w:r>
      <w:r w:rsidR="00347F41">
        <w:rPr>
          <w:rFonts w:asciiTheme="minorHAnsi" w:hAnsiTheme="minorHAnsi" w:cstheme="minorHAnsi"/>
        </w:rPr>
        <w:t>with</w:t>
      </w:r>
      <w:r w:rsidR="00D034CF">
        <w:rPr>
          <w:rFonts w:asciiTheme="minorHAnsi" w:hAnsiTheme="minorHAnsi" w:cstheme="minorHAnsi"/>
        </w:rPr>
        <w:t xml:space="preserve"> $</w:t>
      </w:r>
      <w:r w:rsidR="00D55604">
        <w:rPr>
          <w:rFonts w:asciiTheme="minorHAnsi" w:hAnsiTheme="minorHAnsi" w:cstheme="minorHAnsi"/>
        </w:rPr>
        <w:t>9.8</w:t>
      </w:r>
      <w:r w:rsidR="00A96ECC">
        <w:rPr>
          <w:rFonts w:asciiTheme="minorHAnsi" w:hAnsiTheme="minorHAnsi" w:cstheme="minorHAnsi"/>
        </w:rPr>
        <w:t xml:space="preserve"> million in </w:t>
      </w:r>
      <w:r w:rsidR="00D55604">
        <w:rPr>
          <w:rFonts w:asciiTheme="minorHAnsi" w:hAnsiTheme="minorHAnsi" w:cstheme="minorHAnsi"/>
        </w:rPr>
        <w:t xml:space="preserve">non-departmental </w:t>
      </w:r>
      <w:r w:rsidR="00B641D1">
        <w:rPr>
          <w:rFonts w:asciiTheme="minorHAnsi" w:hAnsiTheme="minorHAnsi" w:cstheme="minorHAnsi"/>
        </w:rPr>
        <w:t>revenue</w:t>
      </w:r>
      <w:r w:rsidR="00D55604">
        <w:rPr>
          <w:rFonts w:asciiTheme="minorHAnsi" w:hAnsiTheme="minorHAnsi" w:cstheme="minorHAnsi"/>
        </w:rPr>
        <w:t>s</w:t>
      </w:r>
      <w:r w:rsidR="00592547">
        <w:rPr>
          <w:rFonts w:asciiTheme="minorHAnsi" w:hAnsiTheme="minorHAnsi" w:cstheme="minorHAnsi"/>
        </w:rPr>
        <w:t xml:space="preserve"> </w:t>
      </w:r>
      <w:r w:rsidR="00A72270">
        <w:rPr>
          <w:rFonts w:asciiTheme="minorHAnsi" w:hAnsiTheme="minorHAnsi" w:cstheme="minorHAnsi"/>
        </w:rPr>
        <w:t>and $1.2 mil</w:t>
      </w:r>
      <w:r w:rsidR="00592547">
        <w:rPr>
          <w:rFonts w:asciiTheme="minorHAnsi" w:hAnsiTheme="minorHAnsi" w:cstheme="minorHAnsi"/>
        </w:rPr>
        <w:t>lion in departmental revenue</w:t>
      </w:r>
      <w:r w:rsidR="00A72270">
        <w:rPr>
          <w:rFonts w:asciiTheme="minorHAnsi" w:hAnsiTheme="minorHAnsi" w:cstheme="minorHAnsi"/>
        </w:rPr>
        <w:t xml:space="preserve"> increases</w:t>
      </w:r>
      <w:r w:rsidR="00592547">
        <w:rPr>
          <w:rFonts w:asciiTheme="minorHAnsi" w:hAnsiTheme="minorHAnsi" w:cstheme="minorHAnsi"/>
        </w:rPr>
        <w:t>.</w:t>
      </w:r>
    </w:p>
    <w:p w14:paraId="56A4ECD7" w14:textId="61CBB7B5" w:rsidR="001B4D7F" w:rsidRDefault="001D721A" w:rsidP="00D96CBA">
      <w:pPr>
        <w:spacing w:after="120"/>
        <w:rPr>
          <w:sz w:val="20"/>
          <w:szCs w:val="20"/>
        </w:rPr>
      </w:pPr>
      <w:r w:rsidRPr="001D721A">
        <w:rPr>
          <w:rFonts w:asciiTheme="minorHAnsi" w:hAnsiTheme="minorHAnsi" w:cstheme="minorHAnsi"/>
        </w:rPr>
        <w:t>The</w:t>
      </w:r>
      <w:r>
        <w:rPr>
          <w:rFonts w:asciiTheme="minorHAnsi" w:hAnsiTheme="minorHAnsi" w:cstheme="minorHAnsi"/>
        </w:rPr>
        <w:t xml:space="preserve"> primary sources of General Fund Revenue are Property Tax, Transient Occupancy Tax, and Sales and Use Tax.  The table below summarizes the budget vs. estimate for these key revenue sources.</w:t>
      </w:r>
      <w:r w:rsidR="00913CD1">
        <w:rPr>
          <w:rFonts w:asciiTheme="minorHAnsi" w:hAnsiTheme="minorHAnsi" w:cstheme="minorHAnsi"/>
        </w:rPr>
        <w:t xml:space="preserve">  </w:t>
      </w:r>
      <w:r w:rsidR="00002CF3">
        <w:rPr>
          <w:rFonts w:asciiTheme="minorHAnsi" w:hAnsiTheme="minorHAnsi" w:cstheme="minorHAnsi"/>
        </w:rPr>
        <w:t xml:space="preserve">Both Property Tax and Sales and Use Tax are projected to exceed budget, while Transient Occupancy tax is not expected to </w:t>
      </w:r>
      <w:r w:rsidR="00592547">
        <w:rPr>
          <w:rFonts w:asciiTheme="minorHAnsi" w:hAnsiTheme="minorHAnsi" w:cstheme="minorHAnsi"/>
        </w:rPr>
        <w:t>change</w:t>
      </w:r>
      <w:r w:rsidR="00002CF3">
        <w:rPr>
          <w:rFonts w:asciiTheme="minorHAnsi" w:hAnsiTheme="minorHAnsi" w:cstheme="minorHAnsi"/>
        </w:rPr>
        <w:t xml:space="preserve">. However, it should be noted that the timing of the receipt of these revenues means that these estimates are very preliminary.  </w:t>
      </w:r>
      <w:r w:rsidR="001F039A">
        <w:rPr>
          <w:rFonts w:asciiTheme="minorHAnsi" w:hAnsiTheme="minorHAnsi" w:cstheme="minorHAnsi"/>
        </w:rPr>
        <w:t xml:space="preserve">These revenue estimates are in line with figures in the five year forecast presented to your board in February as well as the most recent Economic Impact report presented in January. </w:t>
      </w:r>
      <w:r w:rsidR="00913CD1">
        <w:fldChar w:fldCharType="begin"/>
      </w:r>
      <w:r w:rsidR="00913CD1">
        <w:instrText xml:space="preserve"> LINK </w:instrText>
      </w:r>
      <w:r w:rsidR="001B4D7F">
        <w:instrText xml:space="preserve">Excel.Sheet.12 "\\\\data2\\CAO\\!-SHARED\\BUDGET\\FY 2020 BUDGET\\Midyear Estimates\\GF Summary.xlsx" "Tax revenue!R3C1:R8C5" </w:instrText>
      </w:r>
      <w:r w:rsidR="00913CD1">
        <w:instrText xml:space="preserve">\a \f 4 \h </w:instrText>
      </w:r>
      <w:r w:rsidR="00C90E05">
        <w:instrText xml:space="preserve"> \* MERGEFORMAT </w:instrText>
      </w:r>
      <w:r w:rsidR="00913CD1">
        <w:fldChar w:fldCharType="separate"/>
      </w:r>
    </w:p>
    <w:tbl>
      <w:tblPr>
        <w:tblW w:w="10080" w:type="dxa"/>
        <w:tblLook w:val="04A0" w:firstRow="1" w:lastRow="0" w:firstColumn="1" w:lastColumn="0" w:noHBand="0" w:noVBand="1"/>
      </w:tblPr>
      <w:tblGrid>
        <w:gridCol w:w="2700"/>
        <w:gridCol w:w="1918"/>
        <w:gridCol w:w="2143"/>
        <w:gridCol w:w="1927"/>
        <w:gridCol w:w="1392"/>
      </w:tblGrid>
      <w:tr w:rsidR="00C90E05" w:rsidRPr="001B4D7F" w14:paraId="56846F58" w14:textId="77777777" w:rsidTr="00D96CBA">
        <w:trPr>
          <w:divId w:val="50546397"/>
          <w:trHeight w:val="300"/>
        </w:trPr>
        <w:tc>
          <w:tcPr>
            <w:tcW w:w="2700" w:type="dxa"/>
            <w:tcBorders>
              <w:top w:val="nil"/>
              <w:left w:val="nil"/>
              <w:bottom w:val="nil"/>
              <w:right w:val="nil"/>
            </w:tcBorders>
            <w:shd w:val="clear" w:color="auto" w:fill="auto"/>
            <w:noWrap/>
            <w:vAlign w:val="bottom"/>
            <w:hideMark/>
          </w:tcPr>
          <w:p w14:paraId="23A6C2DA" w14:textId="392EE21B" w:rsidR="001B4D7F" w:rsidRPr="001B4D7F" w:rsidRDefault="001B4D7F" w:rsidP="001B4D7F"/>
        </w:tc>
        <w:tc>
          <w:tcPr>
            <w:tcW w:w="1918" w:type="dxa"/>
            <w:tcBorders>
              <w:top w:val="nil"/>
              <w:left w:val="nil"/>
              <w:bottom w:val="nil"/>
              <w:right w:val="nil"/>
            </w:tcBorders>
            <w:shd w:val="clear" w:color="auto" w:fill="auto"/>
            <w:noWrap/>
            <w:vAlign w:val="bottom"/>
            <w:hideMark/>
          </w:tcPr>
          <w:p w14:paraId="4F8DDA8B" w14:textId="4FD85AC1" w:rsidR="001B4D7F" w:rsidRPr="00D96CBA" w:rsidRDefault="001B4D7F" w:rsidP="00C90E05">
            <w:pPr>
              <w:jc w:val="center"/>
              <w:rPr>
                <w:rFonts w:ascii="Calibri" w:hAnsi="Calibri" w:cs="Calibri"/>
                <w:b/>
                <w:color w:val="000000"/>
                <w:sz w:val="22"/>
                <w:szCs w:val="22"/>
              </w:rPr>
            </w:pPr>
            <w:r w:rsidRPr="00D96CBA">
              <w:rPr>
                <w:rFonts w:ascii="Calibri" w:hAnsi="Calibri" w:cs="Calibri"/>
                <w:b/>
                <w:color w:val="000000"/>
                <w:sz w:val="22"/>
                <w:szCs w:val="22"/>
              </w:rPr>
              <w:t xml:space="preserve">FY </w:t>
            </w:r>
            <w:r w:rsidR="00C90E05" w:rsidRPr="00D96CBA">
              <w:rPr>
                <w:rFonts w:ascii="Calibri" w:hAnsi="Calibri" w:cs="Calibri"/>
                <w:b/>
                <w:color w:val="000000"/>
                <w:sz w:val="22"/>
                <w:szCs w:val="22"/>
              </w:rPr>
              <w:t>2020</w:t>
            </w:r>
            <w:r w:rsidRPr="00D96CBA">
              <w:rPr>
                <w:rFonts w:ascii="Calibri" w:hAnsi="Calibri" w:cs="Calibri"/>
                <w:b/>
                <w:color w:val="000000"/>
                <w:sz w:val="22"/>
                <w:szCs w:val="22"/>
              </w:rPr>
              <w:t>-2</w:t>
            </w:r>
            <w:r w:rsidR="00C90E05" w:rsidRPr="00D96CBA">
              <w:rPr>
                <w:rFonts w:ascii="Calibri" w:hAnsi="Calibri" w:cs="Calibri"/>
                <w:b/>
                <w:color w:val="000000"/>
                <w:sz w:val="22"/>
                <w:szCs w:val="22"/>
              </w:rPr>
              <w:t>1</w:t>
            </w:r>
          </w:p>
        </w:tc>
        <w:tc>
          <w:tcPr>
            <w:tcW w:w="2143" w:type="dxa"/>
            <w:tcBorders>
              <w:top w:val="nil"/>
              <w:left w:val="nil"/>
              <w:bottom w:val="nil"/>
              <w:right w:val="nil"/>
            </w:tcBorders>
            <w:shd w:val="clear" w:color="auto" w:fill="auto"/>
            <w:noWrap/>
            <w:vAlign w:val="bottom"/>
            <w:hideMark/>
          </w:tcPr>
          <w:p w14:paraId="1005ECED" w14:textId="3C2671BF" w:rsidR="001B4D7F" w:rsidRPr="00D96CBA" w:rsidRDefault="001B4D7F" w:rsidP="00C90E05">
            <w:pPr>
              <w:jc w:val="center"/>
              <w:rPr>
                <w:rFonts w:ascii="Calibri" w:hAnsi="Calibri" w:cs="Calibri"/>
                <w:b/>
                <w:color w:val="000000"/>
                <w:sz w:val="22"/>
                <w:szCs w:val="22"/>
              </w:rPr>
            </w:pPr>
            <w:r w:rsidRPr="00D96CBA">
              <w:rPr>
                <w:rFonts w:ascii="Calibri" w:hAnsi="Calibri" w:cs="Calibri"/>
                <w:b/>
                <w:color w:val="000000"/>
                <w:sz w:val="22"/>
                <w:szCs w:val="22"/>
              </w:rPr>
              <w:t xml:space="preserve">FY </w:t>
            </w:r>
            <w:r w:rsidR="00C90E05" w:rsidRPr="00D96CBA">
              <w:rPr>
                <w:rFonts w:ascii="Calibri" w:hAnsi="Calibri" w:cs="Calibri"/>
                <w:b/>
                <w:color w:val="000000"/>
                <w:sz w:val="22"/>
                <w:szCs w:val="22"/>
              </w:rPr>
              <w:t>2020</w:t>
            </w:r>
            <w:r w:rsidRPr="00D96CBA">
              <w:rPr>
                <w:rFonts w:ascii="Calibri" w:hAnsi="Calibri" w:cs="Calibri"/>
                <w:b/>
                <w:color w:val="000000"/>
                <w:sz w:val="22"/>
                <w:szCs w:val="22"/>
              </w:rPr>
              <w:t>-2</w:t>
            </w:r>
            <w:r w:rsidR="00C90E05" w:rsidRPr="00D96CBA">
              <w:rPr>
                <w:rFonts w:ascii="Calibri" w:hAnsi="Calibri" w:cs="Calibri"/>
                <w:b/>
                <w:color w:val="000000"/>
                <w:sz w:val="22"/>
                <w:szCs w:val="22"/>
              </w:rPr>
              <w:t>1</w:t>
            </w:r>
          </w:p>
        </w:tc>
        <w:tc>
          <w:tcPr>
            <w:tcW w:w="1927" w:type="dxa"/>
            <w:tcBorders>
              <w:top w:val="nil"/>
              <w:left w:val="nil"/>
              <w:bottom w:val="nil"/>
              <w:right w:val="nil"/>
            </w:tcBorders>
            <w:shd w:val="clear" w:color="auto" w:fill="auto"/>
            <w:noWrap/>
            <w:vAlign w:val="bottom"/>
            <w:hideMark/>
          </w:tcPr>
          <w:p w14:paraId="4E5EFF30" w14:textId="77777777" w:rsidR="001B4D7F" w:rsidRPr="00D96CBA" w:rsidRDefault="001B4D7F" w:rsidP="00C90E05">
            <w:pPr>
              <w:jc w:val="center"/>
              <w:rPr>
                <w:rFonts w:ascii="Calibri" w:hAnsi="Calibri" w:cs="Calibri"/>
                <w:b/>
                <w:color w:val="000000"/>
                <w:sz w:val="22"/>
                <w:szCs w:val="22"/>
              </w:rPr>
            </w:pPr>
          </w:p>
        </w:tc>
        <w:tc>
          <w:tcPr>
            <w:tcW w:w="1392" w:type="dxa"/>
            <w:tcBorders>
              <w:top w:val="nil"/>
              <w:left w:val="nil"/>
              <w:bottom w:val="nil"/>
              <w:right w:val="nil"/>
            </w:tcBorders>
            <w:shd w:val="clear" w:color="auto" w:fill="auto"/>
            <w:noWrap/>
            <w:vAlign w:val="bottom"/>
            <w:hideMark/>
          </w:tcPr>
          <w:p w14:paraId="2D70AC08" w14:textId="77777777" w:rsidR="001B4D7F" w:rsidRPr="00D96CBA" w:rsidRDefault="001B4D7F" w:rsidP="00C90E05">
            <w:pPr>
              <w:jc w:val="center"/>
              <w:rPr>
                <w:rFonts w:ascii="Calibri" w:hAnsi="Calibri" w:cs="Calibri"/>
                <w:b/>
                <w:color w:val="000000"/>
                <w:sz w:val="22"/>
                <w:szCs w:val="22"/>
              </w:rPr>
            </w:pPr>
            <w:r w:rsidRPr="00D96CBA">
              <w:rPr>
                <w:rFonts w:ascii="Calibri" w:hAnsi="Calibri" w:cs="Calibri"/>
                <w:b/>
                <w:color w:val="000000"/>
                <w:sz w:val="22"/>
                <w:szCs w:val="22"/>
              </w:rPr>
              <w:t>Percent</w:t>
            </w:r>
          </w:p>
        </w:tc>
      </w:tr>
      <w:tr w:rsidR="00C90E05" w:rsidRPr="001B4D7F" w14:paraId="10A01E8A" w14:textId="77777777" w:rsidTr="00D96CBA">
        <w:trPr>
          <w:divId w:val="50546397"/>
          <w:trHeight w:val="300"/>
        </w:trPr>
        <w:tc>
          <w:tcPr>
            <w:tcW w:w="2700" w:type="dxa"/>
            <w:tcBorders>
              <w:top w:val="nil"/>
              <w:left w:val="nil"/>
              <w:bottom w:val="nil"/>
              <w:right w:val="nil"/>
            </w:tcBorders>
            <w:shd w:val="clear" w:color="auto" w:fill="auto"/>
            <w:noWrap/>
            <w:vAlign w:val="bottom"/>
            <w:hideMark/>
          </w:tcPr>
          <w:p w14:paraId="31B064E7" w14:textId="77777777" w:rsidR="001B4D7F" w:rsidRPr="001B4D7F" w:rsidRDefault="001B4D7F" w:rsidP="001B4D7F">
            <w:pPr>
              <w:jc w:val="center"/>
              <w:rPr>
                <w:rFonts w:ascii="Calibri" w:hAnsi="Calibri" w:cs="Calibri"/>
                <w:color w:val="000000"/>
                <w:sz w:val="22"/>
                <w:szCs w:val="22"/>
              </w:rPr>
            </w:pPr>
          </w:p>
        </w:tc>
        <w:tc>
          <w:tcPr>
            <w:tcW w:w="1918" w:type="dxa"/>
            <w:tcBorders>
              <w:top w:val="nil"/>
              <w:left w:val="nil"/>
              <w:bottom w:val="nil"/>
              <w:right w:val="nil"/>
            </w:tcBorders>
            <w:shd w:val="clear" w:color="auto" w:fill="auto"/>
            <w:noWrap/>
            <w:vAlign w:val="bottom"/>
            <w:hideMark/>
          </w:tcPr>
          <w:p w14:paraId="571BB4E7" w14:textId="63D0BB76" w:rsidR="001B4D7F" w:rsidRPr="00D96CBA" w:rsidRDefault="001B4D7F" w:rsidP="00C90E05">
            <w:pPr>
              <w:jc w:val="center"/>
              <w:rPr>
                <w:rFonts w:ascii="Calibri" w:hAnsi="Calibri" w:cs="Calibri"/>
                <w:b/>
                <w:color w:val="000000"/>
                <w:sz w:val="22"/>
                <w:szCs w:val="22"/>
              </w:rPr>
            </w:pPr>
            <w:r w:rsidRPr="00D96CBA">
              <w:rPr>
                <w:rFonts w:ascii="Calibri" w:hAnsi="Calibri" w:cs="Calibri"/>
                <w:b/>
                <w:color w:val="000000"/>
                <w:sz w:val="22"/>
                <w:szCs w:val="22"/>
              </w:rPr>
              <w:t>Adjusted</w:t>
            </w:r>
            <w:r w:rsidR="00C90E05" w:rsidRPr="00D96CBA">
              <w:rPr>
                <w:rFonts w:ascii="Calibri" w:hAnsi="Calibri" w:cs="Calibri"/>
                <w:b/>
                <w:color w:val="000000"/>
                <w:sz w:val="22"/>
                <w:szCs w:val="22"/>
              </w:rPr>
              <w:t xml:space="preserve"> Budget</w:t>
            </w:r>
          </w:p>
        </w:tc>
        <w:tc>
          <w:tcPr>
            <w:tcW w:w="2143" w:type="dxa"/>
            <w:tcBorders>
              <w:top w:val="nil"/>
              <w:left w:val="nil"/>
              <w:bottom w:val="nil"/>
              <w:right w:val="nil"/>
            </w:tcBorders>
            <w:shd w:val="clear" w:color="auto" w:fill="auto"/>
            <w:noWrap/>
            <w:vAlign w:val="bottom"/>
            <w:hideMark/>
          </w:tcPr>
          <w:p w14:paraId="5CF7EA97" w14:textId="58EA06C0" w:rsidR="001B4D7F" w:rsidRPr="00D96CBA" w:rsidRDefault="001B4D7F" w:rsidP="00C90E05">
            <w:pPr>
              <w:jc w:val="center"/>
              <w:rPr>
                <w:rFonts w:ascii="Calibri" w:hAnsi="Calibri" w:cs="Calibri"/>
                <w:b/>
                <w:color w:val="000000"/>
                <w:sz w:val="22"/>
                <w:szCs w:val="22"/>
              </w:rPr>
            </w:pPr>
            <w:r w:rsidRPr="00D96CBA">
              <w:rPr>
                <w:rFonts w:ascii="Calibri" w:hAnsi="Calibri" w:cs="Calibri"/>
                <w:b/>
                <w:color w:val="000000"/>
                <w:sz w:val="22"/>
                <w:szCs w:val="22"/>
              </w:rPr>
              <w:t>6 month</w:t>
            </w:r>
            <w:r w:rsidR="00C90E05" w:rsidRPr="00D96CBA">
              <w:rPr>
                <w:rFonts w:ascii="Calibri" w:hAnsi="Calibri" w:cs="Calibri"/>
                <w:b/>
                <w:color w:val="000000"/>
                <w:sz w:val="22"/>
                <w:szCs w:val="22"/>
              </w:rPr>
              <w:t xml:space="preserve"> Estimate</w:t>
            </w:r>
          </w:p>
        </w:tc>
        <w:tc>
          <w:tcPr>
            <w:tcW w:w="1927" w:type="dxa"/>
            <w:tcBorders>
              <w:top w:val="nil"/>
              <w:left w:val="nil"/>
              <w:bottom w:val="nil"/>
              <w:right w:val="nil"/>
            </w:tcBorders>
            <w:shd w:val="clear" w:color="auto" w:fill="auto"/>
            <w:noWrap/>
            <w:vAlign w:val="bottom"/>
            <w:hideMark/>
          </w:tcPr>
          <w:p w14:paraId="2DEF998B" w14:textId="77777777" w:rsidR="001B4D7F" w:rsidRPr="00D96CBA" w:rsidRDefault="001B4D7F" w:rsidP="00C90E05">
            <w:pPr>
              <w:jc w:val="center"/>
              <w:rPr>
                <w:rFonts w:ascii="Calibri" w:hAnsi="Calibri" w:cs="Calibri"/>
                <w:b/>
                <w:color w:val="000000"/>
                <w:sz w:val="22"/>
                <w:szCs w:val="22"/>
              </w:rPr>
            </w:pPr>
            <w:r w:rsidRPr="00D96CBA">
              <w:rPr>
                <w:rFonts w:ascii="Calibri" w:hAnsi="Calibri" w:cs="Calibri"/>
                <w:b/>
                <w:color w:val="000000"/>
                <w:sz w:val="22"/>
                <w:szCs w:val="22"/>
              </w:rPr>
              <w:t>Difference</w:t>
            </w:r>
          </w:p>
        </w:tc>
        <w:tc>
          <w:tcPr>
            <w:tcW w:w="1392" w:type="dxa"/>
            <w:tcBorders>
              <w:top w:val="nil"/>
              <w:left w:val="nil"/>
              <w:bottom w:val="nil"/>
              <w:right w:val="nil"/>
            </w:tcBorders>
            <w:shd w:val="clear" w:color="auto" w:fill="auto"/>
            <w:noWrap/>
            <w:vAlign w:val="bottom"/>
            <w:hideMark/>
          </w:tcPr>
          <w:p w14:paraId="5BE2388B" w14:textId="77777777" w:rsidR="001B4D7F" w:rsidRPr="00D96CBA" w:rsidRDefault="001B4D7F" w:rsidP="00C90E05">
            <w:pPr>
              <w:jc w:val="center"/>
              <w:rPr>
                <w:rFonts w:ascii="Calibri" w:hAnsi="Calibri" w:cs="Calibri"/>
                <w:b/>
                <w:color w:val="000000"/>
                <w:sz w:val="22"/>
                <w:szCs w:val="22"/>
              </w:rPr>
            </w:pPr>
            <w:r w:rsidRPr="00D96CBA">
              <w:rPr>
                <w:rFonts w:ascii="Calibri" w:hAnsi="Calibri" w:cs="Calibri"/>
                <w:b/>
                <w:color w:val="000000"/>
                <w:sz w:val="22"/>
                <w:szCs w:val="22"/>
              </w:rPr>
              <w:t>Difference</w:t>
            </w:r>
          </w:p>
        </w:tc>
      </w:tr>
      <w:tr w:rsidR="00C90E05" w:rsidRPr="001B4D7F" w14:paraId="592F954B" w14:textId="77777777" w:rsidTr="00D96CBA">
        <w:trPr>
          <w:divId w:val="50546397"/>
          <w:trHeight w:val="300"/>
        </w:trPr>
        <w:tc>
          <w:tcPr>
            <w:tcW w:w="2700" w:type="dxa"/>
            <w:tcBorders>
              <w:top w:val="nil"/>
              <w:left w:val="nil"/>
              <w:bottom w:val="nil"/>
              <w:right w:val="nil"/>
            </w:tcBorders>
            <w:shd w:val="clear" w:color="auto" w:fill="auto"/>
            <w:noWrap/>
            <w:vAlign w:val="bottom"/>
            <w:hideMark/>
          </w:tcPr>
          <w:p w14:paraId="3ECF4A7E" w14:textId="77777777" w:rsidR="001B4D7F" w:rsidRPr="00D96CBA" w:rsidRDefault="001B4D7F" w:rsidP="00C90E05">
            <w:pPr>
              <w:rPr>
                <w:rFonts w:ascii="Calibri" w:hAnsi="Calibri" w:cs="Calibri"/>
                <w:b/>
                <w:color w:val="000000"/>
                <w:sz w:val="22"/>
                <w:szCs w:val="22"/>
              </w:rPr>
            </w:pPr>
            <w:r w:rsidRPr="00D96CBA">
              <w:rPr>
                <w:rFonts w:ascii="Calibri" w:hAnsi="Calibri" w:cs="Calibri"/>
                <w:b/>
                <w:color w:val="000000"/>
                <w:sz w:val="22"/>
                <w:szCs w:val="22"/>
              </w:rPr>
              <w:t>Property Tax</w:t>
            </w:r>
          </w:p>
        </w:tc>
        <w:tc>
          <w:tcPr>
            <w:tcW w:w="1918" w:type="dxa"/>
            <w:tcBorders>
              <w:top w:val="nil"/>
              <w:left w:val="nil"/>
              <w:bottom w:val="nil"/>
              <w:right w:val="nil"/>
            </w:tcBorders>
            <w:shd w:val="clear" w:color="auto" w:fill="auto"/>
            <w:noWrap/>
            <w:vAlign w:val="bottom"/>
            <w:hideMark/>
          </w:tcPr>
          <w:p w14:paraId="3169AB1A" w14:textId="0155B8B4"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663C79">
              <w:rPr>
                <w:rFonts w:ascii="Calibri" w:hAnsi="Calibri" w:cs="Calibri"/>
                <w:color w:val="000000"/>
                <w:sz w:val="22"/>
                <w:szCs w:val="22"/>
              </w:rPr>
              <w:t>100,453,835</w:t>
            </w:r>
          </w:p>
        </w:tc>
        <w:tc>
          <w:tcPr>
            <w:tcW w:w="2143" w:type="dxa"/>
            <w:tcBorders>
              <w:top w:val="nil"/>
              <w:left w:val="nil"/>
              <w:bottom w:val="nil"/>
              <w:right w:val="nil"/>
            </w:tcBorders>
            <w:shd w:val="clear" w:color="auto" w:fill="auto"/>
            <w:noWrap/>
            <w:vAlign w:val="bottom"/>
            <w:hideMark/>
          </w:tcPr>
          <w:p w14:paraId="3DD5CA6E" w14:textId="4E0E11AB"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663C79">
              <w:rPr>
                <w:rFonts w:ascii="Calibri" w:hAnsi="Calibri" w:cs="Calibri"/>
                <w:color w:val="000000"/>
                <w:sz w:val="22"/>
                <w:szCs w:val="22"/>
              </w:rPr>
              <w:t>105</w:t>
            </w:r>
            <w:r w:rsidR="00C90E05">
              <w:rPr>
                <w:rFonts w:ascii="Calibri" w:hAnsi="Calibri" w:cs="Calibri"/>
                <w:color w:val="000000"/>
                <w:sz w:val="22"/>
                <w:szCs w:val="22"/>
              </w:rPr>
              <w:t>,</w:t>
            </w:r>
            <w:r w:rsidR="00663C79">
              <w:rPr>
                <w:rFonts w:ascii="Calibri" w:hAnsi="Calibri" w:cs="Calibri"/>
                <w:color w:val="000000"/>
                <w:sz w:val="22"/>
                <w:szCs w:val="22"/>
              </w:rPr>
              <w:t>798</w:t>
            </w:r>
            <w:r w:rsidR="00C90E05">
              <w:rPr>
                <w:rFonts w:ascii="Calibri" w:hAnsi="Calibri" w:cs="Calibri"/>
                <w:color w:val="000000"/>
                <w:sz w:val="22"/>
                <w:szCs w:val="22"/>
              </w:rPr>
              <w:t>,</w:t>
            </w:r>
            <w:r w:rsidR="00663C79">
              <w:rPr>
                <w:rFonts w:ascii="Calibri" w:hAnsi="Calibri" w:cs="Calibri"/>
                <w:color w:val="000000"/>
                <w:sz w:val="22"/>
                <w:szCs w:val="22"/>
              </w:rPr>
              <w:t>978</w:t>
            </w:r>
          </w:p>
        </w:tc>
        <w:tc>
          <w:tcPr>
            <w:tcW w:w="1927" w:type="dxa"/>
            <w:tcBorders>
              <w:top w:val="nil"/>
              <w:left w:val="nil"/>
              <w:bottom w:val="nil"/>
              <w:right w:val="nil"/>
            </w:tcBorders>
            <w:shd w:val="clear" w:color="auto" w:fill="auto"/>
            <w:noWrap/>
            <w:vAlign w:val="bottom"/>
            <w:hideMark/>
          </w:tcPr>
          <w:p w14:paraId="4DC3AA76" w14:textId="0CC8BC78"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C90E05">
              <w:rPr>
                <w:rFonts w:ascii="Calibri" w:hAnsi="Calibri" w:cs="Calibri"/>
                <w:color w:val="000000"/>
                <w:sz w:val="22"/>
                <w:szCs w:val="22"/>
              </w:rPr>
              <w:t>5,345,143</w:t>
            </w:r>
          </w:p>
        </w:tc>
        <w:tc>
          <w:tcPr>
            <w:tcW w:w="1392" w:type="dxa"/>
            <w:tcBorders>
              <w:top w:val="nil"/>
              <w:left w:val="nil"/>
              <w:bottom w:val="nil"/>
              <w:right w:val="nil"/>
            </w:tcBorders>
            <w:shd w:val="clear" w:color="auto" w:fill="auto"/>
            <w:noWrap/>
            <w:vAlign w:val="bottom"/>
            <w:hideMark/>
          </w:tcPr>
          <w:p w14:paraId="666F5C2A" w14:textId="38971AE5" w:rsidR="001B4D7F" w:rsidRPr="001B4D7F" w:rsidRDefault="00C90E05" w:rsidP="00D96CBA">
            <w:pPr>
              <w:jc w:val="center"/>
              <w:rPr>
                <w:rFonts w:ascii="Calibri" w:hAnsi="Calibri" w:cs="Calibri"/>
                <w:color w:val="000000"/>
                <w:sz w:val="22"/>
                <w:szCs w:val="22"/>
              </w:rPr>
            </w:pPr>
            <w:r>
              <w:rPr>
                <w:rFonts w:ascii="Calibri" w:hAnsi="Calibri" w:cs="Calibri"/>
                <w:color w:val="000000"/>
                <w:sz w:val="22"/>
                <w:szCs w:val="22"/>
              </w:rPr>
              <w:t>5.3</w:t>
            </w:r>
            <w:r w:rsidR="00EE1A25">
              <w:rPr>
                <w:rFonts w:ascii="Calibri" w:hAnsi="Calibri" w:cs="Calibri"/>
                <w:color w:val="000000"/>
                <w:sz w:val="22"/>
                <w:szCs w:val="22"/>
              </w:rPr>
              <w:t>2</w:t>
            </w:r>
            <w:r w:rsidR="001B4D7F" w:rsidRPr="001B4D7F">
              <w:rPr>
                <w:rFonts w:ascii="Calibri" w:hAnsi="Calibri" w:cs="Calibri"/>
                <w:color w:val="000000"/>
                <w:sz w:val="22"/>
                <w:szCs w:val="22"/>
              </w:rPr>
              <w:t>%</w:t>
            </w:r>
          </w:p>
        </w:tc>
      </w:tr>
      <w:tr w:rsidR="00C90E05" w:rsidRPr="001B4D7F" w14:paraId="41E38C56" w14:textId="77777777" w:rsidTr="00D96CBA">
        <w:trPr>
          <w:divId w:val="50546397"/>
          <w:trHeight w:val="300"/>
        </w:trPr>
        <w:tc>
          <w:tcPr>
            <w:tcW w:w="2700" w:type="dxa"/>
            <w:tcBorders>
              <w:top w:val="nil"/>
              <w:left w:val="nil"/>
              <w:bottom w:val="nil"/>
              <w:right w:val="nil"/>
            </w:tcBorders>
            <w:shd w:val="clear" w:color="auto" w:fill="auto"/>
            <w:noWrap/>
            <w:vAlign w:val="bottom"/>
            <w:hideMark/>
          </w:tcPr>
          <w:p w14:paraId="117F3684" w14:textId="77777777" w:rsidR="001B4D7F" w:rsidRPr="00D96CBA" w:rsidRDefault="001B4D7F" w:rsidP="00C90E05">
            <w:pPr>
              <w:rPr>
                <w:rFonts w:ascii="Calibri" w:hAnsi="Calibri" w:cs="Calibri"/>
                <w:b/>
                <w:color w:val="000000"/>
                <w:sz w:val="22"/>
                <w:szCs w:val="22"/>
              </w:rPr>
            </w:pPr>
            <w:r w:rsidRPr="00D96CBA">
              <w:rPr>
                <w:rFonts w:ascii="Calibri" w:hAnsi="Calibri" w:cs="Calibri"/>
                <w:b/>
                <w:color w:val="000000"/>
                <w:sz w:val="22"/>
                <w:szCs w:val="22"/>
              </w:rPr>
              <w:t>Transient Occupancy Tax</w:t>
            </w:r>
          </w:p>
        </w:tc>
        <w:tc>
          <w:tcPr>
            <w:tcW w:w="1918" w:type="dxa"/>
            <w:tcBorders>
              <w:top w:val="nil"/>
              <w:left w:val="nil"/>
              <w:bottom w:val="nil"/>
              <w:right w:val="nil"/>
            </w:tcBorders>
            <w:shd w:val="clear" w:color="auto" w:fill="auto"/>
            <w:noWrap/>
            <w:vAlign w:val="bottom"/>
            <w:hideMark/>
          </w:tcPr>
          <w:p w14:paraId="585B1861" w14:textId="509B81F2"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C90E05">
              <w:rPr>
                <w:rFonts w:ascii="Calibri" w:hAnsi="Calibri" w:cs="Calibri"/>
                <w:color w:val="000000"/>
                <w:sz w:val="22"/>
                <w:szCs w:val="22"/>
              </w:rPr>
              <w:t>5,168,723</w:t>
            </w:r>
          </w:p>
        </w:tc>
        <w:tc>
          <w:tcPr>
            <w:tcW w:w="2143" w:type="dxa"/>
            <w:tcBorders>
              <w:top w:val="nil"/>
              <w:left w:val="nil"/>
              <w:bottom w:val="nil"/>
              <w:right w:val="nil"/>
            </w:tcBorders>
            <w:shd w:val="clear" w:color="auto" w:fill="auto"/>
            <w:noWrap/>
            <w:vAlign w:val="bottom"/>
            <w:hideMark/>
          </w:tcPr>
          <w:p w14:paraId="39C32472" w14:textId="0F912390"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C90E05">
              <w:rPr>
                <w:rFonts w:ascii="Calibri" w:hAnsi="Calibri" w:cs="Calibri"/>
                <w:color w:val="000000"/>
                <w:sz w:val="22"/>
                <w:szCs w:val="22"/>
              </w:rPr>
              <w:t>5,168,723</w:t>
            </w:r>
          </w:p>
        </w:tc>
        <w:tc>
          <w:tcPr>
            <w:tcW w:w="1927" w:type="dxa"/>
            <w:tcBorders>
              <w:top w:val="nil"/>
              <w:left w:val="nil"/>
              <w:bottom w:val="nil"/>
              <w:right w:val="nil"/>
            </w:tcBorders>
            <w:shd w:val="clear" w:color="auto" w:fill="auto"/>
            <w:noWrap/>
            <w:vAlign w:val="bottom"/>
            <w:hideMark/>
          </w:tcPr>
          <w:p w14:paraId="0E59EFC6" w14:textId="0BF2F7ED"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1B4D7F" w:rsidRPr="001B4D7F">
              <w:rPr>
                <w:rFonts w:ascii="Calibri" w:hAnsi="Calibri" w:cs="Calibri"/>
                <w:color w:val="000000"/>
                <w:sz w:val="22"/>
                <w:szCs w:val="22"/>
              </w:rPr>
              <w:t>0</w:t>
            </w:r>
          </w:p>
        </w:tc>
        <w:tc>
          <w:tcPr>
            <w:tcW w:w="1392" w:type="dxa"/>
            <w:tcBorders>
              <w:top w:val="nil"/>
              <w:left w:val="nil"/>
              <w:bottom w:val="nil"/>
              <w:right w:val="nil"/>
            </w:tcBorders>
            <w:shd w:val="clear" w:color="auto" w:fill="auto"/>
            <w:noWrap/>
            <w:vAlign w:val="bottom"/>
            <w:hideMark/>
          </w:tcPr>
          <w:p w14:paraId="2B5047E9" w14:textId="77777777" w:rsidR="001B4D7F" w:rsidRPr="001B4D7F" w:rsidRDefault="001B4D7F" w:rsidP="00D96CBA">
            <w:pPr>
              <w:jc w:val="center"/>
              <w:rPr>
                <w:rFonts w:ascii="Calibri" w:hAnsi="Calibri" w:cs="Calibri"/>
                <w:color w:val="000000"/>
                <w:sz w:val="22"/>
                <w:szCs w:val="22"/>
              </w:rPr>
            </w:pPr>
            <w:r w:rsidRPr="001B4D7F">
              <w:rPr>
                <w:rFonts w:ascii="Calibri" w:hAnsi="Calibri" w:cs="Calibri"/>
                <w:color w:val="000000"/>
                <w:sz w:val="22"/>
                <w:szCs w:val="22"/>
              </w:rPr>
              <w:t>0.00%</w:t>
            </w:r>
          </w:p>
        </w:tc>
      </w:tr>
      <w:tr w:rsidR="00C90E05" w:rsidRPr="001B4D7F" w14:paraId="0634F886" w14:textId="77777777" w:rsidTr="00D96CBA">
        <w:trPr>
          <w:divId w:val="50546397"/>
          <w:trHeight w:val="300"/>
        </w:trPr>
        <w:tc>
          <w:tcPr>
            <w:tcW w:w="2700" w:type="dxa"/>
            <w:tcBorders>
              <w:top w:val="nil"/>
              <w:left w:val="nil"/>
              <w:bottom w:val="nil"/>
              <w:right w:val="nil"/>
            </w:tcBorders>
            <w:shd w:val="clear" w:color="auto" w:fill="auto"/>
            <w:noWrap/>
            <w:vAlign w:val="bottom"/>
            <w:hideMark/>
          </w:tcPr>
          <w:p w14:paraId="518B9F26" w14:textId="77777777" w:rsidR="001B4D7F" w:rsidRPr="00D96CBA" w:rsidRDefault="001B4D7F" w:rsidP="00C90E05">
            <w:pPr>
              <w:rPr>
                <w:rFonts w:ascii="Calibri" w:hAnsi="Calibri" w:cs="Calibri"/>
                <w:b/>
                <w:color w:val="000000"/>
                <w:sz w:val="22"/>
                <w:szCs w:val="22"/>
              </w:rPr>
            </w:pPr>
            <w:r w:rsidRPr="00D96CBA">
              <w:rPr>
                <w:rFonts w:ascii="Calibri" w:hAnsi="Calibri" w:cs="Calibri"/>
                <w:b/>
                <w:color w:val="000000"/>
                <w:sz w:val="22"/>
                <w:szCs w:val="22"/>
              </w:rPr>
              <w:t>Sales and Use Tax</w:t>
            </w:r>
          </w:p>
        </w:tc>
        <w:tc>
          <w:tcPr>
            <w:tcW w:w="1918" w:type="dxa"/>
            <w:tcBorders>
              <w:top w:val="nil"/>
              <w:left w:val="nil"/>
              <w:bottom w:val="nil"/>
              <w:right w:val="nil"/>
            </w:tcBorders>
            <w:shd w:val="clear" w:color="auto" w:fill="auto"/>
            <w:noWrap/>
            <w:vAlign w:val="bottom"/>
            <w:hideMark/>
          </w:tcPr>
          <w:p w14:paraId="746561D3" w14:textId="421873B1"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C90E05">
              <w:rPr>
                <w:rFonts w:ascii="Calibri" w:hAnsi="Calibri" w:cs="Calibri"/>
                <w:color w:val="000000"/>
                <w:sz w:val="22"/>
                <w:szCs w:val="22"/>
              </w:rPr>
              <w:t>5,518,150</w:t>
            </w:r>
          </w:p>
        </w:tc>
        <w:tc>
          <w:tcPr>
            <w:tcW w:w="2143" w:type="dxa"/>
            <w:tcBorders>
              <w:top w:val="nil"/>
              <w:left w:val="nil"/>
              <w:bottom w:val="nil"/>
              <w:right w:val="nil"/>
            </w:tcBorders>
            <w:shd w:val="clear" w:color="auto" w:fill="auto"/>
            <w:noWrap/>
            <w:vAlign w:val="bottom"/>
            <w:hideMark/>
          </w:tcPr>
          <w:p w14:paraId="7066C081" w14:textId="3F1B2617"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C90E05">
              <w:rPr>
                <w:rFonts w:ascii="Calibri" w:hAnsi="Calibri" w:cs="Calibri"/>
                <w:color w:val="000000"/>
                <w:sz w:val="22"/>
                <w:szCs w:val="22"/>
              </w:rPr>
              <w:t>10,100,000</w:t>
            </w:r>
          </w:p>
        </w:tc>
        <w:tc>
          <w:tcPr>
            <w:tcW w:w="1927" w:type="dxa"/>
            <w:tcBorders>
              <w:top w:val="nil"/>
              <w:left w:val="nil"/>
              <w:bottom w:val="nil"/>
              <w:right w:val="nil"/>
            </w:tcBorders>
            <w:shd w:val="clear" w:color="auto" w:fill="auto"/>
            <w:noWrap/>
            <w:vAlign w:val="bottom"/>
            <w:hideMark/>
          </w:tcPr>
          <w:p w14:paraId="30F40196" w14:textId="031DF8A6" w:rsidR="001B4D7F" w:rsidRPr="001B4D7F" w:rsidRDefault="00EE1A25" w:rsidP="00D96CBA">
            <w:pPr>
              <w:jc w:val="center"/>
              <w:rPr>
                <w:rFonts w:ascii="Calibri" w:hAnsi="Calibri" w:cs="Calibri"/>
                <w:color w:val="000000"/>
                <w:sz w:val="22"/>
                <w:szCs w:val="22"/>
              </w:rPr>
            </w:pPr>
            <w:r>
              <w:rPr>
                <w:rFonts w:ascii="Calibri" w:hAnsi="Calibri" w:cs="Calibri"/>
                <w:color w:val="000000"/>
                <w:sz w:val="22"/>
                <w:szCs w:val="22"/>
              </w:rPr>
              <w:t>$</w:t>
            </w:r>
            <w:r w:rsidR="00C90E05">
              <w:rPr>
                <w:rFonts w:ascii="Calibri" w:hAnsi="Calibri" w:cs="Calibri"/>
                <w:color w:val="000000"/>
                <w:sz w:val="22"/>
                <w:szCs w:val="22"/>
              </w:rPr>
              <w:t>4,581,850</w:t>
            </w:r>
          </w:p>
        </w:tc>
        <w:tc>
          <w:tcPr>
            <w:tcW w:w="1392" w:type="dxa"/>
            <w:tcBorders>
              <w:top w:val="nil"/>
              <w:left w:val="nil"/>
              <w:bottom w:val="nil"/>
              <w:right w:val="nil"/>
            </w:tcBorders>
            <w:shd w:val="clear" w:color="auto" w:fill="auto"/>
            <w:noWrap/>
            <w:vAlign w:val="bottom"/>
            <w:hideMark/>
          </w:tcPr>
          <w:p w14:paraId="1BEDA08D" w14:textId="2FD8989A" w:rsidR="001B4D7F" w:rsidRPr="001B4D7F" w:rsidRDefault="00C90E05" w:rsidP="00D96CBA">
            <w:pPr>
              <w:jc w:val="center"/>
              <w:rPr>
                <w:rFonts w:ascii="Calibri" w:hAnsi="Calibri" w:cs="Calibri"/>
                <w:color w:val="000000"/>
                <w:sz w:val="22"/>
                <w:szCs w:val="22"/>
              </w:rPr>
            </w:pPr>
            <w:r>
              <w:rPr>
                <w:rFonts w:ascii="Calibri" w:hAnsi="Calibri" w:cs="Calibri"/>
                <w:color w:val="000000"/>
                <w:sz w:val="22"/>
                <w:szCs w:val="22"/>
              </w:rPr>
              <w:t>83.</w:t>
            </w:r>
            <w:r w:rsidR="00EE1A25">
              <w:rPr>
                <w:rFonts w:ascii="Calibri" w:hAnsi="Calibri" w:cs="Calibri"/>
                <w:color w:val="000000"/>
                <w:sz w:val="22"/>
                <w:szCs w:val="22"/>
              </w:rPr>
              <w:t>0</w:t>
            </w:r>
            <w:r w:rsidR="001B4D7F" w:rsidRPr="001B4D7F">
              <w:rPr>
                <w:rFonts w:ascii="Calibri" w:hAnsi="Calibri" w:cs="Calibri"/>
                <w:color w:val="000000"/>
                <w:sz w:val="22"/>
                <w:szCs w:val="22"/>
              </w:rPr>
              <w:t>0%</w:t>
            </w:r>
          </w:p>
        </w:tc>
      </w:tr>
    </w:tbl>
    <w:p w14:paraId="14547511" w14:textId="77777777" w:rsidR="00A72270" w:rsidRDefault="00913CD1" w:rsidP="00A92C58">
      <w:pPr>
        <w:spacing w:after="120"/>
        <w:rPr>
          <w:rFonts w:asciiTheme="minorHAnsi" w:hAnsiTheme="minorHAnsi" w:cstheme="minorHAnsi"/>
        </w:rPr>
      </w:pPr>
      <w:r>
        <w:rPr>
          <w:rFonts w:asciiTheme="minorHAnsi" w:hAnsiTheme="minorHAnsi" w:cstheme="minorHAnsi"/>
        </w:rPr>
        <w:fldChar w:fldCharType="end"/>
      </w:r>
    </w:p>
    <w:p w14:paraId="7F2A66C5" w14:textId="29748889" w:rsidR="00AC6A79" w:rsidRPr="00D034CF" w:rsidRDefault="00FD0586" w:rsidP="00A92C58">
      <w:pPr>
        <w:spacing w:after="120"/>
        <w:rPr>
          <w:rFonts w:asciiTheme="minorHAnsi" w:hAnsiTheme="minorHAnsi" w:cstheme="minorHAnsi"/>
          <w:u w:val="single"/>
        </w:rPr>
      </w:pPr>
      <w:r w:rsidRPr="00420D2E">
        <w:rPr>
          <w:rFonts w:asciiTheme="minorHAnsi" w:hAnsiTheme="minorHAnsi" w:cstheme="minorHAnsi"/>
        </w:rPr>
        <w:t>General Fund Exp</w:t>
      </w:r>
      <w:r w:rsidR="00913CD1">
        <w:rPr>
          <w:rFonts w:asciiTheme="minorHAnsi" w:hAnsiTheme="minorHAnsi" w:cstheme="minorHAnsi"/>
        </w:rPr>
        <w:t>enditures are projected to be $</w:t>
      </w:r>
      <w:r w:rsidR="00315781">
        <w:rPr>
          <w:rFonts w:asciiTheme="minorHAnsi" w:hAnsiTheme="minorHAnsi" w:cstheme="minorHAnsi"/>
        </w:rPr>
        <w:t>6</w:t>
      </w:r>
      <w:r w:rsidR="00A946E7">
        <w:rPr>
          <w:rFonts w:asciiTheme="minorHAnsi" w:hAnsiTheme="minorHAnsi" w:cstheme="minorHAnsi"/>
        </w:rPr>
        <w:t>.</w:t>
      </w:r>
      <w:r w:rsidR="00A72270">
        <w:rPr>
          <w:rFonts w:asciiTheme="minorHAnsi" w:hAnsiTheme="minorHAnsi" w:cstheme="minorHAnsi"/>
        </w:rPr>
        <w:t>7</w:t>
      </w:r>
      <w:r w:rsidR="00A946E7">
        <w:rPr>
          <w:rFonts w:asciiTheme="minorHAnsi" w:hAnsiTheme="minorHAnsi" w:cstheme="minorHAnsi"/>
        </w:rPr>
        <w:t xml:space="preserve"> </w:t>
      </w:r>
      <w:r w:rsidR="00913CD1">
        <w:rPr>
          <w:rFonts w:asciiTheme="minorHAnsi" w:hAnsiTheme="minorHAnsi" w:cstheme="minorHAnsi"/>
        </w:rPr>
        <w:t>million</w:t>
      </w:r>
      <w:r w:rsidRPr="00420D2E">
        <w:rPr>
          <w:rFonts w:asciiTheme="minorHAnsi" w:hAnsiTheme="minorHAnsi" w:cstheme="minorHAnsi"/>
        </w:rPr>
        <w:t xml:space="preserve"> </w:t>
      </w:r>
      <w:r w:rsidR="00A946E7">
        <w:rPr>
          <w:rFonts w:asciiTheme="minorHAnsi" w:hAnsiTheme="minorHAnsi" w:cstheme="minorHAnsi"/>
        </w:rPr>
        <w:t>less</w:t>
      </w:r>
      <w:r w:rsidR="00A946E7" w:rsidRPr="00420D2E">
        <w:rPr>
          <w:rFonts w:asciiTheme="minorHAnsi" w:hAnsiTheme="minorHAnsi" w:cstheme="minorHAnsi"/>
        </w:rPr>
        <w:t xml:space="preserve"> </w:t>
      </w:r>
      <w:r w:rsidRPr="00420D2E">
        <w:rPr>
          <w:rFonts w:asciiTheme="minorHAnsi" w:hAnsiTheme="minorHAnsi" w:cstheme="minorHAnsi"/>
        </w:rPr>
        <w:t>than the adjusted budget</w:t>
      </w:r>
      <w:r w:rsidR="00A946E7">
        <w:rPr>
          <w:rFonts w:asciiTheme="minorHAnsi" w:hAnsiTheme="minorHAnsi" w:cstheme="minorHAnsi"/>
        </w:rPr>
        <w:t>,</w:t>
      </w:r>
      <w:r w:rsidR="00315781">
        <w:rPr>
          <w:rFonts w:asciiTheme="minorHAnsi" w:hAnsiTheme="minorHAnsi" w:cstheme="minorHAnsi"/>
        </w:rPr>
        <w:t xml:space="preserve"> primarily due to increased salary savings </w:t>
      </w:r>
      <w:r w:rsidR="001F039A">
        <w:rPr>
          <w:rFonts w:asciiTheme="minorHAnsi" w:hAnsiTheme="minorHAnsi" w:cstheme="minorHAnsi"/>
        </w:rPr>
        <w:t xml:space="preserve">against budget </w:t>
      </w:r>
      <w:r w:rsidR="005122FA">
        <w:rPr>
          <w:rFonts w:asciiTheme="minorHAnsi" w:hAnsiTheme="minorHAnsi" w:cstheme="minorHAnsi"/>
        </w:rPr>
        <w:t xml:space="preserve">as a result of the selective hiring freeze. </w:t>
      </w:r>
      <w:r w:rsidR="001F039A">
        <w:rPr>
          <w:rFonts w:asciiTheme="minorHAnsi" w:hAnsiTheme="minorHAnsi" w:cstheme="minorHAnsi"/>
        </w:rPr>
        <w:t>The January Economic Impact report presented in January had an estimated $9.8 million in savings from the selective hiring freeze. This difference is primarily due to increased hiring activities throughout the County.</w:t>
      </w:r>
    </w:p>
    <w:p w14:paraId="30C63918" w14:textId="77777777" w:rsidR="00AC6A79" w:rsidRDefault="00DF2687" w:rsidP="004D7BD6">
      <w:pPr>
        <w:spacing w:after="120"/>
        <w:rPr>
          <w:rFonts w:asciiTheme="minorHAnsi" w:hAnsiTheme="minorHAnsi" w:cstheme="minorHAnsi"/>
        </w:rPr>
      </w:pPr>
      <w:r w:rsidRPr="00AC6A79">
        <w:rPr>
          <w:rFonts w:asciiTheme="minorHAnsi" w:hAnsiTheme="minorHAnsi" w:cstheme="minorHAnsi"/>
          <w:u w:val="single"/>
        </w:rPr>
        <w:lastRenderedPageBreak/>
        <w:t>Appropriation for Contingency</w:t>
      </w:r>
    </w:p>
    <w:p w14:paraId="5992AED4" w14:textId="7C77DD83" w:rsidR="00AC6A79" w:rsidRDefault="00FD0586" w:rsidP="004D7BD6">
      <w:pPr>
        <w:spacing w:after="120"/>
        <w:rPr>
          <w:rFonts w:asciiTheme="minorHAnsi" w:hAnsiTheme="minorHAnsi" w:cstheme="minorHAnsi"/>
        </w:rPr>
      </w:pPr>
      <w:r w:rsidRPr="00420D2E">
        <w:rPr>
          <w:rFonts w:asciiTheme="minorHAnsi" w:hAnsiTheme="minorHAnsi" w:cstheme="minorHAnsi"/>
        </w:rPr>
        <w:t xml:space="preserve">Napa County started FY </w:t>
      </w:r>
      <w:r w:rsidR="005122FA">
        <w:rPr>
          <w:rFonts w:asciiTheme="minorHAnsi" w:hAnsiTheme="minorHAnsi" w:cstheme="minorHAnsi"/>
        </w:rPr>
        <w:t>2020</w:t>
      </w:r>
      <w:r w:rsidR="00D034CF">
        <w:rPr>
          <w:rFonts w:asciiTheme="minorHAnsi" w:hAnsiTheme="minorHAnsi" w:cstheme="minorHAnsi"/>
        </w:rPr>
        <w:t>-2</w:t>
      </w:r>
      <w:r w:rsidR="005122FA">
        <w:rPr>
          <w:rFonts w:asciiTheme="minorHAnsi" w:hAnsiTheme="minorHAnsi" w:cstheme="minorHAnsi"/>
        </w:rPr>
        <w:t>1</w:t>
      </w:r>
      <w:r w:rsidRPr="00420D2E">
        <w:rPr>
          <w:rFonts w:asciiTheme="minorHAnsi" w:hAnsiTheme="minorHAnsi" w:cstheme="minorHAnsi"/>
        </w:rPr>
        <w:t xml:space="preserve"> with a contingency fund of $</w:t>
      </w:r>
      <w:r w:rsidR="001A766C">
        <w:rPr>
          <w:rFonts w:asciiTheme="minorHAnsi" w:hAnsiTheme="minorHAnsi" w:cstheme="minorHAnsi"/>
        </w:rPr>
        <w:t>1.8</w:t>
      </w:r>
      <w:r w:rsidRPr="00420D2E">
        <w:rPr>
          <w:rFonts w:asciiTheme="minorHAnsi" w:hAnsiTheme="minorHAnsi" w:cstheme="minorHAnsi"/>
        </w:rPr>
        <w:t xml:space="preserve"> million.  Previous Board actions have reduced the contingency to $</w:t>
      </w:r>
      <w:r w:rsidR="001A766C">
        <w:rPr>
          <w:rFonts w:asciiTheme="minorHAnsi" w:hAnsiTheme="minorHAnsi" w:cstheme="minorHAnsi"/>
        </w:rPr>
        <w:t>1.5</w:t>
      </w:r>
      <w:r w:rsidR="00347F41">
        <w:rPr>
          <w:rFonts w:asciiTheme="minorHAnsi" w:hAnsiTheme="minorHAnsi" w:cstheme="minorHAnsi"/>
        </w:rPr>
        <w:t xml:space="preserve"> million</w:t>
      </w:r>
      <w:r w:rsidRPr="00420D2E">
        <w:rPr>
          <w:rFonts w:asciiTheme="minorHAnsi" w:hAnsiTheme="minorHAnsi" w:cstheme="minorHAnsi"/>
        </w:rPr>
        <w:t>.  The adjustments recommended for approval today reduce the contingency balance by an additional $</w:t>
      </w:r>
      <w:r w:rsidR="007568D5">
        <w:rPr>
          <w:rFonts w:asciiTheme="minorHAnsi" w:hAnsiTheme="minorHAnsi" w:cstheme="minorHAnsi"/>
        </w:rPr>
        <w:t>56</w:t>
      </w:r>
      <w:r w:rsidR="001A766C">
        <w:rPr>
          <w:rFonts w:asciiTheme="minorHAnsi" w:hAnsiTheme="minorHAnsi" w:cstheme="minorHAnsi"/>
        </w:rPr>
        <w:t>,</w:t>
      </w:r>
      <w:r w:rsidR="007568D5">
        <w:rPr>
          <w:rFonts w:asciiTheme="minorHAnsi" w:hAnsiTheme="minorHAnsi" w:cstheme="minorHAnsi"/>
        </w:rPr>
        <w:t>620</w:t>
      </w:r>
      <w:r w:rsidR="00F71EF0">
        <w:rPr>
          <w:rFonts w:asciiTheme="minorHAnsi" w:hAnsiTheme="minorHAnsi" w:cstheme="minorHAnsi"/>
        </w:rPr>
        <w:t xml:space="preserve"> to $</w:t>
      </w:r>
      <w:r w:rsidR="001A766C">
        <w:rPr>
          <w:rFonts w:asciiTheme="minorHAnsi" w:hAnsiTheme="minorHAnsi" w:cstheme="minorHAnsi"/>
        </w:rPr>
        <w:t>1</w:t>
      </w:r>
      <w:r w:rsidR="00D034CF">
        <w:rPr>
          <w:rFonts w:asciiTheme="minorHAnsi" w:hAnsiTheme="minorHAnsi" w:cstheme="minorHAnsi"/>
        </w:rPr>
        <w:t>.</w:t>
      </w:r>
      <w:r w:rsidR="007568D5">
        <w:rPr>
          <w:rFonts w:asciiTheme="minorHAnsi" w:hAnsiTheme="minorHAnsi" w:cstheme="minorHAnsi"/>
        </w:rPr>
        <w:t>45</w:t>
      </w:r>
      <w:r w:rsidR="00F71EF0">
        <w:rPr>
          <w:rFonts w:asciiTheme="minorHAnsi" w:hAnsiTheme="minorHAnsi" w:cstheme="minorHAnsi"/>
        </w:rPr>
        <w:t xml:space="preserve"> million</w:t>
      </w:r>
      <w:r w:rsidRPr="00420D2E">
        <w:rPr>
          <w:rFonts w:asciiTheme="minorHAnsi" w:hAnsiTheme="minorHAnsi" w:cstheme="minorHAnsi"/>
        </w:rPr>
        <w:t>, which is a combination of the items below:</w:t>
      </w:r>
    </w:p>
    <w:p w14:paraId="5C347D91" w14:textId="0C18EB8F" w:rsidR="00F71EF0" w:rsidRDefault="00F71EF0" w:rsidP="004D7BD6">
      <w:pPr>
        <w:pStyle w:val="ListParagraph"/>
        <w:numPr>
          <w:ilvl w:val="0"/>
          <w:numId w:val="11"/>
        </w:numPr>
        <w:spacing w:after="120" w:line="240" w:lineRule="auto"/>
        <w:rPr>
          <w:rFonts w:asciiTheme="minorHAnsi" w:hAnsiTheme="minorHAnsi" w:cstheme="minorHAnsi"/>
        </w:rPr>
      </w:pPr>
      <w:r>
        <w:rPr>
          <w:rFonts w:asciiTheme="minorHAnsi" w:hAnsiTheme="minorHAnsi" w:cstheme="minorHAnsi"/>
        </w:rPr>
        <w:t>$</w:t>
      </w:r>
      <w:r w:rsidR="007568D5">
        <w:rPr>
          <w:rFonts w:asciiTheme="minorHAnsi" w:hAnsiTheme="minorHAnsi" w:cstheme="minorHAnsi"/>
        </w:rPr>
        <w:t>7</w:t>
      </w:r>
      <w:r w:rsidR="00D034CF">
        <w:rPr>
          <w:rFonts w:asciiTheme="minorHAnsi" w:hAnsiTheme="minorHAnsi" w:cstheme="minorHAnsi"/>
        </w:rPr>
        <w:t>,</w:t>
      </w:r>
      <w:r w:rsidR="007568D5">
        <w:rPr>
          <w:rFonts w:asciiTheme="minorHAnsi" w:hAnsiTheme="minorHAnsi" w:cstheme="minorHAnsi"/>
        </w:rPr>
        <w:t>920</w:t>
      </w:r>
      <w:r>
        <w:rPr>
          <w:rFonts w:asciiTheme="minorHAnsi" w:hAnsiTheme="minorHAnsi" w:cstheme="minorHAnsi"/>
        </w:rPr>
        <w:t xml:space="preserve"> for </w:t>
      </w:r>
      <w:r w:rsidR="007568D5">
        <w:rPr>
          <w:rFonts w:asciiTheme="minorHAnsi" w:hAnsiTheme="minorHAnsi" w:cstheme="minorHAnsi"/>
        </w:rPr>
        <w:t xml:space="preserve">an </w:t>
      </w:r>
      <w:r>
        <w:rPr>
          <w:rFonts w:asciiTheme="minorHAnsi" w:hAnsiTheme="minorHAnsi" w:cstheme="minorHAnsi"/>
        </w:rPr>
        <w:t xml:space="preserve">increases </w:t>
      </w:r>
      <w:r w:rsidR="007568D5">
        <w:rPr>
          <w:rFonts w:asciiTheme="minorHAnsi" w:hAnsiTheme="minorHAnsi" w:cstheme="minorHAnsi"/>
        </w:rPr>
        <w:t xml:space="preserve">to the contribution to the Napa </w:t>
      </w:r>
      <w:proofErr w:type="spellStart"/>
      <w:r w:rsidR="007568D5">
        <w:rPr>
          <w:rFonts w:asciiTheme="minorHAnsi" w:hAnsiTheme="minorHAnsi" w:cstheme="minorHAnsi"/>
        </w:rPr>
        <w:t>Berryessa</w:t>
      </w:r>
      <w:proofErr w:type="spellEnd"/>
      <w:r w:rsidR="007568D5">
        <w:rPr>
          <w:rFonts w:asciiTheme="minorHAnsi" w:hAnsiTheme="minorHAnsi" w:cstheme="minorHAnsi"/>
        </w:rPr>
        <w:t xml:space="preserve"> Resort Improvement District</w:t>
      </w:r>
    </w:p>
    <w:p w14:paraId="5F03A969" w14:textId="1A586B0A" w:rsidR="00F71EF0" w:rsidRPr="00F71EF0" w:rsidRDefault="00F71EF0" w:rsidP="004D7BD6">
      <w:pPr>
        <w:pStyle w:val="ListParagraph"/>
        <w:numPr>
          <w:ilvl w:val="0"/>
          <w:numId w:val="11"/>
        </w:numPr>
        <w:spacing w:after="120" w:line="240" w:lineRule="auto"/>
        <w:rPr>
          <w:rFonts w:asciiTheme="minorHAnsi" w:hAnsiTheme="minorHAnsi" w:cstheme="minorHAnsi"/>
        </w:rPr>
      </w:pPr>
      <w:r>
        <w:rPr>
          <w:rFonts w:asciiTheme="minorHAnsi" w:hAnsiTheme="minorHAnsi" w:cstheme="minorHAnsi"/>
        </w:rPr>
        <w:t>$</w:t>
      </w:r>
      <w:r w:rsidR="001A766C">
        <w:rPr>
          <w:rFonts w:asciiTheme="minorHAnsi" w:hAnsiTheme="minorHAnsi" w:cstheme="minorHAnsi"/>
        </w:rPr>
        <w:t>48,700</w:t>
      </w:r>
      <w:r>
        <w:rPr>
          <w:rFonts w:asciiTheme="minorHAnsi" w:hAnsiTheme="minorHAnsi" w:cstheme="minorHAnsi"/>
        </w:rPr>
        <w:t xml:space="preserve"> for </w:t>
      </w:r>
      <w:r w:rsidR="00D034CF">
        <w:rPr>
          <w:rFonts w:asciiTheme="minorHAnsi" w:hAnsiTheme="minorHAnsi" w:cstheme="minorHAnsi"/>
        </w:rPr>
        <w:t>one-</w:t>
      </w:r>
      <w:r w:rsidR="007568D5">
        <w:rPr>
          <w:rFonts w:asciiTheme="minorHAnsi" w:hAnsiTheme="minorHAnsi" w:cstheme="minorHAnsi"/>
        </w:rPr>
        <w:t>time contract and e-filing costs in Elections</w:t>
      </w:r>
      <w:r w:rsidR="001F039A">
        <w:rPr>
          <w:rFonts w:asciiTheme="minorHAnsi" w:hAnsiTheme="minorHAnsi" w:cstheme="minorHAnsi"/>
        </w:rPr>
        <w:t xml:space="preserve"> that will likely be reimbursed in Fiscal Year 2021-22.</w:t>
      </w:r>
    </w:p>
    <w:p w14:paraId="5D873388" w14:textId="77777777" w:rsidR="00A61FD8" w:rsidRPr="00D96CBA" w:rsidRDefault="00E32CBF" w:rsidP="004D7BD6">
      <w:pPr>
        <w:spacing w:after="120"/>
        <w:rPr>
          <w:rFonts w:asciiTheme="minorHAnsi" w:hAnsiTheme="minorHAnsi" w:cstheme="minorHAnsi"/>
          <w:b/>
          <w:u w:val="single"/>
        </w:rPr>
      </w:pPr>
      <w:r w:rsidRPr="00D96CBA">
        <w:rPr>
          <w:rFonts w:asciiTheme="minorHAnsi" w:hAnsiTheme="minorHAnsi" w:cstheme="minorHAnsi"/>
          <w:b/>
          <w:u w:val="single"/>
        </w:rPr>
        <w:t xml:space="preserve">Health &amp; </w:t>
      </w:r>
      <w:r w:rsidR="00A61FD8" w:rsidRPr="00D96CBA">
        <w:rPr>
          <w:rFonts w:asciiTheme="minorHAnsi" w:hAnsiTheme="minorHAnsi" w:cstheme="minorHAnsi"/>
          <w:b/>
          <w:u w:val="single"/>
        </w:rPr>
        <w:t>Human Services</w:t>
      </w:r>
      <w:r w:rsidRPr="00D96CBA">
        <w:rPr>
          <w:rFonts w:asciiTheme="minorHAnsi" w:hAnsiTheme="minorHAnsi" w:cstheme="minorHAnsi"/>
          <w:b/>
          <w:u w:val="single"/>
        </w:rPr>
        <w:t xml:space="preserve"> Agency</w:t>
      </w:r>
    </w:p>
    <w:p w14:paraId="365067AA" w14:textId="16F55C1D" w:rsidR="007C794C" w:rsidRPr="00420D2E" w:rsidRDefault="007C794C" w:rsidP="004D7BD6">
      <w:pPr>
        <w:spacing w:after="120"/>
        <w:rPr>
          <w:rFonts w:asciiTheme="minorHAnsi" w:hAnsiTheme="minorHAnsi" w:cstheme="minorHAnsi"/>
        </w:rPr>
      </w:pPr>
      <w:r w:rsidRPr="00420D2E">
        <w:rPr>
          <w:rFonts w:asciiTheme="minorHAnsi" w:hAnsiTheme="minorHAnsi" w:cstheme="minorHAnsi"/>
        </w:rPr>
        <w:t>The Health and Human Services Agency (HHSA) has an adjus</w:t>
      </w:r>
      <w:r w:rsidR="004A22E4">
        <w:rPr>
          <w:rFonts w:asciiTheme="minorHAnsi" w:hAnsiTheme="minorHAnsi" w:cstheme="minorHAnsi"/>
        </w:rPr>
        <w:t>ted budget of approximately $</w:t>
      </w:r>
      <w:r w:rsidR="006A4A53">
        <w:rPr>
          <w:rFonts w:asciiTheme="minorHAnsi" w:hAnsiTheme="minorHAnsi" w:cstheme="minorHAnsi"/>
        </w:rPr>
        <w:t>12</w:t>
      </w:r>
      <w:r w:rsidR="00D96CBA">
        <w:rPr>
          <w:rFonts w:asciiTheme="minorHAnsi" w:hAnsiTheme="minorHAnsi" w:cstheme="minorHAnsi"/>
        </w:rPr>
        <w:t>8</w:t>
      </w:r>
      <w:r w:rsidR="006A4A53">
        <w:rPr>
          <w:rFonts w:asciiTheme="minorHAnsi" w:hAnsiTheme="minorHAnsi" w:cstheme="minorHAnsi"/>
        </w:rPr>
        <w:t>.</w:t>
      </w:r>
      <w:r w:rsidR="00D96CBA">
        <w:rPr>
          <w:rFonts w:asciiTheme="minorHAnsi" w:hAnsiTheme="minorHAnsi" w:cstheme="minorHAnsi"/>
        </w:rPr>
        <w:t>5</w:t>
      </w:r>
      <w:r w:rsidRPr="00420D2E">
        <w:rPr>
          <w:rFonts w:asciiTheme="minorHAnsi" w:hAnsiTheme="minorHAnsi" w:cstheme="minorHAnsi"/>
        </w:rPr>
        <w:t xml:space="preserve"> million with a General Fund contribution of $</w:t>
      </w:r>
      <w:r w:rsidR="006A4A53">
        <w:rPr>
          <w:rFonts w:asciiTheme="minorHAnsi" w:hAnsiTheme="minorHAnsi" w:cstheme="minorHAnsi"/>
        </w:rPr>
        <w:t>17.9</w:t>
      </w:r>
      <w:r w:rsidR="00D96CBA">
        <w:rPr>
          <w:rFonts w:asciiTheme="minorHAnsi" w:hAnsiTheme="minorHAnsi" w:cstheme="minorHAnsi"/>
        </w:rPr>
        <w:t>3</w:t>
      </w:r>
      <w:r w:rsidRPr="00420D2E">
        <w:rPr>
          <w:rFonts w:asciiTheme="minorHAnsi" w:hAnsiTheme="minorHAnsi" w:cstheme="minorHAnsi"/>
        </w:rPr>
        <w:t xml:space="preserve"> million.  Overall, HHSA is projec</w:t>
      </w:r>
      <w:r w:rsidR="00390DEB">
        <w:rPr>
          <w:rFonts w:asciiTheme="minorHAnsi" w:hAnsiTheme="minorHAnsi" w:cstheme="minorHAnsi"/>
        </w:rPr>
        <w:t xml:space="preserve">ting that revenues </w:t>
      </w:r>
      <w:r w:rsidR="00D96CBA">
        <w:rPr>
          <w:rFonts w:asciiTheme="minorHAnsi" w:hAnsiTheme="minorHAnsi" w:cstheme="minorHAnsi"/>
        </w:rPr>
        <w:t xml:space="preserve">will be $2.8 million higher </w:t>
      </w:r>
      <w:r w:rsidR="006A4A53">
        <w:rPr>
          <w:rFonts w:asciiTheme="minorHAnsi" w:hAnsiTheme="minorHAnsi" w:cstheme="minorHAnsi"/>
        </w:rPr>
        <w:t xml:space="preserve">and expenses </w:t>
      </w:r>
      <w:r w:rsidR="00390DEB">
        <w:rPr>
          <w:rFonts w:asciiTheme="minorHAnsi" w:hAnsiTheme="minorHAnsi" w:cstheme="minorHAnsi"/>
        </w:rPr>
        <w:t>will be $</w:t>
      </w:r>
      <w:r w:rsidR="006A4A53">
        <w:rPr>
          <w:rFonts w:asciiTheme="minorHAnsi" w:hAnsiTheme="minorHAnsi" w:cstheme="minorHAnsi"/>
        </w:rPr>
        <w:t>2</w:t>
      </w:r>
      <w:r w:rsidR="00D96CBA">
        <w:rPr>
          <w:rFonts w:asciiTheme="minorHAnsi" w:hAnsiTheme="minorHAnsi" w:cstheme="minorHAnsi"/>
        </w:rPr>
        <w:t>00 thousand higher</w:t>
      </w:r>
      <w:r w:rsidRPr="00420D2E">
        <w:rPr>
          <w:rFonts w:asciiTheme="minorHAnsi" w:hAnsiTheme="minorHAnsi" w:cstheme="minorHAnsi"/>
        </w:rPr>
        <w:t xml:space="preserve"> than the </w:t>
      </w:r>
      <w:r w:rsidR="004A22E4">
        <w:rPr>
          <w:rFonts w:asciiTheme="minorHAnsi" w:hAnsiTheme="minorHAnsi" w:cstheme="minorHAnsi"/>
        </w:rPr>
        <w:t>adjusted b</w:t>
      </w:r>
      <w:r w:rsidRPr="00420D2E">
        <w:rPr>
          <w:rFonts w:asciiTheme="minorHAnsi" w:hAnsiTheme="minorHAnsi" w:cstheme="minorHAnsi"/>
        </w:rPr>
        <w:t xml:space="preserve">udget. </w:t>
      </w:r>
      <w:r w:rsidR="00D96CBA">
        <w:rPr>
          <w:rFonts w:asciiTheme="minorHAnsi" w:hAnsiTheme="minorHAnsi" w:cstheme="minorHAnsi"/>
        </w:rPr>
        <w:t>The revenue excess is found entirely in the Public Health division where expenditures have grown a commensurate $3.1 million. This growth in Public Health expenditures is completely offset by increased salary savings across the rest of the agency.</w:t>
      </w:r>
      <w:r w:rsidR="009B2087">
        <w:rPr>
          <w:rFonts w:asciiTheme="minorHAnsi" w:hAnsiTheme="minorHAnsi" w:cstheme="minorHAnsi"/>
        </w:rPr>
        <w:t xml:space="preserve"> It is estimated that HHSA will end Fiscal Year 2020-21 with an unassigne</w:t>
      </w:r>
      <w:r w:rsidR="00A92C58">
        <w:rPr>
          <w:rFonts w:asciiTheme="minorHAnsi" w:hAnsiTheme="minorHAnsi" w:cstheme="minorHAnsi"/>
        </w:rPr>
        <w:t>d available fund balance of $10.4 million, which is essential</w:t>
      </w:r>
      <w:r w:rsidR="004833DA">
        <w:rPr>
          <w:rFonts w:asciiTheme="minorHAnsi" w:hAnsiTheme="minorHAnsi" w:cstheme="minorHAnsi"/>
        </w:rPr>
        <w:t xml:space="preserve"> for cash flow purposes and offsetting potential liabilities from state and federal audits.</w:t>
      </w:r>
    </w:p>
    <w:p w14:paraId="4D37DD6C" w14:textId="77777777" w:rsidR="003C3883" w:rsidRPr="00D96CBA" w:rsidRDefault="003C3883" w:rsidP="004D7BD6">
      <w:pPr>
        <w:spacing w:after="120"/>
        <w:rPr>
          <w:rFonts w:asciiTheme="minorHAnsi" w:hAnsiTheme="minorHAnsi" w:cstheme="minorHAnsi"/>
          <w:b/>
          <w:u w:val="single"/>
        </w:rPr>
      </w:pPr>
      <w:r w:rsidRPr="00D96CBA">
        <w:rPr>
          <w:rFonts w:asciiTheme="minorHAnsi" w:hAnsiTheme="minorHAnsi" w:cstheme="minorHAnsi"/>
          <w:b/>
          <w:u w:val="single"/>
        </w:rPr>
        <w:t>Budget Adjustments</w:t>
      </w:r>
    </w:p>
    <w:p w14:paraId="1EAAFD28" w14:textId="44C0884D" w:rsidR="00164DB3" w:rsidRDefault="004A22E4" w:rsidP="004D7BD6">
      <w:pPr>
        <w:spacing w:after="120"/>
        <w:rPr>
          <w:rFonts w:asciiTheme="minorHAnsi" w:hAnsiTheme="minorHAnsi" w:cstheme="minorHAnsi"/>
        </w:rPr>
      </w:pPr>
      <w:r>
        <w:rPr>
          <w:rFonts w:asciiTheme="minorHAnsi" w:hAnsiTheme="minorHAnsi" w:cstheme="minorHAnsi"/>
        </w:rPr>
        <w:t>Exhibit</w:t>
      </w:r>
      <w:r w:rsidR="00A92C58">
        <w:rPr>
          <w:rFonts w:asciiTheme="minorHAnsi" w:hAnsiTheme="minorHAnsi" w:cstheme="minorHAnsi"/>
        </w:rPr>
        <w:t xml:space="preserve"> </w:t>
      </w:r>
      <w:r>
        <w:rPr>
          <w:rFonts w:asciiTheme="minorHAnsi" w:hAnsiTheme="minorHAnsi" w:cstheme="minorHAnsi"/>
        </w:rPr>
        <w:t xml:space="preserve">A </w:t>
      </w:r>
      <w:r w:rsidR="003C3883" w:rsidRPr="00420D2E">
        <w:rPr>
          <w:rFonts w:asciiTheme="minorHAnsi" w:hAnsiTheme="minorHAnsi" w:cstheme="minorHAnsi"/>
        </w:rPr>
        <w:t>provide</w:t>
      </w:r>
      <w:r w:rsidR="00A92C58">
        <w:rPr>
          <w:rFonts w:asciiTheme="minorHAnsi" w:hAnsiTheme="minorHAnsi" w:cstheme="minorHAnsi"/>
        </w:rPr>
        <w:t>s</w:t>
      </w:r>
      <w:r w:rsidR="003C3883" w:rsidRPr="00420D2E">
        <w:rPr>
          <w:rFonts w:asciiTheme="minorHAnsi" w:hAnsiTheme="minorHAnsi" w:cstheme="minorHAnsi"/>
        </w:rPr>
        <w:t xml:space="preserve"> a description of all the recommended budget </w:t>
      </w:r>
      <w:r>
        <w:rPr>
          <w:rFonts w:asciiTheme="minorHAnsi" w:hAnsiTheme="minorHAnsi" w:cstheme="minorHAnsi"/>
        </w:rPr>
        <w:t>adjustments that staff is requesting the Board to approve today</w:t>
      </w:r>
      <w:r w:rsidR="00A92C58">
        <w:rPr>
          <w:rFonts w:asciiTheme="minorHAnsi" w:hAnsiTheme="minorHAnsi" w:cstheme="minorHAnsi"/>
        </w:rPr>
        <w:t xml:space="preserve"> as well as a brief General Fund summary</w:t>
      </w:r>
      <w:r>
        <w:rPr>
          <w:rFonts w:asciiTheme="minorHAnsi" w:hAnsiTheme="minorHAnsi" w:cstheme="minorHAnsi"/>
        </w:rPr>
        <w:t>.</w:t>
      </w:r>
      <w:r w:rsidR="003C3883" w:rsidRPr="00420D2E">
        <w:rPr>
          <w:rFonts w:asciiTheme="minorHAnsi" w:hAnsiTheme="minorHAnsi" w:cstheme="minorHAnsi"/>
        </w:rPr>
        <w:t xml:space="preserve"> </w:t>
      </w:r>
      <w:r>
        <w:rPr>
          <w:rFonts w:asciiTheme="minorHAnsi" w:hAnsiTheme="minorHAnsi" w:cstheme="minorHAnsi"/>
        </w:rPr>
        <w:t xml:space="preserve">The most significant of these transfers are discussed above, </w:t>
      </w:r>
      <w:r w:rsidR="009E60F8" w:rsidRPr="00420D2E">
        <w:rPr>
          <w:rFonts w:asciiTheme="minorHAnsi" w:hAnsiTheme="minorHAnsi" w:cstheme="minorHAnsi"/>
        </w:rPr>
        <w:t xml:space="preserve">while others </w:t>
      </w:r>
      <w:r w:rsidR="003C3883" w:rsidRPr="00420D2E">
        <w:rPr>
          <w:rFonts w:asciiTheme="minorHAnsi" w:hAnsiTheme="minorHAnsi" w:cstheme="minorHAnsi"/>
        </w:rPr>
        <w:t>are procedural relating to increasing transfers out from non-operating Special Revenue Fund</w:t>
      </w:r>
      <w:r w:rsidR="00C60A36" w:rsidRPr="00420D2E">
        <w:rPr>
          <w:rFonts w:asciiTheme="minorHAnsi" w:hAnsiTheme="minorHAnsi" w:cstheme="minorHAnsi"/>
        </w:rPr>
        <w:t>s</w:t>
      </w:r>
      <w:r w:rsidR="003C3883" w:rsidRPr="00420D2E">
        <w:rPr>
          <w:rFonts w:asciiTheme="minorHAnsi" w:hAnsiTheme="minorHAnsi" w:cstheme="minorHAnsi"/>
        </w:rPr>
        <w:t xml:space="preserve"> to operating budgets or </w:t>
      </w:r>
      <w:r w:rsidR="009E60F8" w:rsidRPr="00420D2E">
        <w:rPr>
          <w:rFonts w:asciiTheme="minorHAnsi" w:hAnsiTheme="minorHAnsi" w:cstheme="minorHAnsi"/>
        </w:rPr>
        <w:t xml:space="preserve">adjustments from savings in one Division offsetting increases in another Division within the same fund. </w:t>
      </w:r>
    </w:p>
    <w:p w14:paraId="1C9F0C32" w14:textId="77777777" w:rsidR="00495E07" w:rsidRDefault="00495E07" w:rsidP="004D7BD6">
      <w:pPr>
        <w:spacing w:after="120"/>
        <w:rPr>
          <w:rFonts w:asciiTheme="minorHAnsi" w:hAnsiTheme="minorHAnsi" w:cstheme="minorHAnsi"/>
        </w:rPr>
      </w:pPr>
      <w:r>
        <w:rPr>
          <w:rFonts w:asciiTheme="minorHAnsi" w:hAnsiTheme="minorHAnsi" w:cstheme="minorHAnsi"/>
        </w:rPr>
        <w:t>Exhibits</w:t>
      </w:r>
    </w:p>
    <w:p w14:paraId="639DEEF3" w14:textId="66147ABE" w:rsidR="00495E07" w:rsidRPr="00420D2E" w:rsidRDefault="00495E07" w:rsidP="004D7BD6">
      <w:pPr>
        <w:spacing w:after="120"/>
        <w:rPr>
          <w:rFonts w:asciiTheme="minorHAnsi" w:hAnsiTheme="minorHAnsi" w:cstheme="minorHAnsi"/>
        </w:rPr>
      </w:pPr>
      <w:r>
        <w:rPr>
          <w:rFonts w:asciiTheme="minorHAnsi" w:hAnsiTheme="minorHAnsi" w:cstheme="minorHAnsi"/>
        </w:rPr>
        <w:t>A:</w:t>
      </w:r>
      <w:r w:rsidR="00A92C58">
        <w:rPr>
          <w:rFonts w:asciiTheme="minorHAnsi" w:hAnsiTheme="minorHAnsi" w:cstheme="minorHAnsi"/>
        </w:rPr>
        <w:tab/>
        <w:t>Fiscal Year 2020-21 Mid-year Budget Adjustments</w:t>
      </w:r>
    </w:p>
    <w:sectPr w:rsidR="00495E07" w:rsidRPr="00420D2E" w:rsidSect="00C65856">
      <w:headerReference w:type="first" r:id="rId8"/>
      <w:footerReference w:type="first" r:id="rId9"/>
      <w:pgSz w:w="12240" w:h="15840"/>
      <w:pgMar w:top="1080" w:right="108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9DF5" w14:textId="77777777" w:rsidR="00E9562F" w:rsidRDefault="00E9562F">
      <w:r>
        <w:separator/>
      </w:r>
    </w:p>
  </w:endnote>
  <w:endnote w:type="continuationSeparator" w:id="0">
    <w:p w14:paraId="1469D4C7" w14:textId="77777777" w:rsidR="00E9562F" w:rsidRDefault="00E9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FCDA" w14:textId="4011FB17" w:rsidR="00FA59B9" w:rsidRDefault="00FA59B9">
    <w:pPr>
      <w:pStyle w:val="Footer"/>
    </w:pPr>
    <w:r>
      <w:t>Attachment A</w:t>
    </w:r>
  </w:p>
  <w:p w14:paraId="6181D089" w14:textId="77777777" w:rsidR="00FA59B9" w:rsidRDefault="00FA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D11DA" w14:textId="77777777" w:rsidR="00E9562F" w:rsidRDefault="00E9562F">
      <w:r>
        <w:separator/>
      </w:r>
    </w:p>
  </w:footnote>
  <w:footnote w:type="continuationSeparator" w:id="0">
    <w:p w14:paraId="6570C03F" w14:textId="77777777" w:rsidR="00E9562F" w:rsidRDefault="00E9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8D5E" w14:textId="4E54CDCF" w:rsidR="00E9562F" w:rsidRPr="0000766C" w:rsidRDefault="00E9562F" w:rsidP="00710FE4">
    <w:pPr>
      <w:jc w:val="right"/>
      <w:rPr>
        <w:rFonts w:ascii="Arial" w:hAnsi="Arial" w:cs="Arial"/>
        <w:b/>
        <w:color w:val="8FD400"/>
        <w:sz w:val="16"/>
        <w:szCs w:val="16"/>
      </w:rPr>
    </w:pPr>
    <w:r>
      <w:rPr>
        <w:rFonts w:ascii="Arial" w:hAnsi="Arial" w:cs="Arial"/>
        <w:b/>
        <w:noProof/>
        <w:sz w:val="16"/>
        <w:szCs w:val="16"/>
      </w:rPr>
      <w:drawing>
        <wp:anchor distT="0" distB="0" distL="114300" distR="114300" simplePos="0" relativeHeight="251657216" behindDoc="0" locked="0" layoutInCell="1" allowOverlap="0" wp14:anchorId="57705C90" wp14:editId="0C9BEC70">
          <wp:simplePos x="0" y="0"/>
          <wp:positionH relativeFrom="column">
            <wp:align>left</wp:align>
          </wp:positionH>
          <wp:positionV relativeFrom="paragraph">
            <wp:posOffset>-8890</wp:posOffset>
          </wp:positionV>
          <wp:extent cx="1038225" cy="1362075"/>
          <wp:effectExtent l="0" t="0" r="9525" b="9525"/>
          <wp:wrapSquare wrapText="bothSides"/>
          <wp:docPr id="6" name="Picture 6"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pic:spPr>
              </pic:pic>
            </a:graphicData>
          </a:graphic>
          <wp14:sizeRelH relativeFrom="page">
            <wp14:pctWidth>0</wp14:pctWidth>
          </wp14:sizeRelH>
          <wp14:sizeRelV relativeFrom="page">
            <wp14:pctHeight>0</wp14:pctHeight>
          </wp14:sizeRelV>
        </wp:anchor>
      </w:drawing>
    </w:r>
    <w:r w:rsidRPr="0000766C">
      <w:rPr>
        <w:rFonts w:ascii="Arial" w:hAnsi="Arial" w:cs="Arial"/>
        <w:b/>
        <w:sz w:val="16"/>
        <w:szCs w:val="16"/>
      </w:rPr>
      <w:t xml:space="preserve"> </w:t>
    </w:r>
    <w:r>
      <w:rPr>
        <w:rFonts w:ascii="Arial" w:hAnsi="Arial" w:cs="Arial"/>
        <w:b/>
        <w:sz w:val="16"/>
        <w:szCs w:val="16"/>
      </w:rPr>
      <w:t xml:space="preserve">County Executive Office </w:t>
    </w:r>
    <w:r w:rsidRPr="0000766C">
      <w:rPr>
        <w:rFonts w:ascii="Arial" w:hAnsi="Arial" w:cs="Arial"/>
        <w:b/>
        <w:sz w:val="16"/>
        <w:szCs w:val="16"/>
      </w:rPr>
      <w:br/>
    </w:r>
    <w:r w:rsidRPr="007531B2">
      <w:rPr>
        <w:rFonts w:ascii="Arial" w:hAnsi="Arial" w:cs="Arial"/>
        <w:sz w:val="16"/>
        <w:szCs w:val="16"/>
      </w:rPr>
      <w:br/>
    </w:r>
  </w:p>
  <w:p w14:paraId="6683191A" w14:textId="77777777" w:rsidR="00E9562F" w:rsidRPr="0000766C" w:rsidRDefault="00E9562F" w:rsidP="00710FE4">
    <w:pPr>
      <w:jc w:val="right"/>
      <w:rPr>
        <w:rFonts w:ascii="Arial" w:hAnsi="Arial" w:cs="Arial"/>
        <w:color w:val="8FD400"/>
        <w:sz w:val="16"/>
        <w:szCs w:val="16"/>
      </w:rPr>
    </w:pPr>
  </w:p>
  <w:p w14:paraId="4E66DF00" w14:textId="77777777" w:rsidR="00E9562F" w:rsidRPr="0000766C" w:rsidRDefault="00E9562F" w:rsidP="00710FE4">
    <w:pPr>
      <w:jc w:val="right"/>
      <w:rPr>
        <w:rFonts w:ascii="Arial" w:hAnsi="Arial" w:cs="Arial"/>
        <w:sz w:val="16"/>
        <w:szCs w:val="16"/>
      </w:rPr>
    </w:pPr>
    <w:r>
      <w:rPr>
        <w:rFonts w:ascii="Arial" w:hAnsi="Arial" w:cs="Arial"/>
        <w:sz w:val="16"/>
        <w:szCs w:val="16"/>
      </w:rPr>
      <w:t xml:space="preserve">1195 Third Street </w:t>
    </w:r>
  </w:p>
  <w:p w14:paraId="5B85D3B2" w14:textId="77777777" w:rsidR="00E9562F" w:rsidRPr="0000766C" w:rsidRDefault="00E9562F" w:rsidP="00710FE4">
    <w:pPr>
      <w:jc w:val="right"/>
      <w:rPr>
        <w:rFonts w:ascii="Arial" w:hAnsi="Arial" w:cs="Arial"/>
        <w:sz w:val="16"/>
        <w:szCs w:val="16"/>
      </w:rPr>
    </w:pPr>
    <w:r>
      <w:rPr>
        <w:rFonts w:ascii="Arial" w:hAnsi="Arial" w:cs="Arial"/>
        <w:sz w:val="16"/>
        <w:szCs w:val="16"/>
      </w:rPr>
      <w:t xml:space="preserve">Suite 310 </w:t>
    </w:r>
  </w:p>
  <w:p w14:paraId="3817458E" w14:textId="77777777" w:rsidR="00E9562F" w:rsidRPr="005F656B" w:rsidRDefault="00E9562F" w:rsidP="00710FE4">
    <w:pPr>
      <w:jc w:val="right"/>
      <w:rPr>
        <w:rFonts w:ascii="Arial" w:hAnsi="Arial" w:cs="Arial"/>
        <w:sz w:val="16"/>
        <w:szCs w:val="16"/>
        <w:lang w:val="es-ES"/>
      </w:rPr>
    </w:pPr>
    <w:r w:rsidRPr="005F656B">
      <w:rPr>
        <w:rFonts w:ascii="Arial" w:hAnsi="Arial" w:cs="Arial"/>
        <w:sz w:val="16"/>
        <w:szCs w:val="16"/>
        <w:lang w:val="es-ES"/>
      </w:rPr>
      <w:t xml:space="preserve">Napa, CA 94559 </w:t>
    </w:r>
  </w:p>
  <w:p w14:paraId="6FD43605" w14:textId="77777777" w:rsidR="00E9562F" w:rsidRPr="005F656B" w:rsidRDefault="00E9562F" w:rsidP="00710FE4">
    <w:pPr>
      <w:jc w:val="right"/>
      <w:rPr>
        <w:rFonts w:ascii="Arial" w:hAnsi="Arial" w:cs="Arial"/>
        <w:sz w:val="16"/>
        <w:szCs w:val="16"/>
        <w:lang w:val="es-ES"/>
      </w:rPr>
    </w:pPr>
    <w:r w:rsidRPr="005F656B">
      <w:rPr>
        <w:rFonts w:ascii="Arial" w:hAnsi="Arial" w:cs="Arial"/>
        <w:sz w:val="16"/>
        <w:szCs w:val="16"/>
        <w:lang w:val="es-ES"/>
      </w:rPr>
      <w:t>www.countyofnapa.org</w:t>
    </w:r>
  </w:p>
  <w:p w14:paraId="3B294B10" w14:textId="77777777" w:rsidR="00E9562F" w:rsidRPr="005F656B" w:rsidRDefault="00E9562F" w:rsidP="00710FE4">
    <w:pPr>
      <w:jc w:val="right"/>
      <w:rPr>
        <w:rFonts w:ascii="Arial" w:hAnsi="Arial" w:cs="Arial"/>
        <w:sz w:val="16"/>
        <w:szCs w:val="16"/>
        <w:lang w:val="es-ES"/>
      </w:rPr>
    </w:pPr>
  </w:p>
  <w:p w14:paraId="3A31785C" w14:textId="77777777" w:rsidR="00E9562F" w:rsidRPr="005F656B" w:rsidRDefault="00E9562F" w:rsidP="00710FE4">
    <w:pPr>
      <w:jc w:val="right"/>
      <w:rPr>
        <w:rFonts w:ascii="Arial" w:hAnsi="Arial" w:cs="Arial"/>
        <w:sz w:val="16"/>
        <w:szCs w:val="16"/>
        <w:lang w:val="es-ES"/>
      </w:rPr>
    </w:pPr>
    <w:proofErr w:type="spellStart"/>
    <w:r w:rsidRPr="005F656B">
      <w:rPr>
        <w:rFonts w:ascii="Arial" w:hAnsi="Arial" w:cs="Arial"/>
        <w:sz w:val="16"/>
        <w:szCs w:val="16"/>
        <w:lang w:val="es-ES"/>
      </w:rPr>
      <w:t>Main</w:t>
    </w:r>
    <w:proofErr w:type="spellEnd"/>
    <w:r w:rsidRPr="005F656B">
      <w:rPr>
        <w:rFonts w:ascii="Arial" w:hAnsi="Arial" w:cs="Arial"/>
        <w:sz w:val="16"/>
        <w:szCs w:val="16"/>
        <w:lang w:val="es-ES"/>
      </w:rPr>
      <w:t xml:space="preserve">: (707) 253-4421 </w:t>
    </w:r>
  </w:p>
  <w:p w14:paraId="16E32935" w14:textId="77777777" w:rsidR="00E9562F" w:rsidRPr="0000766C" w:rsidRDefault="00E9562F" w:rsidP="00710FE4">
    <w:pPr>
      <w:jc w:val="right"/>
      <w:rPr>
        <w:rFonts w:ascii="Arial" w:hAnsi="Arial" w:cs="Arial"/>
        <w:sz w:val="16"/>
        <w:szCs w:val="16"/>
      </w:rPr>
    </w:pPr>
    <w:r w:rsidRPr="0000766C">
      <w:rPr>
        <w:rFonts w:ascii="Arial" w:hAnsi="Arial" w:cs="Arial"/>
        <w:sz w:val="16"/>
        <w:szCs w:val="16"/>
      </w:rPr>
      <w:t xml:space="preserve">Fax: (707) </w:t>
    </w:r>
    <w:r>
      <w:rPr>
        <w:rFonts w:ascii="Arial" w:hAnsi="Arial" w:cs="Arial"/>
        <w:sz w:val="16"/>
        <w:szCs w:val="16"/>
      </w:rPr>
      <w:t xml:space="preserve">253-4176 </w:t>
    </w:r>
  </w:p>
  <w:p w14:paraId="23B08A2E" w14:textId="77777777" w:rsidR="00E9562F" w:rsidRPr="0000766C" w:rsidRDefault="00E9562F" w:rsidP="00710FE4">
    <w:pPr>
      <w:jc w:val="right"/>
      <w:rPr>
        <w:rFonts w:ascii="Arial" w:hAnsi="Arial" w:cs="Arial"/>
        <w:b/>
        <w:sz w:val="16"/>
        <w:szCs w:val="16"/>
      </w:rPr>
    </w:pPr>
    <w:r w:rsidRPr="0000766C">
      <w:rPr>
        <w:rFonts w:ascii="Arial" w:hAnsi="Arial" w:cs="Arial"/>
        <w:sz w:val="16"/>
        <w:szCs w:val="16"/>
      </w:rPr>
      <w:br/>
    </w:r>
    <w:r>
      <w:rPr>
        <w:rFonts w:ascii="Arial" w:hAnsi="Arial" w:cs="Arial"/>
        <w:b/>
        <w:sz w:val="16"/>
        <w:szCs w:val="16"/>
      </w:rPr>
      <w:t>Minh C. Tran</w:t>
    </w:r>
  </w:p>
  <w:p w14:paraId="46B1DBD4" w14:textId="77777777" w:rsidR="00E9562F" w:rsidRPr="0000766C" w:rsidRDefault="00E9562F" w:rsidP="00710FE4">
    <w:pPr>
      <w:jc w:val="right"/>
      <w:rPr>
        <w:rFonts w:ascii="Arial" w:hAnsi="Arial" w:cs="Arial"/>
        <w:sz w:val="16"/>
        <w:szCs w:val="16"/>
      </w:rPr>
    </w:pPr>
    <w:r>
      <w:rPr>
        <w:rFonts w:ascii="Arial" w:hAnsi="Arial" w:cs="Arial"/>
        <w:sz w:val="16"/>
        <w:szCs w:val="16"/>
      </w:rPr>
      <w:t>County Executive Officer</w:t>
    </w:r>
  </w:p>
  <w:p w14:paraId="304B3B0B" w14:textId="77777777" w:rsidR="00E9562F" w:rsidRDefault="00E9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580"/>
    <w:multiLevelType w:val="hybridMultilevel"/>
    <w:tmpl w:val="B9DA5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F5F22"/>
    <w:multiLevelType w:val="hybridMultilevel"/>
    <w:tmpl w:val="D7CEA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C4FE6"/>
    <w:multiLevelType w:val="hybridMultilevel"/>
    <w:tmpl w:val="89DC4B40"/>
    <w:lvl w:ilvl="0" w:tplc="60C8559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D00DD"/>
    <w:multiLevelType w:val="hybridMultilevel"/>
    <w:tmpl w:val="B75E3D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13C226E"/>
    <w:multiLevelType w:val="hybridMultilevel"/>
    <w:tmpl w:val="8080120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300971"/>
    <w:multiLevelType w:val="hybridMultilevel"/>
    <w:tmpl w:val="CCC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0934"/>
    <w:multiLevelType w:val="hybridMultilevel"/>
    <w:tmpl w:val="40ECECF6"/>
    <w:lvl w:ilvl="0" w:tplc="D67C0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2E4A"/>
    <w:multiLevelType w:val="hybridMultilevel"/>
    <w:tmpl w:val="35520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828E2"/>
    <w:multiLevelType w:val="hybridMultilevel"/>
    <w:tmpl w:val="4A400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0E07D7"/>
    <w:multiLevelType w:val="hybridMultilevel"/>
    <w:tmpl w:val="5E30DFFC"/>
    <w:lvl w:ilvl="0" w:tplc="CCC05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22A15"/>
    <w:multiLevelType w:val="hybridMultilevel"/>
    <w:tmpl w:val="35D21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0E36C6"/>
    <w:multiLevelType w:val="hybridMultilevel"/>
    <w:tmpl w:val="F83E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5"/>
  </w:num>
  <w:num w:numId="6">
    <w:abstractNumId w:val="3"/>
  </w:num>
  <w:num w:numId="7">
    <w:abstractNumId w:val="10"/>
  </w:num>
  <w:num w:numId="8">
    <w:abstractNumId w:val="2"/>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07B08"/>
    <w:rsid w:val="00001C29"/>
    <w:rsid w:val="00002CF3"/>
    <w:rsid w:val="00002D3F"/>
    <w:rsid w:val="00003498"/>
    <w:rsid w:val="00003749"/>
    <w:rsid w:val="00004BF1"/>
    <w:rsid w:val="0000766C"/>
    <w:rsid w:val="000132FC"/>
    <w:rsid w:val="000142AD"/>
    <w:rsid w:val="000143A5"/>
    <w:rsid w:val="00015FA1"/>
    <w:rsid w:val="00021A82"/>
    <w:rsid w:val="00021E2E"/>
    <w:rsid w:val="000226A2"/>
    <w:rsid w:val="00022EB0"/>
    <w:rsid w:val="00023677"/>
    <w:rsid w:val="00024267"/>
    <w:rsid w:val="00024320"/>
    <w:rsid w:val="00024EE8"/>
    <w:rsid w:val="00025F22"/>
    <w:rsid w:val="00033979"/>
    <w:rsid w:val="00033E85"/>
    <w:rsid w:val="00043244"/>
    <w:rsid w:val="00043B5D"/>
    <w:rsid w:val="00043D29"/>
    <w:rsid w:val="0004472E"/>
    <w:rsid w:val="00047C48"/>
    <w:rsid w:val="00050EA8"/>
    <w:rsid w:val="000517F7"/>
    <w:rsid w:val="0005198D"/>
    <w:rsid w:val="00054374"/>
    <w:rsid w:val="00054D0A"/>
    <w:rsid w:val="00061178"/>
    <w:rsid w:val="00061BC7"/>
    <w:rsid w:val="000628B2"/>
    <w:rsid w:val="0006320A"/>
    <w:rsid w:val="00064526"/>
    <w:rsid w:val="00067B3A"/>
    <w:rsid w:val="000720FA"/>
    <w:rsid w:val="00073F1B"/>
    <w:rsid w:val="00074356"/>
    <w:rsid w:val="00080984"/>
    <w:rsid w:val="000827C4"/>
    <w:rsid w:val="00082BAB"/>
    <w:rsid w:val="00083957"/>
    <w:rsid w:val="000840C5"/>
    <w:rsid w:val="00086025"/>
    <w:rsid w:val="00087B96"/>
    <w:rsid w:val="0009145C"/>
    <w:rsid w:val="00091783"/>
    <w:rsid w:val="00091979"/>
    <w:rsid w:val="00093223"/>
    <w:rsid w:val="00094832"/>
    <w:rsid w:val="0009733B"/>
    <w:rsid w:val="000A0521"/>
    <w:rsid w:val="000A1952"/>
    <w:rsid w:val="000A5092"/>
    <w:rsid w:val="000A78BB"/>
    <w:rsid w:val="000B56C9"/>
    <w:rsid w:val="000C29FE"/>
    <w:rsid w:val="000C2B60"/>
    <w:rsid w:val="000D0A6A"/>
    <w:rsid w:val="000D1F3A"/>
    <w:rsid w:val="000D1FD6"/>
    <w:rsid w:val="000D37DF"/>
    <w:rsid w:val="000D6EF7"/>
    <w:rsid w:val="000E0843"/>
    <w:rsid w:val="000E3118"/>
    <w:rsid w:val="000E3BE2"/>
    <w:rsid w:val="000F1296"/>
    <w:rsid w:val="000F40C8"/>
    <w:rsid w:val="000F6913"/>
    <w:rsid w:val="000F6DF3"/>
    <w:rsid w:val="00103AC1"/>
    <w:rsid w:val="001102B9"/>
    <w:rsid w:val="00113760"/>
    <w:rsid w:val="00113B51"/>
    <w:rsid w:val="00115F8E"/>
    <w:rsid w:val="00120125"/>
    <w:rsid w:val="0012254D"/>
    <w:rsid w:val="0012297D"/>
    <w:rsid w:val="001230A8"/>
    <w:rsid w:val="001243D1"/>
    <w:rsid w:val="00126EDB"/>
    <w:rsid w:val="00127247"/>
    <w:rsid w:val="00130AEC"/>
    <w:rsid w:val="001319B3"/>
    <w:rsid w:val="00131BF5"/>
    <w:rsid w:val="00131CA3"/>
    <w:rsid w:val="00131E40"/>
    <w:rsid w:val="001326B3"/>
    <w:rsid w:val="00132730"/>
    <w:rsid w:val="0013376A"/>
    <w:rsid w:val="0013509D"/>
    <w:rsid w:val="00143547"/>
    <w:rsid w:val="0014460E"/>
    <w:rsid w:val="00144A0A"/>
    <w:rsid w:val="00146099"/>
    <w:rsid w:val="0015112A"/>
    <w:rsid w:val="00152B47"/>
    <w:rsid w:val="001549AD"/>
    <w:rsid w:val="00155873"/>
    <w:rsid w:val="00157EBC"/>
    <w:rsid w:val="00164258"/>
    <w:rsid w:val="001642E2"/>
    <w:rsid w:val="00164DB3"/>
    <w:rsid w:val="00166CEB"/>
    <w:rsid w:val="0016733B"/>
    <w:rsid w:val="001679EB"/>
    <w:rsid w:val="0017080B"/>
    <w:rsid w:val="00170AC0"/>
    <w:rsid w:val="00172D3F"/>
    <w:rsid w:val="00175ACA"/>
    <w:rsid w:val="0017685D"/>
    <w:rsid w:val="0017775C"/>
    <w:rsid w:val="001812F9"/>
    <w:rsid w:val="00181A01"/>
    <w:rsid w:val="0018316E"/>
    <w:rsid w:val="00183E23"/>
    <w:rsid w:val="001844E7"/>
    <w:rsid w:val="00184819"/>
    <w:rsid w:val="00185F72"/>
    <w:rsid w:val="00187A7D"/>
    <w:rsid w:val="001916AF"/>
    <w:rsid w:val="001928DE"/>
    <w:rsid w:val="001930EE"/>
    <w:rsid w:val="001949C2"/>
    <w:rsid w:val="001A2B36"/>
    <w:rsid w:val="001A75A8"/>
    <w:rsid w:val="001A766C"/>
    <w:rsid w:val="001B2067"/>
    <w:rsid w:val="001B2177"/>
    <w:rsid w:val="001B27F6"/>
    <w:rsid w:val="001B3645"/>
    <w:rsid w:val="001B4D7F"/>
    <w:rsid w:val="001B62AF"/>
    <w:rsid w:val="001B6973"/>
    <w:rsid w:val="001C1EA4"/>
    <w:rsid w:val="001C2472"/>
    <w:rsid w:val="001C599B"/>
    <w:rsid w:val="001D3047"/>
    <w:rsid w:val="001D3238"/>
    <w:rsid w:val="001D721A"/>
    <w:rsid w:val="001E08EF"/>
    <w:rsid w:val="001E19A9"/>
    <w:rsid w:val="001E3728"/>
    <w:rsid w:val="001E496D"/>
    <w:rsid w:val="001E6641"/>
    <w:rsid w:val="001E76FE"/>
    <w:rsid w:val="001F039A"/>
    <w:rsid w:val="001F0415"/>
    <w:rsid w:val="001F3AA2"/>
    <w:rsid w:val="001F3C11"/>
    <w:rsid w:val="001F51EB"/>
    <w:rsid w:val="001F76B6"/>
    <w:rsid w:val="002002B0"/>
    <w:rsid w:val="00200926"/>
    <w:rsid w:val="00204518"/>
    <w:rsid w:val="002047E6"/>
    <w:rsid w:val="0020590F"/>
    <w:rsid w:val="00206346"/>
    <w:rsid w:val="00210822"/>
    <w:rsid w:val="00213D9A"/>
    <w:rsid w:val="00221AEB"/>
    <w:rsid w:val="00222E34"/>
    <w:rsid w:val="00224A5F"/>
    <w:rsid w:val="002272F4"/>
    <w:rsid w:val="00230D35"/>
    <w:rsid w:val="00231427"/>
    <w:rsid w:val="00231AE1"/>
    <w:rsid w:val="002336DC"/>
    <w:rsid w:val="002344EC"/>
    <w:rsid w:val="00235BE6"/>
    <w:rsid w:val="00235DE9"/>
    <w:rsid w:val="0023605C"/>
    <w:rsid w:val="00240F34"/>
    <w:rsid w:val="002453A4"/>
    <w:rsid w:val="00245B09"/>
    <w:rsid w:val="00245D31"/>
    <w:rsid w:val="002478D6"/>
    <w:rsid w:val="00250043"/>
    <w:rsid w:val="00255BD2"/>
    <w:rsid w:val="00255DBD"/>
    <w:rsid w:val="00256393"/>
    <w:rsid w:val="002579A0"/>
    <w:rsid w:val="00257B24"/>
    <w:rsid w:val="00260164"/>
    <w:rsid w:val="0026134A"/>
    <w:rsid w:val="00263CED"/>
    <w:rsid w:val="00266A25"/>
    <w:rsid w:val="002723FC"/>
    <w:rsid w:val="002727A2"/>
    <w:rsid w:val="0028079F"/>
    <w:rsid w:val="002809ED"/>
    <w:rsid w:val="002825D0"/>
    <w:rsid w:val="0028501D"/>
    <w:rsid w:val="00285799"/>
    <w:rsid w:val="00287CE5"/>
    <w:rsid w:val="0029061F"/>
    <w:rsid w:val="0029298F"/>
    <w:rsid w:val="00293736"/>
    <w:rsid w:val="00295912"/>
    <w:rsid w:val="0029594F"/>
    <w:rsid w:val="00295A91"/>
    <w:rsid w:val="002A0434"/>
    <w:rsid w:val="002A0E8E"/>
    <w:rsid w:val="002A1DCF"/>
    <w:rsid w:val="002A2CAB"/>
    <w:rsid w:val="002A53BC"/>
    <w:rsid w:val="002A5FBC"/>
    <w:rsid w:val="002B2279"/>
    <w:rsid w:val="002B2300"/>
    <w:rsid w:val="002B4A92"/>
    <w:rsid w:val="002B4EDC"/>
    <w:rsid w:val="002B6C6B"/>
    <w:rsid w:val="002C5947"/>
    <w:rsid w:val="002C5A20"/>
    <w:rsid w:val="002C5FEA"/>
    <w:rsid w:val="002D0646"/>
    <w:rsid w:val="002D0B74"/>
    <w:rsid w:val="002D1398"/>
    <w:rsid w:val="002D2548"/>
    <w:rsid w:val="002D4D8E"/>
    <w:rsid w:val="002D7A8C"/>
    <w:rsid w:val="002E0CF8"/>
    <w:rsid w:val="002E17D2"/>
    <w:rsid w:val="002E269B"/>
    <w:rsid w:val="002E4CC3"/>
    <w:rsid w:val="002E5E8E"/>
    <w:rsid w:val="002E6058"/>
    <w:rsid w:val="002E674F"/>
    <w:rsid w:val="002E6C67"/>
    <w:rsid w:val="002F3ABB"/>
    <w:rsid w:val="002F3E09"/>
    <w:rsid w:val="002F4145"/>
    <w:rsid w:val="002F4913"/>
    <w:rsid w:val="002F5243"/>
    <w:rsid w:val="00306764"/>
    <w:rsid w:val="003104D3"/>
    <w:rsid w:val="0031096F"/>
    <w:rsid w:val="0031115B"/>
    <w:rsid w:val="003129C6"/>
    <w:rsid w:val="00312A67"/>
    <w:rsid w:val="003137C8"/>
    <w:rsid w:val="0031395B"/>
    <w:rsid w:val="003140CD"/>
    <w:rsid w:val="00315781"/>
    <w:rsid w:val="00315A89"/>
    <w:rsid w:val="00316F00"/>
    <w:rsid w:val="0032006A"/>
    <w:rsid w:val="00322119"/>
    <w:rsid w:val="00322192"/>
    <w:rsid w:val="003268D7"/>
    <w:rsid w:val="00333CC3"/>
    <w:rsid w:val="00334ECD"/>
    <w:rsid w:val="0033796C"/>
    <w:rsid w:val="00341E69"/>
    <w:rsid w:val="00343CD1"/>
    <w:rsid w:val="0034428B"/>
    <w:rsid w:val="00344883"/>
    <w:rsid w:val="00344ECE"/>
    <w:rsid w:val="00347F41"/>
    <w:rsid w:val="00350B78"/>
    <w:rsid w:val="00353DC4"/>
    <w:rsid w:val="00355346"/>
    <w:rsid w:val="00355BB0"/>
    <w:rsid w:val="0035602F"/>
    <w:rsid w:val="00356245"/>
    <w:rsid w:val="00356697"/>
    <w:rsid w:val="00357AEB"/>
    <w:rsid w:val="003603D9"/>
    <w:rsid w:val="0036278E"/>
    <w:rsid w:val="00367533"/>
    <w:rsid w:val="0037379F"/>
    <w:rsid w:val="003744CD"/>
    <w:rsid w:val="003750BC"/>
    <w:rsid w:val="003763FB"/>
    <w:rsid w:val="0037700C"/>
    <w:rsid w:val="003773A8"/>
    <w:rsid w:val="00382DCE"/>
    <w:rsid w:val="00385E00"/>
    <w:rsid w:val="00386461"/>
    <w:rsid w:val="00386C32"/>
    <w:rsid w:val="00390B0F"/>
    <w:rsid w:val="00390DEB"/>
    <w:rsid w:val="0039282A"/>
    <w:rsid w:val="0039346B"/>
    <w:rsid w:val="00394F27"/>
    <w:rsid w:val="003A178B"/>
    <w:rsid w:val="003A3742"/>
    <w:rsid w:val="003A5A85"/>
    <w:rsid w:val="003A6E79"/>
    <w:rsid w:val="003B3A7E"/>
    <w:rsid w:val="003C2D38"/>
    <w:rsid w:val="003C3883"/>
    <w:rsid w:val="003C575E"/>
    <w:rsid w:val="003C586A"/>
    <w:rsid w:val="003C64A9"/>
    <w:rsid w:val="003D0B6A"/>
    <w:rsid w:val="003D1C51"/>
    <w:rsid w:val="003D53F6"/>
    <w:rsid w:val="003E266C"/>
    <w:rsid w:val="003E42BF"/>
    <w:rsid w:val="003E5811"/>
    <w:rsid w:val="003E73E0"/>
    <w:rsid w:val="003F683C"/>
    <w:rsid w:val="003F6948"/>
    <w:rsid w:val="003F7521"/>
    <w:rsid w:val="003F7E52"/>
    <w:rsid w:val="00400C70"/>
    <w:rsid w:val="004029F6"/>
    <w:rsid w:val="00405453"/>
    <w:rsid w:val="00407353"/>
    <w:rsid w:val="00413E32"/>
    <w:rsid w:val="00414CDE"/>
    <w:rsid w:val="00415A5C"/>
    <w:rsid w:val="00416096"/>
    <w:rsid w:val="004174B0"/>
    <w:rsid w:val="00420535"/>
    <w:rsid w:val="00420D2E"/>
    <w:rsid w:val="00423CF0"/>
    <w:rsid w:val="00424AD3"/>
    <w:rsid w:val="00424D49"/>
    <w:rsid w:val="00426E3C"/>
    <w:rsid w:val="00427B95"/>
    <w:rsid w:val="00427BF0"/>
    <w:rsid w:val="00432BE8"/>
    <w:rsid w:val="00434863"/>
    <w:rsid w:val="00436150"/>
    <w:rsid w:val="00441C99"/>
    <w:rsid w:val="0044250C"/>
    <w:rsid w:val="00442A11"/>
    <w:rsid w:val="004442F2"/>
    <w:rsid w:val="0044539A"/>
    <w:rsid w:val="004454B2"/>
    <w:rsid w:val="004470C6"/>
    <w:rsid w:val="00447C2C"/>
    <w:rsid w:val="004501EE"/>
    <w:rsid w:val="00450394"/>
    <w:rsid w:val="004507FC"/>
    <w:rsid w:val="004510FE"/>
    <w:rsid w:val="00452457"/>
    <w:rsid w:val="00452EDC"/>
    <w:rsid w:val="00452F84"/>
    <w:rsid w:val="00453023"/>
    <w:rsid w:val="00453A49"/>
    <w:rsid w:val="00454292"/>
    <w:rsid w:val="00457124"/>
    <w:rsid w:val="00463011"/>
    <w:rsid w:val="00464E6A"/>
    <w:rsid w:val="00471DC0"/>
    <w:rsid w:val="00472499"/>
    <w:rsid w:val="00472FA5"/>
    <w:rsid w:val="004733F1"/>
    <w:rsid w:val="0047693D"/>
    <w:rsid w:val="0047728B"/>
    <w:rsid w:val="004833DA"/>
    <w:rsid w:val="00490C7A"/>
    <w:rsid w:val="004919E0"/>
    <w:rsid w:val="00495810"/>
    <w:rsid w:val="00495E07"/>
    <w:rsid w:val="0049637E"/>
    <w:rsid w:val="00496DE7"/>
    <w:rsid w:val="00497C51"/>
    <w:rsid w:val="004A22E4"/>
    <w:rsid w:val="004A3612"/>
    <w:rsid w:val="004A4EC1"/>
    <w:rsid w:val="004B0138"/>
    <w:rsid w:val="004B0AFA"/>
    <w:rsid w:val="004B1FAA"/>
    <w:rsid w:val="004B4071"/>
    <w:rsid w:val="004B51E0"/>
    <w:rsid w:val="004C00C5"/>
    <w:rsid w:val="004C3A9A"/>
    <w:rsid w:val="004C3AAC"/>
    <w:rsid w:val="004C5B1E"/>
    <w:rsid w:val="004D0C56"/>
    <w:rsid w:val="004D0D6C"/>
    <w:rsid w:val="004D5B30"/>
    <w:rsid w:val="004D654E"/>
    <w:rsid w:val="004D7BD6"/>
    <w:rsid w:val="004D7F13"/>
    <w:rsid w:val="004E02C5"/>
    <w:rsid w:val="004E12FE"/>
    <w:rsid w:val="004E3C8C"/>
    <w:rsid w:val="004E503E"/>
    <w:rsid w:val="004F06D7"/>
    <w:rsid w:val="004F14F9"/>
    <w:rsid w:val="004F428E"/>
    <w:rsid w:val="004F4961"/>
    <w:rsid w:val="004F53DE"/>
    <w:rsid w:val="004F7FFD"/>
    <w:rsid w:val="0050310C"/>
    <w:rsid w:val="00503BBD"/>
    <w:rsid w:val="00504BAB"/>
    <w:rsid w:val="0050575C"/>
    <w:rsid w:val="00505DD3"/>
    <w:rsid w:val="005067C9"/>
    <w:rsid w:val="00511266"/>
    <w:rsid w:val="005122FA"/>
    <w:rsid w:val="00512394"/>
    <w:rsid w:val="005157E5"/>
    <w:rsid w:val="00517512"/>
    <w:rsid w:val="00521E73"/>
    <w:rsid w:val="00523057"/>
    <w:rsid w:val="005273FB"/>
    <w:rsid w:val="0053028E"/>
    <w:rsid w:val="00531B33"/>
    <w:rsid w:val="005445B8"/>
    <w:rsid w:val="00545411"/>
    <w:rsid w:val="005475F9"/>
    <w:rsid w:val="00547D74"/>
    <w:rsid w:val="00555171"/>
    <w:rsid w:val="0055627B"/>
    <w:rsid w:val="005604D2"/>
    <w:rsid w:val="00560621"/>
    <w:rsid w:val="00560796"/>
    <w:rsid w:val="00560AAB"/>
    <w:rsid w:val="00564CC4"/>
    <w:rsid w:val="005723A4"/>
    <w:rsid w:val="00572EE5"/>
    <w:rsid w:val="00574740"/>
    <w:rsid w:val="00575482"/>
    <w:rsid w:val="00576246"/>
    <w:rsid w:val="005818E1"/>
    <w:rsid w:val="00583EBF"/>
    <w:rsid w:val="00586180"/>
    <w:rsid w:val="00587041"/>
    <w:rsid w:val="00590FB7"/>
    <w:rsid w:val="005917BF"/>
    <w:rsid w:val="00592547"/>
    <w:rsid w:val="00592730"/>
    <w:rsid w:val="00597699"/>
    <w:rsid w:val="005A058A"/>
    <w:rsid w:val="005A06BC"/>
    <w:rsid w:val="005A1132"/>
    <w:rsid w:val="005A181F"/>
    <w:rsid w:val="005A2594"/>
    <w:rsid w:val="005A7151"/>
    <w:rsid w:val="005B7B78"/>
    <w:rsid w:val="005C00F4"/>
    <w:rsid w:val="005C5D9F"/>
    <w:rsid w:val="005C7393"/>
    <w:rsid w:val="005D07EC"/>
    <w:rsid w:val="005D37FF"/>
    <w:rsid w:val="005D75BC"/>
    <w:rsid w:val="005E175B"/>
    <w:rsid w:val="005F054B"/>
    <w:rsid w:val="005F05FA"/>
    <w:rsid w:val="005F10E7"/>
    <w:rsid w:val="005F2CB5"/>
    <w:rsid w:val="005F3190"/>
    <w:rsid w:val="005F34B9"/>
    <w:rsid w:val="005F656B"/>
    <w:rsid w:val="005F7929"/>
    <w:rsid w:val="005F7DB9"/>
    <w:rsid w:val="006014C9"/>
    <w:rsid w:val="00602520"/>
    <w:rsid w:val="006039DF"/>
    <w:rsid w:val="00605667"/>
    <w:rsid w:val="00606A99"/>
    <w:rsid w:val="006079F7"/>
    <w:rsid w:val="00616812"/>
    <w:rsid w:val="006174D8"/>
    <w:rsid w:val="006176B8"/>
    <w:rsid w:val="00620734"/>
    <w:rsid w:val="0062154A"/>
    <w:rsid w:val="00623F11"/>
    <w:rsid w:val="00623F17"/>
    <w:rsid w:val="0062547B"/>
    <w:rsid w:val="00625ADA"/>
    <w:rsid w:val="00627374"/>
    <w:rsid w:val="00627496"/>
    <w:rsid w:val="00630893"/>
    <w:rsid w:val="00630BAB"/>
    <w:rsid w:val="0063126E"/>
    <w:rsid w:val="00631FC0"/>
    <w:rsid w:val="006337F7"/>
    <w:rsid w:val="00633A12"/>
    <w:rsid w:val="00633D00"/>
    <w:rsid w:val="00634507"/>
    <w:rsid w:val="00634998"/>
    <w:rsid w:val="0063561B"/>
    <w:rsid w:val="00636451"/>
    <w:rsid w:val="0063684F"/>
    <w:rsid w:val="00637224"/>
    <w:rsid w:val="0064231C"/>
    <w:rsid w:val="0064253E"/>
    <w:rsid w:val="00642EFF"/>
    <w:rsid w:val="00646BEF"/>
    <w:rsid w:val="00651622"/>
    <w:rsid w:val="00651E75"/>
    <w:rsid w:val="0065250D"/>
    <w:rsid w:val="00654823"/>
    <w:rsid w:val="0065486A"/>
    <w:rsid w:val="00656FF7"/>
    <w:rsid w:val="0065771A"/>
    <w:rsid w:val="006625F4"/>
    <w:rsid w:val="006628F5"/>
    <w:rsid w:val="00662FC6"/>
    <w:rsid w:val="00663C79"/>
    <w:rsid w:val="006663E0"/>
    <w:rsid w:val="00666BC6"/>
    <w:rsid w:val="00667109"/>
    <w:rsid w:val="00670BE7"/>
    <w:rsid w:val="00672D5B"/>
    <w:rsid w:val="00680ABF"/>
    <w:rsid w:val="00680E37"/>
    <w:rsid w:val="0068578C"/>
    <w:rsid w:val="00692992"/>
    <w:rsid w:val="0069778F"/>
    <w:rsid w:val="006A023E"/>
    <w:rsid w:val="006A07B7"/>
    <w:rsid w:val="006A0833"/>
    <w:rsid w:val="006A414C"/>
    <w:rsid w:val="006A4A53"/>
    <w:rsid w:val="006B5033"/>
    <w:rsid w:val="006B592E"/>
    <w:rsid w:val="006B73A6"/>
    <w:rsid w:val="006C08FC"/>
    <w:rsid w:val="006C2251"/>
    <w:rsid w:val="006C24EA"/>
    <w:rsid w:val="006C7E9E"/>
    <w:rsid w:val="006D0642"/>
    <w:rsid w:val="006D16FA"/>
    <w:rsid w:val="006D4A8D"/>
    <w:rsid w:val="006D5BAE"/>
    <w:rsid w:val="006E0E2B"/>
    <w:rsid w:val="006F001F"/>
    <w:rsid w:val="006F0A57"/>
    <w:rsid w:val="006F24A8"/>
    <w:rsid w:val="006F2877"/>
    <w:rsid w:val="006F36FA"/>
    <w:rsid w:val="006F39B4"/>
    <w:rsid w:val="006F5E41"/>
    <w:rsid w:val="00702152"/>
    <w:rsid w:val="007048DA"/>
    <w:rsid w:val="007069B8"/>
    <w:rsid w:val="00707C27"/>
    <w:rsid w:val="00710FE4"/>
    <w:rsid w:val="00712DE9"/>
    <w:rsid w:val="007147BB"/>
    <w:rsid w:val="00714BC8"/>
    <w:rsid w:val="007153A4"/>
    <w:rsid w:val="0071797D"/>
    <w:rsid w:val="007225AC"/>
    <w:rsid w:val="00723CA4"/>
    <w:rsid w:val="00726BF1"/>
    <w:rsid w:val="00732085"/>
    <w:rsid w:val="0073496F"/>
    <w:rsid w:val="0074288B"/>
    <w:rsid w:val="00742923"/>
    <w:rsid w:val="00742CA6"/>
    <w:rsid w:val="00745D53"/>
    <w:rsid w:val="00747984"/>
    <w:rsid w:val="00747CF9"/>
    <w:rsid w:val="00753002"/>
    <w:rsid w:val="007531B2"/>
    <w:rsid w:val="00754CC6"/>
    <w:rsid w:val="007568D5"/>
    <w:rsid w:val="007575D2"/>
    <w:rsid w:val="00763A7C"/>
    <w:rsid w:val="00766008"/>
    <w:rsid w:val="0076613B"/>
    <w:rsid w:val="00766B08"/>
    <w:rsid w:val="0076790B"/>
    <w:rsid w:val="00771FEF"/>
    <w:rsid w:val="00781741"/>
    <w:rsid w:val="007851C8"/>
    <w:rsid w:val="00785211"/>
    <w:rsid w:val="00791EAC"/>
    <w:rsid w:val="007932D8"/>
    <w:rsid w:val="007937A0"/>
    <w:rsid w:val="007942DF"/>
    <w:rsid w:val="00796D10"/>
    <w:rsid w:val="0079761F"/>
    <w:rsid w:val="007A1A85"/>
    <w:rsid w:val="007A1C8F"/>
    <w:rsid w:val="007A3862"/>
    <w:rsid w:val="007A67AE"/>
    <w:rsid w:val="007A7254"/>
    <w:rsid w:val="007B0423"/>
    <w:rsid w:val="007B18B2"/>
    <w:rsid w:val="007B3552"/>
    <w:rsid w:val="007B5941"/>
    <w:rsid w:val="007B5B1A"/>
    <w:rsid w:val="007B65AC"/>
    <w:rsid w:val="007B6B0D"/>
    <w:rsid w:val="007C315F"/>
    <w:rsid w:val="007C394C"/>
    <w:rsid w:val="007C5B72"/>
    <w:rsid w:val="007C6B53"/>
    <w:rsid w:val="007C731D"/>
    <w:rsid w:val="007C78D5"/>
    <w:rsid w:val="007C794C"/>
    <w:rsid w:val="007D1E6E"/>
    <w:rsid w:val="007D2025"/>
    <w:rsid w:val="007D354A"/>
    <w:rsid w:val="007D4273"/>
    <w:rsid w:val="007D5599"/>
    <w:rsid w:val="007D6B5F"/>
    <w:rsid w:val="007E10C0"/>
    <w:rsid w:val="007E1F70"/>
    <w:rsid w:val="007E3419"/>
    <w:rsid w:val="007E36F4"/>
    <w:rsid w:val="007E3C8E"/>
    <w:rsid w:val="007E5B09"/>
    <w:rsid w:val="007F1563"/>
    <w:rsid w:val="007F1DB3"/>
    <w:rsid w:val="007F253D"/>
    <w:rsid w:val="007F6B17"/>
    <w:rsid w:val="00800EF4"/>
    <w:rsid w:val="00801F7D"/>
    <w:rsid w:val="00805304"/>
    <w:rsid w:val="00806083"/>
    <w:rsid w:val="00812663"/>
    <w:rsid w:val="008132B8"/>
    <w:rsid w:val="00813CA8"/>
    <w:rsid w:val="008151ED"/>
    <w:rsid w:val="008156B3"/>
    <w:rsid w:val="00815F63"/>
    <w:rsid w:val="0082070B"/>
    <w:rsid w:val="008234C3"/>
    <w:rsid w:val="00823879"/>
    <w:rsid w:val="00825C0F"/>
    <w:rsid w:val="00826CFB"/>
    <w:rsid w:val="00827FFB"/>
    <w:rsid w:val="0083356B"/>
    <w:rsid w:val="00837BE6"/>
    <w:rsid w:val="00840C92"/>
    <w:rsid w:val="008435C2"/>
    <w:rsid w:val="00844749"/>
    <w:rsid w:val="008458D0"/>
    <w:rsid w:val="00847F52"/>
    <w:rsid w:val="0085124C"/>
    <w:rsid w:val="00856121"/>
    <w:rsid w:val="008568A1"/>
    <w:rsid w:val="0085786C"/>
    <w:rsid w:val="00860901"/>
    <w:rsid w:val="00860E2F"/>
    <w:rsid w:val="00861AC4"/>
    <w:rsid w:val="00863A80"/>
    <w:rsid w:val="008679F0"/>
    <w:rsid w:val="00871FFD"/>
    <w:rsid w:val="00874413"/>
    <w:rsid w:val="0087599C"/>
    <w:rsid w:val="0087610C"/>
    <w:rsid w:val="008775DA"/>
    <w:rsid w:val="00880184"/>
    <w:rsid w:val="00880AE5"/>
    <w:rsid w:val="00886247"/>
    <w:rsid w:val="0088722E"/>
    <w:rsid w:val="008905EB"/>
    <w:rsid w:val="00890C82"/>
    <w:rsid w:val="00891838"/>
    <w:rsid w:val="008927D8"/>
    <w:rsid w:val="00894CC9"/>
    <w:rsid w:val="00895F72"/>
    <w:rsid w:val="008A04DF"/>
    <w:rsid w:val="008A1081"/>
    <w:rsid w:val="008A145D"/>
    <w:rsid w:val="008A2EF9"/>
    <w:rsid w:val="008A34F0"/>
    <w:rsid w:val="008A37EC"/>
    <w:rsid w:val="008A48F2"/>
    <w:rsid w:val="008A5284"/>
    <w:rsid w:val="008A6902"/>
    <w:rsid w:val="008B4E49"/>
    <w:rsid w:val="008C1882"/>
    <w:rsid w:val="008C1CEC"/>
    <w:rsid w:val="008C3890"/>
    <w:rsid w:val="008C4BEC"/>
    <w:rsid w:val="008D0D53"/>
    <w:rsid w:val="008D1325"/>
    <w:rsid w:val="008D1B4B"/>
    <w:rsid w:val="008D635E"/>
    <w:rsid w:val="008D7C6F"/>
    <w:rsid w:val="008E2E05"/>
    <w:rsid w:val="008E500A"/>
    <w:rsid w:val="008E601E"/>
    <w:rsid w:val="008E63D2"/>
    <w:rsid w:val="008F5A2F"/>
    <w:rsid w:val="008F7180"/>
    <w:rsid w:val="0090209D"/>
    <w:rsid w:val="00902A39"/>
    <w:rsid w:val="00903614"/>
    <w:rsid w:val="00904373"/>
    <w:rsid w:val="00905799"/>
    <w:rsid w:val="009067BC"/>
    <w:rsid w:val="009100CC"/>
    <w:rsid w:val="00910550"/>
    <w:rsid w:val="00910855"/>
    <w:rsid w:val="00910C51"/>
    <w:rsid w:val="00912949"/>
    <w:rsid w:val="00913CD1"/>
    <w:rsid w:val="00917367"/>
    <w:rsid w:val="00923A4E"/>
    <w:rsid w:val="00924013"/>
    <w:rsid w:val="00925745"/>
    <w:rsid w:val="00925858"/>
    <w:rsid w:val="009311EF"/>
    <w:rsid w:val="00931D97"/>
    <w:rsid w:val="00933AA2"/>
    <w:rsid w:val="00934480"/>
    <w:rsid w:val="00936B45"/>
    <w:rsid w:val="009377B1"/>
    <w:rsid w:val="009407BD"/>
    <w:rsid w:val="0094155D"/>
    <w:rsid w:val="009426F4"/>
    <w:rsid w:val="0094449C"/>
    <w:rsid w:val="009506D5"/>
    <w:rsid w:val="00950F60"/>
    <w:rsid w:val="00955229"/>
    <w:rsid w:val="00957DFB"/>
    <w:rsid w:val="00960117"/>
    <w:rsid w:val="009606ED"/>
    <w:rsid w:val="00960CE0"/>
    <w:rsid w:val="009614A9"/>
    <w:rsid w:val="0096304C"/>
    <w:rsid w:val="00967675"/>
    <w:rsid w:val="009705BA"/>
    <w:rsid w:val="009707B5"/>
    <w:rsid w:val="00970BEB"/>
    <w:rsid w:val="00970F8D"/>
    <w:rsid w:val="009711D2"/>
    <w:rsid w:val="00971DDE"/>
    <w:rsid w:val="00972B29"/>
    <w:rsid w:val="0097322D"/>
    <w:rsid w:val="009775E1"/>
    <w:rsid w:val="0098229B"/>
    <w:rsid w:val="00982C9D"/>
    <w:rsid w:val="00984604"/>
    <w:rsid w:val="00986041"/>
    <w:rsid w:val="00986D21"/>
    <w:rsid w:val="00993218"/>
    <w:rsid w:val="009954F6"/>
    <w:rsid w:val="00995DC3"/>
    <w:rsid w:val="009966E0"/>
    <w:rsid w:val="009A0471"/>
    <w:rsid w:val="009A0E54"/>
    <w:rsid w:val="009A1838"/>
    <w:rsid w:val="009A2160"/>
    <w:rsid w:val="009A2ABE"/>
    <w:rsid w:val="009A31F0"/>
    <w:rsid w:val="009A502A"/>
    <w:rsid w:val="009A5E52"/>
    <w:rsid w:val="009A5FF7"/>
    <w:rsid w:val="009A7C53"/>
    <w:rsid w:val="009B11CF"/>
    <w:rsid w:val="009B1A46"/>
    <w:rsid w:val="009B2087"/>
    <w:rsid w:val="009B24DD"/>
    <w:rsid w:val="009B2FCD"/>
    <w:rsid w:val="009B380A"/>
    <w:rsid w:val="009B796E"/>
    <w:rsid w:val="009C0859"/>
    <w:rsid w:val="009C0977"/>
    <w:rsid w:val="009C1246"/>
    <w:rsid w:val="009C261F"/>
    <w:rsid w:val="009C41C3"/>
    <w:rsid w:val="009C5F87"/>
    <w:rsid w:val="009D00C1"/>
    <w:rsid w:val="009D3829"/>
    <w:rsid w:val="009D47E3"/>
    <w:rsid w:val="009D61BA"/>
    <w:rsid w:val="009E0078"/>
    <w:rsid w:val="009E1BBD"/>
    <w:rsid w:val="009E2B75"/>
    <w:rsid w:val="009E60F8"/>
    <w:rsid w:val="009E7CE3"/>
    <w:rsid w:val="009F1518"/>
    <w:rsid w:val="009F68E5"/>
    <w:rsid w:val="009F693B"/>
    <w:rsid w:val="00A0010B"/>
    <w:rsid w:val="00A02C0C"/>
    <w:rsid w:val="00A0740E"/>
    <w:rsid w:val="00A11193"/>
    <w:rsid w:val="00A11E0D"/>
    <w:rsid w:val="00A1686B"/>
    <w:rsid w:val="00A176E3"/>
    <w:rsid w:val="00A21691"/>
    <w:rsid w:val="00A2194D"/>
    <w:rsid w:val="00A240DF"/>
    <w:rsid w:val="00A24879"/>
    <w:rsid w:val="00A3317F"/>
    <w:rsid w:val="00A33F28"/>
    <w:rsid w:val="00A34A1F"/>
    <w:rsid w:val="00A35606"/>
    <w:rsid w:val="00A3704B"/>
    <w:rsid w:val="00A44113"/>
    <w:rsid w:val="00A462B3"/>
    <w:rsid w:val="00A46429"/>
    <w:rsid w:val="00A47B8B"/>
    <w:rsid w:val="00A5199E"/>
    <w:rsid w:val="00A532F3"/>
    <w:rsid w:val="00A543C8"/>
    <w:rsid w:val="00A56EE5"/>
    <w:rsid w:val="00A60FE3"/>
    <w:rsid w:val="00A614DD"/>
    <w:rsid w:val="00A61FD8"/>
    <w:rsid w:val="00A65916"/>
    <w:rsid w:val="00A65DFD"/>
    <w:rsid w:val="00A66991"/>
    <w:rsid w:val="00A71D19"/>
    <w:rsid w:val="00A72270"/>
    <w:rsid w:val="00A73690"/>
    <w:rsid w:val="00A75E68"/>
    <w:rsid w:val="00A76D49"/>
    <w:rsid w:val="00A80642"/>
    <w:rsid w:val="00A81E1E"/>
    <w:rsid w:val="00A81F7B"/>
    <w:rsid w:val="00A83CC6"/>
    <w:rsid w:val="00A862E5"/>
    <w:rsid w:val="00A91A81"/>
    <w:rsid w:val="00A92994"/>
    <w:rsid w:val="00A92C58"/>
    <w:rsid w:val="00A946E7"/>
    <w:rsid w:val="00A94809"/>
    <w:rsid w:val="00A952FC"/>
    <w:rsid w:val="00A96ECC"/>
    <w:rsid w:val="00A97237"/>
    <w:rsid w:val="00AA0092"/>
    <w:rsid w:val="00AA05AD"/>
    <w:rsid w:val="00AA0A52"/>
    <w:rsid w:val="00AA1F63"/>
    <w:rsid w:val="00AA497B"/>
    <w:rsid w:val="00AA5F9A"/>
    <w:rsid w:val="00AB1960"/>
    <w:rsid w:val="00AB25B5"/>
    <w:rsid w:val="00AB3691"/>
    <w:rsid w:val="00AB72BF"/>
    <w:rsid w:val="00AB794C"/>
    <w:rsid w:val="00AB7955"/>
    <w:rsid w:val="00AB7AF9"/>
    <w:rsid w:val="00AC096F"/>
    <w:rsid w:val="00AC2C59"/>
    <w:rsid w:val="00AC3302"/>
    <w:rsid w:val="00AC60BA"/>
    <w:rsid w:val="00AC6A79"/>
    <w:rsid w:val="00AC7B15"/>
    <w:rsid w:val="00AD2A0B"/>
    <w:rsid w:val="00AD2CC3"/>
    <w:rsid w:val="00AD7CC2"/>
    <w:rsid w:val="00AE009D"/>
    <w:rsid w:val="00AE0A2A"/>
    <w:rsid w:val="00AE2B20"/>
    <w:rsid w:val="00AE465F"/>
    <w:rsid w:val="00AF030F"/>
    <w:rsid w:val="00AF4783"/>
    <w:rsid w:val="00AF7D2A"/>
    <w:rsid w:val="00B05586"/>
    <w:rsid w:val="00B1160B"/>
    <w:rsid w:val="00B15896"/>
    <w:rsid w:val="00B17B37"/>
    <w:rsid w:val="00B20923"/>
    <w:rsid w:val="00B228FC"/>
    <w:rsid w:val="00B23A87"/>
    <w:rsid w:val="00B24614"/>
    <w:rsid w:val="00B2786C"/>
    <w:rsid w:val="00B32586"/>
    <w:rsid w:val="00B32988"/>
    <w:rsid w:val="00B34FB5"/>
    <w:rsid w:val="00B35498"/>
    <w:rsid w:val="00B35DBC"/>
    <w:rsid w:val="00B41358"/>
    <w:rsid w:val="00B415EB"/>
    <w:rsid w:val="00B417FF"/>
    <w:rsid w:val="00B43810"/>
    <w:rsid w:val="00B45013"/>
    <w:rsid w:val="00B51609"/>
    <w:rsid w:val="00B5466B"/>
    <w:rsid w:val="00B56948"/>
    <w:rsid w:val="00B572AF"/>
    <w:rsid w:val="00B61074"/>
    <w:rsid w:val="00B61CF4"/>
    <w:rsid w:val="00B63237"/>
    <w:rsid w:val="00B6342A"/>
    <w:rsid w:val="00B641D1"/>
    <w:rsid w:val="00B64624"/>
    <w:rsid w:val="00B66BA2"/>
    <w:rsid w:val="00B72E70"/>
    <w:rsid w:val="00B8040C"/>
    <w:rsid w:val="00B80A0D"/>
    <w:rsid w:val="00B81B5B"/>
    <w:rsid w:val="00B81E5E"/>
    <w:rsid w:val="00B837F6"/>
    <w:rsid w:val="00B84BE0"/>
    <w:rsid w:val="00B86588"/>
    <w:rsid w:val="00B906F9"/>
    <w:rsid w:val="00B9157D"/>
    <w:rsid w:val="00B91753"/>
    <w:rsid w:val="00B91F75"/>
    <w:rsid w:val="00B9214E"/>
    <w:rsid w:val="00B94C44"/>
    <w:rsid w:val="00B9678C"/>
    <w:rsid w:val="00B974E8"/>
    <w:rsid w:val="00BA056E"/>
    <w:rsid w:val="00BA2222"/>
    <w:rsid w:val="00BA3BD4"/>
    <w:rsid w:val="00BA4202"/>
    <w:rsid w:val="00BA4A48"/>
    <w:rsid w:val="00BA63A2"/>
    <w:rsid w:val="00BA6718"/>
    <w:rsid w:val="00BA72C2"/>
    <w:rsid w:val="00BA75DB"/>
    <w:rsid w:val="00BB386D"/>
    <w:rsid w:val="00BB6061"/>
    <w:rsid w:val="00BC20F3"/>
    <w:rsid w:val="00BC2A39"/>
    <w:rsid w:val="00BC3F95"/>
    <w:rsid w:val="00BC54D1"/>
    <w:rsid w:val="00BC69FD"/>
    <w:rsid w:val="00BC7934"/>
    <w:rsid w:val="00BD2255"/>
    <w:rsid w:val="00BD32B5"/>
    <w:rsid w:val="00BD353D"/>
    <w:rsid w:val="00BD688F"/>
    <w:rsid w:val="00BD698E"/>
    <w:rsid w:val="00BE18DA"/>
    <w:rsid w:val="00BE1E32"/>
    <w:rsid w:val="00BE47EC"/>
    <w:rsid w:val="00BE5BAB"/>
    <w:rsid w:val="00BE7844"/>
    <w:rsid w:val="00BF0AF1"/>
    <w:rsid w:val="00BF11F0"/>
    <w:rsid w:val="00BF13D7"/>
    <w:rsid w:val="00BF1885"/>
    <w:rsid w:val="00BF2A8F"/>
    <w:rsid w:val="00BF2D2B"/>
    <w:rsid w:val="00BF57D4"/>
    <w:rsid w:val="00C00C73"/>
    <w:rsid w:val="00C05873"/>
    <w:rsid w:val="00C13CCD"/>
    <w:rsid w:val="00C14F5C"/>
    <w:rsid w:val="00C15F35"/>
    <w:rsid w:val="00C16C6C"/>
    <w:rsid w:val="00C16DE8"/>
    <w:rsid w:val="00C17BEE"/>
    <w:rsid w:val="00C22692"/>
    <w:rsid w:val="00C23664"/>
    <w:rsid w:val="00C304A9"/>
    <w:rsid w:val="00C320C0"/>
    <w:rsid w:val="00C32EA2"/>
    <w:rsid w:val="00C3303F"/>
    <w:rsid w:val="00C35D6F"/>
    <w:rsid w:val="00C369A0"/>
    <w:rsid w:val="00C40324"/>
    <w:rsid w:val="00C417D9"/>
    <w:rsid w:val="00C42667"/>
    <w:rsid w:val="00C44F25"/>
    <w:rsid w:val="00C45C7C"/>
    <w:rsid w:val="00C47C9F"/>
    <w:rsid w:val="00C51D98"/>
    <w:rsid w:val="00C54879"/>
    <w:rsid w:val="00C5660F"/>
    <w:rsid w:val="00C60A36"/>
    <w:rsid w:val="00C60C60"/>
    <w:rsid w:val="00C62033"/>
    <w:rsid w:val="00C6327C"/>
    <w:rsid w:val="00C632B8"/>
    <w:rsid w:val="00C656A1"/>
    <w:rsid w:val="00C65856"/>
    <w:rsid w:val="00C659EA"/>
    <w:rsid w:val="00C67D66"/>
    <w:rsid w:val="00C705BE"/>
    <w:rsid w:val="00C70F2A"/>
    <w:rsid w:val="00C720F9"/>
    <w:rsid w:val="00C77835"/>
    <w:rsid w:val="00C803B5"/>
    <w:rsid w:val="00C8477E"/>
    <w:rsid w:val="00C861FA"/>
    <w:rsid w:val="00C871B1"/>
    <w:rsid w:val="00C8732D"/>
    <w:rsid w:val="00C90E05"/>
    <w:rsid w:val="00C916B0"/>
    <w:rsid w:val="00C94060"/>
    <w:rsid w:val="00C9675D"/>
    <w:rsid w:val="00CA2EC5"/>
    <w:rsid w:val="00CA690E"/>
    <w:rsid w:val="00CB02A2"/>
    <w:rsid w:val="00CB2359"/>
    <w:rsid w:val="00CB339F"/>
    <w:rsid w:val="00CB43F1"/>
    <w:rsid w:val="00CB5F8E"/>
    <w:rsid w:val="00CB7033"/>
    <w:rsid w:val="00CC0190"/>
    <w:rsid w:val="00CC12B1"/>
    <w:rsid w:val="00CC41E9"/>
    <w:rsid w:val="00CC43CE"/>
    <w:rsid w:val="00CD01DE"/>
    <w:rsid w:val="00CD0F0D"/>
    <w:rsid w:val="00CD13B2"/>
    <w:rsid w:val="00CD21FC"/>
    <w:rsid w:val="00CD2D6D"/>
    <w:rsid w:val="00CD341E"/>
    <w:rsid w:val="00CD725A"/>
    <w:rsid w:val="00CE03B6"/>
    <w:rsid w:val="00CE04CB"/>
    <w:rsid w:val="00CE36F1"/>
    <w:rsid w:val="00CE3AEC"/>
    <w:rsid w:val="00CE3F17"/>
    <w:rsid w:val="00CE7816"/>
    <w:rsid w:val="00CF116C"/>
    <w:rsid w:val="00CF1973"/>
    <w:rsid w:val="00CF4018"/>
    <w:rsid w:val="00CF73F1"/>
    <w:rsid w:val="00D007D7"/>
    <w:rsid w:val="00D02DFE"/>
    <w:rsid w:val="00D034CF"/>
    <w:rsid w:val="00D044A9"/>
    <w:rsid w:val="00D13E90"/>
    <w:rsid w:val="00D172FC"/>
    <w:rsid w:val="00D17C79"/>
    <w:rsid w:val="00D214D0"/>
    <w:rsid w:val="00D22323"/>
    <w:rsid w:val="00D24CB4"/>
    <w:rsid w:val="00D27239"/>
    <w:rsid w:val="00D275D2"/>
    <w:rsid w:val="00D27D4E"/>
    <w:rsid w:val="00D27E5B"/>
    <w:rsid w:val="00D3204A"/>
    <w:rsid w:val="00D320D3"/>
    <w:rsid w:val="00D3217D"/>
    <w:rsid w:val="00D41408"/>
    <w:rsid w:val="00D429F3"/>
    <w:rsid w:val="00D42AB7"/>
    <w:rsid w:val="00D4651F"/>
    <w:rsid w:val="00D4727E"/>
    <w:rsid w:val="00D50BEF"/>
    <w:rsid w:val="00D50E4F"/>
    <w:rsid w:val="00D525BA"/>
    <w:rsid w:val="00D539E0"/>
    <w:rsid w:val="00D540EF"/>
    <w:rsid w:val="00D54682"/>
    <w:rsid w:val="00D55604"/>
    <w:rsid w:val="00D57C99"/>
    <w:rsid w:val="00D60497"/>
    <w:rsid w:val="00D611E1"/>
    <w:rsid w:val="00D61FF0"/>
    <w:rsid w:val="00D622FF"/>
    <w:rsid w:val="00D655A9"/>
    <w:rsid w:val="00D6670B"/>
    <w:rsid w:val="00D67482"/>
    <w:rsid w:val="00D67C6B"/>
    <w:rsid w:val="00D71D08"/>
    <w:rsid w:val="00D74401"/>
    <w:rsid w:val="00D8589C"/>
    <w:rsid w:val="00D8786F"/>
    <w:rsid w:val="00D968AE"/>
    <w:rsid w:val="00D96CBA"/>
    <w:rsid w:val="00DA2932"/>
    <w:rsid w:val="00DA3DD6"/>
    <w:rsid w:val="00DA5188"/>
    <w:rsid w:val="00DB1B63"/>
    <w:rsid w:val="00DB2592"/>
    <w:rsid w:val="00DB49AA"/>
    <w:rsid w:val="00DB4CC2"/>
    <w:rsid w:val="00DB5E3F"/>
    <w:rsid w:val="00DB7904"/>
    <w:rsid w:val="00DC5E67"/>
    <w:rsid w:val="00DC66AC"/>
    <w:rsid w:val="00DD0D7C"/>
    <w:rsid w:val="00DD1559"/>
    <w:rsid w:val="00DD3C05"/>
    <w:rsid w:val="00DD507A"/>
    <w:rsid w:val="00DE0676"/>
    <w:rsid w:val="00DE149A"/>
    <w:rsid w:val="00DE20E1"/>
    <w:rsid w:val="00DE4068"/>
    <w:rsid w:val="00DE58B8"/>
    <w:rsid w:val="00DE729C"/>
    <w:rsid w:val="00DF179A"/>
    <w:rsid w:val="00DF2687"/>
    <w:rsid w:val="00DF271C"/>
    <w:rsid w:val="00DF4147"/>
    <w:rsid w:val="00DF55E9"/>
    <w:rsid w:val="00DF77EB"/>
    <w:rsid w:val="00E00CD7"/>
    <w:rsid w:val="00E02E52"/>
    <w:rsid w:val="00E07B08"/>
    <w:rsid w:val="00E10C09"/>
    <w:rsid w:val="00E1285A"/>
    <w:rsid w:val="00E12E95"/>
    <w:rsid w:val="00E14334"/>
    <w:rsid w:val="00E16076"/>
    <w:rsid w:val="00E167E3"/>
    <w:rsid w:val="00E17991"/>
    <w:rsid w:val="00E2039E"/>
    <w:rsid w:val="00E26457"/>
    <w:rsid w:val="00E30014"/>
    <w:rsid w:val="00E3012D"/>
    <w:rsid w:val="00E32213"/>
    <w:rsid w:val="00E32CBF"/>
    <w:rsid w:val="00E35CB1"/>
    <w:rsid w:val="00E36D62"/>
    <w:rsid w:val="00E379D9"/>
    <w:rsid w:val="00E40284"/>
    <w:rsid w:val="00E410EF"/>
    <w:rsid w:val="00E4387A"/>
    <w:rsid w:val="00E439FD"/>
    <w:rsid w:val="00E43B7A"/>
    <w:rsid w:val="00E47F7D"/>
    <w:rsid w:val="00E523EF"/>
    <w:rsid w:val="00E54DD9"/>
    <w:rsid w:val="00E5545D"/>
    <w:rsid w:val="00E56B43"/>
    <w:rsid w:val="00E61830"/>
    <w:rsid w:val="00E61ABF"/>
    <w:rsid w:val="00E6429B"/>
    <w:rsid w:val="00E650FC"/>
    <w:rsid w:val="00E66479"/>
    <w:rsid w:val="00E737B1"/>
    <w:rsid w:val="00E739FC"/>
    <w:rsid w:val="00E74209"/>
    <w:rsid w:val="00E83426"/>
    <w:rsid w:val="00E859A2"/>
    <w:rsid w:val="00E85B74"/>
    <w:rsid w:val="00E907B5"/>
    <w:rsid w:val="00E9560B"/>
    <w:rsid w:val="00E9562F"/>
    <w:rsid w:val="00EA1770"/>
    <w:rsid w:val="00EA316B"/>
    <w:rsid w:val="00EA40B4"/>
    <w:rsid w:val="00EA4308"/>
    <w:rsid w:val="00EA7E24"/>
    <w:rsid w:val="00EA7FF8"/>
    <w:rsid w:val="00EB0957"/>
    <w:rsid w:val="00EB2164"/>
    <w:rsid w:val="00EB282B"/>
    <w:rsid w:val="00EB29E9"/>
    <w:rsid w:val="00EB3B0E"/>
    <w:rsid w:val="00EB3F7D"/>
    <w:rsid w:val="00EB4C81"/>
    <w:rsid w:val="00EB5129"/>
    <w:rsid w:val="00EB55D6"/>
    <w:rsid w:val="00EC05A7"/>
    <w:rsid w:val="00EC0671"/>
    <w:rsid w:val="00EC0FB7"/>
    <w:rsid w:val="00EC4BEE"/>
    <w:rsid w:val="00ED074F"/>
    <w:rsid w:val="00ED0905"/>
    <w:rsid w:val="00ED3113"/>
    <w:rsid w:val="00ED45A5"/>
    <w:rsid w:val="00ED4956"/>
    <w:rsid w:val="00ED5BDB"/>
    <w:rsid w:val="00ED612E"/>
    <w:rsid w:val="00ED639E"/>
    <w:rsid w:val="00EE008B"/>
    <w:rsid w:val="00EE1A25"/>
    <w:rsid w:val="00EE1A54"/>
    <w:rsid w:val="00EE38C9"/>
    <w:rsid w:val="00EE43FD"/>
    <w:rsid w:val="00EE76D0"/>
    <w:rsid w:val="00EF7386"/>
    <w:rsid w:val="00F03947"/>
    <w:rsid w:val="00F04F60"/>
    <w:rsid w:val="00F051CD"/>
    <w:rsid w:val="00F07790"/>
    <w:rsid w:val="00F10F5D"/>
    <w:rsid w:val="00F1270D"/>
    <w:rsid w:val="00F14AD5"/>
    <w:rsid w:val="00F161CB"/>
    <w:rsid w:val="00F2143E"/>
    <w:rsid w:val="00F214BC"/>
    <w:rsid w:val="00F21D2D"/>
    <w:rsid w:val="00F227B7"/>
    <w:rsid w:val="00F23337"/>
    <w:rsid w:val="00F25A5E"/>
    <w:rsid w:val="00F3087C"/>
    <w:rsid w:val="00F3596C"/>
    <w:rsid w:val="00F37D8C"/>
    <w:rsid w:val="00F42B9F"/>
    <w:rsid w:val="00F446CD"/>
    <w:rsid w:val="00F44717"/>
    <w:rsid w:val="00F44917"/>
    <w:rsid w:val="00F471FC"/>
    <w:rsid w:val="00F5063F"/>
    <w:rsid w:val="00F52252"/>
    <w:rsid w:val="00F53F6B"/>
    <w:rsid w:val="00F5785A"/>
    <w:rsid w:val="00F60290"/>
    <w:rsid w:val="00F606A1"/>
    <w:rsid w:val="00F6224B"/>
    <w:rsid w:val="00F64084"/>
    <w:rsid w:val="00F643A0"/>
    <w:rsid w:val="00F657AD"/>
    <w:rsid w:val="00F67A78"/>
    <w:rsid w:val="00F7197A"/>
    <w:rsid w:val="00F71EF0"/>
    <w:rsid w:val="00F73ACD"/>
    <w:rsid w:val="00F805F7"/>
    <w:rsid w:val="00F823AA"/>
    <w:rsid w:val="00F83B83"/>
    <w:rsid w:val="00F84CC5"/>
    <w:rsid w:val="00F854DF"/>
    <w:rsid w:val="00F85C99"/>
    <w:rsid w:val="00F85D83"/>
    <w:rsid w:val="00F85E56"/>
    <w:rsid w:val="00F90EE5"/>
    <w:rsid w:val="00F93D18"/>
    <w:rsid w:val="00F94266"/>
    <w:rsid w:val="00F94A76"/>
    <w:rsid w:val="00F957FC"/>
    <w:rsid w:val="00F959C0"/>
    <w:rsid w:val="00FA0C1D"/>
    <w:rsid w:val="00FA10ED"/>
    <w:rsid w:val="00FA1988"/>
    <w:rsid w:val="00FA251C"/>
    <w:rsid w:val="00FA43EA"/>
    <w:rsid w:val="00FA572C"/>
    <w:rsid w:val="00FA59B9"/>
    <w:rsid w:val="00FA61A4"/>
    <w:rsid w:val="00FB01EE"/>
    <w:rsid w:val="00FB1037"/>
    <w:rsid w:val="00FB47A4"/>
    <w:rsid w:val="00FB5ECD"/>
    <w:rsid w:val="00FB647D"/>
    <w:rsid w:val="00FB6A4A"/>
    <w:rsid w:val="00FC1EED"/>
    <w:rsid w:val="00FC293C"/>
    <w:rsid w:val="00FC53E1"/>
    <w:rsid w:val="00FC6D74"/>
    <w:rsid w:val="00FC7033"/>
    <w:rsid w:val="00FD0586"/>
    <w:rsid w:val="00FD46B9"/>
    <w:rsid w:val="00FD709E"/>
    <w:rsid w:val="00FE074F"/>
    <w:rsid w:val="00FE0931"/>
    <w:rsid w:val="00FE2012"/>
    <w:rsid w:val="00FE265D"/>
    <w:rsid w:val="00FE3A2A"/>
    <w:rsid w:val="00FE582F"/>
    <w:rsid w:val="00FE744A"/>
    <w:rsid w:val="00FE7DAD"/>
    <w:rsid w:val="00FF24D1"/>
    <w:rsid w:val="00FF39DE"/>
    <w:rsid w:val="00FF3FF4"/>
    <w:rsid w:val="00FF4FD7"/>
    <w:rsid w:val="00FF5A05"/>
    <w:rsid w:val="00FF5B48"/>
    <w:rsid w:val="00FF5DAD"/>
    <w:rsid w:val="00FF6B74"/>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6D778DD0"/>
  <w15:docId w15:val="{840AA8D2-DBBD-465A-A5B3-16A2AC1B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table" w:styleId="TableGrid">
    <w:name w:val="Table Grid"/>
    <w:basedOn w:val="TableNormal"/>
    <w:rsid w:val="00E5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C394C"/>
    <w:rPr>
      <w:color w:val="800080"/>
      <w:u w:val="single"/>
    </w:rPr>
  </w:style>
  <w:style w:type="paragraph" w:styleId="FootnoteText">
    <w:name w:val="footnote text"/>
    <w:basedOn w:val="Normal"/>
    <w:link w:val="FootnoteTextChar"/>
    <w:uiPriority w:val="99"/>
    <w:unhideWhenUsed/>
    <w:rsid w:val="00A61FD8"/>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61FD8"/>
    <w:rPr>
      <w:rFonts w:ascii="Calibri" w:eastAsia="Calibri" w:hAnsi="Calibri"/>
    </w:rPr>
  </w:style>
  <w:style w:type="character" w:styleId="FootnoteReference">
    <w:name w:val="footnote reference"/>
    <w:basedOn w:val="DefaultParagraphFont"/>
    <w:uiPriority w:val="99"/>
    <w:unhideWhenUsed/>
    <w:rsid w:val="00A61FD8"/>
    <w:rPr>
      <w:vertAlign w:val="superscript"/>
    </w:rPr>
  </w:style>
  <w:style w:type="paragraph" w:styleId="ListParagraph">
    <w:name w:val="List Paragraph"/>
    <w:basedOn w:val="Normal"/>
    <w:uiPriority w:val="34"/>
    <w:qFormat/>
    <w:rsid w:val="00A61FD8"/>
    <w:pPr>
      <w:spacing w:after="200" w:line="276" w:lineRule="auto"/>
      <w:ind w:left="720"/>
    </w:pPr>
    <w:rPr>
      <w:rFonts w:ascii="Calibri" w:eastAsia="Calibri" w:hAnsi="Calibri"/>
      <w:sz w:val="22"/>
      <w:szCs w:val="22"/>
    </w:rPr>
  </w:style>
  <w:style w:type="paragraph" w:styleId="NoSpacing">
    <w:name w:val="No Spacing"/>
    <w:link w:val="NoSpacingChar"/>
    <w:uiPriority w:val="1"/>
    <w:qFormat/>
    <w:rsid w:val="00747CF9"/>
    <w:rPr>
      <w:rFonts w:ascii="Calibri" w:hAnsi="Calibri"/>
      <w:sz w:val="22"/>
      <w:szCs w:val="22"/>
    </w:rPr>
  </w:style>
  <w:style w:type="character" w:customStyle="1" w:styleId="NoSpacingChar">
    <w:name w:val="No Spacing Char"/>
    <w:basedOn w:val="DefaultParagraphFont"/>
    <w:link w:val="NoSpacing"/>
    <w:uiPriority w:val="1"/>
    <w:rsid w:val="00747CF9"/>
    <w:rPr>
      <w:rFonts w:ascii="Calibri" w:hAnsi="Calibri"/>
      <w:sz w:val="22"/>
      <w:szCs w:val="22"/>
      <w:lang w:val="en-US" w:eastAsia="en-US" w:bidi="ar-SA"/>
    </w:rPr>
  </w:style>
  <w:style w:type="character" w:customStyle="1" w:styleId="HeaderChar">
    <w:name w:val="Header Char"/>
    <w:basedOn w:val="DefaultParagraphFont"/>
    <w:link w:val="Header"/>
    <w:uiPriority w:val="99"/>
    <w:rsid w:val="00747CF9"/>
    <w:rPr>
      <w:sz w:val="24"/>
      <w:szCs w:val="24"/>
    </w:rPr>
  </w:style>
  <w:style w:type="character" w:styleId="CommentReference">
    <w:name w:val="annotation reference"/>
    <w:basedOn w:val="DefaultParagraphFont"/>
    <w:rsid w:val="00B9157D"/>
    <w:rPr>
      <w:sz w:val="16"/>
      <w:szCs w:val="16"/>
    </w:rPr>
  </w:style>
  <w:style w:type="paragraph" w:styleId="CommentText">
    <w:name w:val="annotation text"/>
    <w:basedOn w:val="Normal"/>
    <w:link w:val="CommentTextChar"/>
    <w:rsid w:val="00B9157D"/>
    <w:rPr>
      <w:sz w:val="20"/>
      <w:szCs w:val="20"/>
    </w:rPr>
  </w:style>
  <w:style w:type="character" w:customStyle="1" w:styleId="CommentTextChar">
    <w:name w:val="Comment Text Char"/>
    <w:basedOn w:val="DefaultParagraphFont"/>
    <w:link w:val="CommentText"/>
    <w:rsid w:val="00B9157D"/>
  </w:style>
  <w:style w:type="paragraph" w:styleId="CommentSubject">
    <w:name w:val="annotation subject"/>
    <w:basedOn w:val="CommentText"/>
    <w:next w:val="CommentText"/>
    <w:link w:val="CommentSubjectChar"/>
    <w:rsid w:val="00B9157D"/>
    <w:rPr>
      <w:b/>
      <w:bCs/>
    </w:rPr>
  </w:style>
  <w:style w:type="character" w:customStyle="1" w:styleId="CommentSubjectChar">
    <w:name w:val="Comment Subject Char"/>
    <w:basedOn w:val="CommentTextChar"/>
    <w:link w:val="CommentSubject"/>
    <w:rsid w:val="00B9157D"/>
    <w:rPr>
      <w:b/>
      <w:bCs/>
    </w:rPr>
  </w:style>
  <w:style w:type="paragraph" w:styleId="Revision">
    <w:name w:val="Revision"/>
    <w:hidden/>
    <w:uiPriority w:val="99"/>
    <w:semiHidden/>
    <w:rsid w:val="00235BE6"/>
    <w:rPr>
      <w:sz w:val="24"/>
      <w:szCs w:val="24"/>
    </w:rPr>
  </w:style>
  <w:style w:type="character" w:customStyle="1" w:styleId="FooterChar">
    <w:name w:val="Footer Char"/>
    <w:basedOn w:val="DefaultParagraphFont"/>
    <w:link w:val="Footer"/>
    <w:uiPriority w:val="99"/>
    <w:rsid w:val="00FA59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314">
      <w:bodyDiv w:val="1"/>
      <w:marLeft w:val="0"/>
      <w:marRight w:val="0"/>
      <w:marTop w:val="0"/>
      <w:marBottom w:val="0"/>
      <w:divBdr>
        <w:top w:val="none" w:sz="0" w:space="0" w:color="auto"/>
        <w:left w:val="none" w:sz="0" w:space="0" w:color="auto"/>
        <w:bottom w:val="none" w:sz="0" w:space="0" w:color="auto"/>
        <w:right w:val="none" w:sz="0" w:space="0" w:color="auto"/>
      </w:divBdr>
    </w:div>
    <w:div w:id="50546397">
      <w:bodyDiv w:val="1"/>
      <w:marLeft w:val="0"/>
      <w:marRight w:val="0"/>
      <w:marTop w:val="0"/>
      <w:marBottom w:val="0"/>
      <w:divBdr>
        <w:top w:val="none" w:sz="0" w:space="0" w:color="auto"/>
        <w:left w:val="none" w:sz="0" w:space="0" w:color="auto"/>
        <w:bottom w:val="none" w:sz="0" w:space="0" w:color="auto"/>
        <w:right w:val="none" w:sz="0" w:space="0" w:color="auto"/>
      </w:divBdr>
    </w:div>
    <w:div w:id="183174894">
      <w:bodyDiv w:val="1"/>
      <w:marLeft w:val="0"/>
      <w:marRight w:val="0"/>
      <w:marTop w:val="0"/>
      <w:marBottom w:val="0"/>
      <w:divBdr>
        <w:top w:val="none" w:sz="0" w:space="0" w:color="auto"/>
        <w:left w:val="none" w:sz="0" w:space="0" w:color="auto"/>
        <w:bottom w:val="none" w:sz="0" w:space="0" w:color="auto"/>
        <w:right w:val="none" w:sz="0" w:space="0" w:color="auto"/>
      </w:divBdr>
    </w:div>
    <w:div w:id="217975620">
      <w:bodyDiv w:val="1"/>
      <w:marLeft w:val="0"/>
      <w:marRight w:val="0"/>
      <w:marTop w:val="0"/>
      <w:marBottom w:val="0"/>
      <w:divBdr>
        <w:top w:val="none" w:sz="0" w:space="0" w:color="auto"/>
        <w:left w:val="none" w:sz="0" w:space="0" w:color="auto"/>
        <w:bottom w:val="none" w:sz="0" w:space="0" w:color="auto"/>
        <w:right w:val="none" w:sz="0" w:space="0" w:color="auto"/>
      </w:divBdr>
    </w:div>
    <w:div w:id="219096869">
      <w:bodyDiv w:val="1"/>
      <w:marLeft w:val="0"/>
      <w:marRight w:val="0"/>
      <w:marTop w:val="0"/>
      <w:marBottom w:val="0"/>
      <w:divBdr>
        <w:top w:val="none" w:sz="0" w:space="0" w:color="auto"/>
        <w:left w:val="none" w:sz="0" w:space="0" w:color="auto"/>
        <w:bottom w:val="none" w:sz="0" w:space="0" w:color="auto"/>
        <w:right w:val="none" w:sz="0" w:space="0" w:color="auto"/>
      </w:divBdr>
    </w:div>
    <w:div w:id="226384093">
      <w:bodyDiv w:val="1"/>
      <w:marLeft w:val="0"/>
      <w:marRight w:val="0"/>
      <w:marTop w:val="0"/>
      <w:marBottom w:val="0"/>
      <w:divBdr>
        <w:top w:val="none" w:sz="0" w:space="0" w:color="auto"/>
        <w:left w:val="none" w:sz="0" w:space="0" w:color="auto"/>
        <w:bottom w:val="none" w:sz="0" w:space="0" w:color="auto"/>
        <w:right w:val="none" w:sz="0" w:space="0" w:color="auto"/>
      </w:divBdr>
    </w:div>
    <w:div w:id="235363676">
      <w:bodyDiv w:val="1"/>
      <w:marLeft w:val="0"/>
      <w:marRight w:val="0"/>
      <w:marTop w:val="0"/>
      <w:marBottom w:val="0"/>
      <w:divBdr>
        <w:top w:val="none" w:sz="0" w:space="0" w:color="auto"/>
        <w:left w:val="none" w:sz="0" w:space="0" w:color="auto"/>
        <w:bottom w:val="none" w:sz="0" w:space="0" w:color="auto"/>
        <w:right w:val="none" w:sz="0" w:space="0" w:color="auto"/>
      </w:divBdr>
    </w:div>
    <w:div w:id="247010132">
      <w:bodyDiv w:val="1"/>
      <w:marLeft w:val="0"/>
      <w:marRight w:val="0"/>
      <w:marTop w:val="0"/>
      <w:marBottom w:val="0"/>
      <w:divBdr>
        <w:top w:val="none" w:sz="0" w:space="0" w:color="auto"/>
        <w:left w:val="none" w:sz="0" w:space="0" w:color="auto"/>
        <w:bottom w:val="none" w:sz="0" w:space="0" w:color="auto"/>
        <w:right w:val="none" w:sz="0" w:space="0" w:color="auto"/>
      </w:divBdr>
    </w:div>
    <w:div w:id="253515734">
      <w:bodyDiv w:val="1"/>
      <w:marLeft w:val="0"/>
      <w:marRight w:val="0"/>
      <w:marTop w:val="0"/>
      <w:marBottom w:val="0"/>
      <w:divBdr>
        <w:top w:val="none" w:sz="0" w:space="0" w:color="auto"/>
        <w:left w:val="none" w:sz="0" w:space="0" w:color="auto"/>
        <w:bottom w:val="none" w:sz="0" w:space="0" w:color="auto"/>
        <w:right w:val="none" w:sz="0" w:space="0" w:color="auto"/>
      </w:divBdr>
    </w:div>
    <w:div w:id="255598357">
      <w:bodyDiv w:val="1"/>
      <w:marLeft w:val="0"/>
      <w:marRight w:val="0"/>
      <w:marTop w:val="0"/>
      <w:marBottom w:val="0"/>
      <w:divBdr>
        <w:top w:val="none" w:sz="0" w:space="0" w:color="auto"/>
        <w:left w:val="none" w:sz="0" w:space="0" w:color="auto"/>
        <w:bottom w:val="none" w:sz="0" w:space="0" w:color="auto"/>
        <w:right w:val="none" w:sz="0" w:space="0" w:color="auto"/>
      </w:divBdr>
    </w:div>
    <w:div w:id="267125633">
      <w:bodyDiv w:val="1"/>
      <w:marLeft w:val="0"/>
      <w:marRight w:val="0"/>
      <w:marTop w:val="0"/>
      <w:marBottom w:val="0"/>
      <w:divBdr>
        <w:top w:val="none" w:sz="0" w:space="0" w:color="auto"/>
        <w:left w:val="none" w:sz="0" w:space="0" w:color="auto"/>
        <w:bottom w:val="none" w:sz="0" w:space="0" w:color="auto"/>
        <w:right w:val="none" w:sz="0" w:space="0" w:color="auto"/>
      </w:divBdr>
    </w:div>
    <w:div w:id="282882100">
      <w:bodyDiv w:val="1"/>
      <w:marLeft w:val="0"/>
      <w:marRight w:val="0"/>
      <w:marTop w:val="0"/>
      <w:marBottom w:val="0"/>
      <w:divBdr>
        <w:top w:val="none" w:sz="0" w:space="0" w:color="auto"/>
        <w:left w:val="none" w:sz="0" w:space="0" w:color="auto"/>
        <w:bottom w:val="none" w:sz="0" w:space="0" w:color="auto"/>
        <w:right w:val="none" w:sz="0" w:space="0" w:color="auto"/>
      </w:divBdr>
    </w:div>
    <w:div w:id="284237813">
      <w:bodyDiv w:val="1"/>
      <w:marLeft w:val="0"/>
      <w:marRight w:val="0"/>
      <w:marTop w:val="0"/>
      <w:marBottom w:val="0"/>
      <w:divBdr>
        <w:top w:val="none" w:sz="0" w:space="0" w:color="auto"/>
        <w:left w:val="none" w:sz="0" w:space="0" w:color="auto"/>
        <w:bottom w:val="none" w:sz="0" w:space="0" w:color="auto"/>
        <w:right w:val="none" w:sz="0" w:space="0" w:color="auto"/>
      </w:divBdr>
    </w:div>
    <w:div w:id="334039370">
      <w:bodyDiv w:val="1"/>
      <w:marLeft w:val="0"/>
      <w:marRight w:val="0"/>
      <w:marTop w:val="0"/>
      <w:marBottom w:val="0"/>
      <w:divBdr>
        <w:top w:val="none" w:sz="0" w:space="0" w:color="auto"/>
        <w:left w:val="none" w:sz="0" w:space="0" w:color="auto"/>
        <w:bottom w:val="none" w:sz="0" w:space="0" w:color="auto"/>
        <w:right w:val="none" w:sz="0" w:space="0" w:color="auto"/>
      </w:divBdr>
    </w:div>
    <w:div w:id="410738805">
      <w:bodyDiv w:val="1"/>
      <w:marLeft w:val="0"/>
      <w:marRight w:val="0"/>
      <w:marTop w:val="0"/>
      <w:marBottom w:val="0"/>
      <w:divBdr>
        <w:top w:val="none" w:sz="0" w:space="0" w:color="auto"/>
        <w:left w:val="none" w:sz="0" w:space="0" w:color="auto"/>
        <w:bottom w:val="none" w:sz="0" w:space="0" w:color="auto"/>
        <w:right w:val="none" w:sz="0" w:space="0" w:color="auto"/>
      </w:divBdr>
    </w:div>
    <w:div w:id="436953322">
      <w:bodyDiv w:val="1"/>
      <w:marLeft w:val="0"/>
      <w:marRight w:val="0"/>
      <w:marTop w:val="0"/>
      <w:marBottom w:val="0"/>
      <w:divBdr>
        <w:top w:val="none" w:sz="0" w:space="0" w:color="auto"/>
        <w:left w:val="none" w:sz="0" w:space="0" w:color="auto"/>
        <w:bottom w:val="none" w:sz="0" w:space="0" w:color="auto"/>
        <w:right w:val="none" w:sz="0" w:space="0" w:color="auto"/>
      </w:divBdr>
    </w:div>
    <w:div w:id="437651086">
      <w:bodyDiv w:val="1"/>
      <w:marLeft w:val="0"/>
      <w:marRight w:val="0"/>
      <w:marTop w:val="0"/>
      <w:marBottom w:val="0"/>
      <w:divBdr>
        <w:top w:val="none" w:sz="0" w:space="0" w:color="auto"/>
        <w:left w:val="none" w:sz="0" w:space="0" w:color="auto"/>
        <w:bottom w:val="none" w:sz="0" w:space="0" w:color="auto"/>
        <w:right w:val="none" w:sz="0" w:space="0" w:color="auto"/>
      </w:divBdr>
    </w:div>
    <w:div w:id="537011089">
      <w:bodyDiv w:val="1"/>
      <w:marLeft w:val="0"/>
      <w:marRight w:val="0"/>
      <w:marTop w:val="0"/>
      <w:marBottom w:val="0"/>
      <w:divBdr>
        <w:top w:val="none" w:sz="0" w:space="0" w:color="auto"/>
        <w:left w:val="none" w:sz="0" w:space="0" w:color="auto"/>
        <w:bottom w:val="none" w:sz="0" w:space="0" w:color="auto"/>
        <w:right w:val="none" w:sz="0" w:space="0" w:color="auto"/>
      </w:divBdr>
    </w:div>
    <w:div w:id="553468711">
      <w:bodyDiv w:val="1"/>
      <w:marLeft w:val="0"/>
      <w:marRight w:val="0"/>
      <w:marTop w:val="0"/>
      <w:marBottom w:val="0"/>
      <w:divBdr>
        <w:top w:val="none" w:sz="0" w:space="0" w:color="auto"/>
        <w:left w:val="none" w:sz="0" w:space="0" w:color="auto"/>
        <w:bottom w:val="none" w:sz="0" w:space="0" w:color="auto"/>
        <w:right w:val="none" w:sz="0" w:space="0" w:color="auto"/>
      </w:divBdr>
    </w:div>
    <w:div w:id="572549850">
      <w:bodyDiv w:val="1"/>
      <w:marLeft w:val="0"/>
      <w:marRight w:val="0"/>
      <w:marTop w:val="0"/>
      <w:marBottom w:val="0"/>
      <w:divBdr>
        <w:top w:val="none" w:sz="0" w:space="0" w:color="auto"/>
        <w:left w:val="none" w:sz="0" w:space="0" w:color="auto"/>
        <w:bottom w:val="none" w:sz="0" w:space="0" w:color="auto"/>
        <w:right w:val="none" w:sz="0" w:space="0" w:color="auto"/>
      </w:divBdr>
    </w:div>
    <w:div w:id="574827517">
      <w:bodyDiv w:val="1"/>
      <w:marLeft w:val="0"/>
      <w:marRight w:val="0"/>
      <w:marTop w:val="0"/>
      <w:marBottom w:val="0"/>
      <w:divBdr>
        <w:top w:val="none" w:sz="0" w:space="0" w:color="auto"/>
        <w:left w:val="none" w:sz="0" w:space="0" w:color="auto"/>
        <w:bottom w:val="none" w:sz="0" w:space="0" w:color="auto"/>
        <w:right w:val="none" w:sz="0" w:space="0" w:color="auto"/>
      </w:divBdr>
    </w:div>
    <w:div w:id="657222422">
      <w:bodyDiv w:val="1"/>
      <w:marLeft w:val="0"/>
      <w:marRight w:val="0"/>
      <w:marTop w:val="0"/>
      <w:marBottom w:val="0"/>
      <w:divBdr>
        <w:top w:val="none" w:sz="0" w:space="0" w:color="auto"/>
        <w:left w:val="none" w:sz="0" w:space="0" w:color="auto"/>
        <w:bottom w:val="none" w:sz="0" w:space="0" w:color="auto"/>
        <w:right w:val="none" w:sz="0" w:space="0" w:color="auto"/>
      </w:divBdr>
    </w:div>
    <w:div w:id="659578324">
      <w:bodyDiv w:val="1"/>
      <w:marLeft w:val="0"/>
      <w:marRight w:val="0"/>
      <w:marTop w:val="0"/>
      <w:marBottom w:val="0"/>
      <w:divBdr>
        <w:top w:val="none" w:sz="0" w:space="0" w:color="auto"/>
        <w:left w:val="none" w:sz="0" w:space="0" w:color="auto"/>
        <w:bottom w:val="none" w:sz="0" w:space="0" w:color="auto"/>
        <w:right w:val="none" w:sz="0" w:space="0" w:color="auto"/>
      </w:divBdr>
    </w:div>
    <w:div w:id="668674584">
      <w:bodyDiv w:val="1"/>
      <w:marLeft w:val="0"/>
      <w:marRight w:val="0"/>
      <w:marTop w:val="0"/>
      <w:marBottom w:val="0"/>
      <w:divBdr>
        <w:top w:val="none" w:sz="0" w:space="0" w:color="auto"/>
        <w:left w:val="none" w:sz="0" w:space="0" w:color="auto"/>
        <w:bottom w:val="none" w:sz="0" w:space="0" w:color="auto"/>
        <w:right w:val="none" w:sz="0" w:space="0" w:color="auto"/>
      </w:divBdr>
    </w:div>
    <w:div w:id="689570824">
      <w:bodyDiv w:val="1"/>
      <w:marLeft w:val="0"/>
      <w:marRight w:val="0"/>
      <w:marTop w:val="0"/>
      <w:marBottom w:val="0"/>
      <w:divBdr>
        <w:top w:val="none" w:sz="0" w:space="0" w:color="auto"/>
        <w:left w:val="none" w:sz="0" w:space="0" w:color="auto"/>
        <w:bottom w:val="none" w:sz="0" w:space="0" w:color="auto"/>
        <w:right w:val="none" w:sz="0" w:space="0" w:color="auto"/>
      </w:divBdr>
    </w:div>
    <w:div w:id="705253856">
      <w:bodyDiv w:val="1"/>
      <w:marLeft w:val="0"/>
      <w:marRight w:val="0"/>
      <w:marTop w:val="0"/>
      <w:marBottom w:val="0"/>
      <w:divBdr>
        <w:top w:val="none" w:sz="0" w:space="0" w:color="auto"/>
        <w:left w:val="none" w:sz="0" w:space="0" w:color="auto"/>
        <w:bottom w:val="none" w:sz="0" w:space="0" w:color="auto"/>
        <w:right w:val="none" w:sz="0" w:space="0" w:color="auto"/>
      </w:divBdr>
    </w:div>
    <w:div w:id="739014386">
      <w:bodyDiv w:val="1"/>
      <w:marLeft w:val="0"/>
      <w:marRight w:val="0"/>
      <w:marTop w:val="0"/>
      <w:marBottom w:val="0"/>
      <w:divBdr>
        <w:top w:val="none" w:sz="0" w:space="0" w:color="auto"/>
        <w:left w:val="none" w:sz="0" w:space="0" w:color="auto"/>
        <w:bottom w:val="none" w:sz="0" w:space="0" w:color="auto"/>
        <w:right w:val="none" w:sz="0" w:space="0" w:color="auto"/>
      </w:divBdr>
    </w:div>
    <w:div w:id="745345948">
      <w:bodyDiv w:val="1"/>
      <w:marLeft w:val="0"/>
      <w:marRight w:val="0"/>
      <w:marTop w:val="0"/>
      <w:marBottom w:val="0"/>
      <w:divBdr>
        <w:top w:val="none" w:sz="0" w:space="0" w:color="auto"/>
        <w:left w:val="none" w:sz="0" w:space="0" w:color="auto"/>
        <w:bottom w:val="none" w:sz="0" w:space="0" w:color="auto"/>
        <w:right w:val="none" w:sz="0" w:space="0" w:color="auto"/>
      </w:divBdr>
    </w:div>
    <w:div w:id="829563285">
      <w:bodyDiv w:val="1"/>
      <w:marLeft w:val="0"/>
      <w:marRight w:val="0"/>
      <w:marTop w:val="0"/>
      <w:marBottom w:val="0"/>
      <w:divBdr>
        <w:top w:val="none" w:sz="0" w:space="0" w:color="auto"/>
        <w:left w:val="none" w:sz="0" w:space="0" w:color="auto"/>
        <w:bottom w:val="none" w:sz="0" w:space="0" w:color="auto"/>
        <w:right w:val="none" w:sz="0" w:space="0" w:color="auto"/>
      </w:divBdr>
    </w:div>
    <w:div w:id="833953974">
      <w:bodyDiv w:val="1"/>
      <w:marLeft w:val="0"/>
      <w:marRight w:val="0"/>
      <w:marTop w:val="0"/>
      <w:marBottom w:val="0"/>
      <w:divBdr>
        <w:top w:val="none" w:sz="0" w:space="0" w:color="auto"/>
        <w:left w:val="none" w:sz="0" w:space="0" w:color="auto"/>
        <w:bottom w:val="none" w:sz="0" w:space="0" w:color="auto"/>
        <w:right w:val="none" w:sz="0" w:space="0" w:color="auto"/>
      </w:divBdr>
    </w:div>
    <w:div w:id="861935720">
      <w:bodyDiv w:val="1"/>
      <w:marLeft w:val="0"/>
      <w:marRight w:val="0"/>
      <w:marTop w:val="0"/>
      <w:marBottom w:val="0"/>
      <w:divBdr>
        <w:top w:val="none" w:sz="0" w:space="0" w:color="auto"/>
        <w:left w:val="none" w:sz="0" w:space="0" w:color="auto"/>
        <w:bottom w:val="none" w:sz="0" w:space="0" w:color="auto"/>
        <w:right w:val="none" w:sz="0" w:space="0" w:color="auto"/>
      </w:divBdr>
    </w:div>
    <w:div w:id="953974100">
      <w:bodyDiv w:val="1"/>
      <w:marLeft w:val="0"/>
      <w:marRight w:val="0"/>
      <w:marTop w:val="0"/>
      <w:marBottom w:val="0"/>
      <w:divBdr>
        <w:top w:val="none" w:sz="0" w:space="0" w:color="auto"/>
        <w:left w:val="none" w:sz="0" w:space="0" w:color="auto"/>
        <w:bottom w:val="none" w:sz="0" w:space="0" w:color="auto"/>
        <w:right w:val="none" w:sz="0" w:space="0" w:color="auto"/>
      </w:divBdr>
    </w:div>
    <w:div w:id="1023048445">
      <w:bodyDiv w:val="1"/>
      <w:marLeft w:val="0"/>
      <w:marRight w:val="0"/>
      <w:marTop w:val="0"/>
      <w:marBottom w:val="0"/>
      <w:divBdr>
        <w:top w:val="none" w:sz="0" w:space="0" w:color="auto"/>
        <w:left w:val="none" w:sz="0" w:space="0" w:color="auto"/>
        <w:bottom w:val="none" w:sz="0" w:space="0" w:color="auto"/>
        <w:right w:val="none" w:sz="0" w:space="0" w:color="auto"/>
      </w:divBdr>
    </w:div>
    <w:div w:id="1103694425">
      <w:bodyDiv w:val="1"/>
      <w:marLeft w:val="0"/>
      <w:marRight w:val="0"/>
      <w:marTop w:val="0"/>
      <w:marBottom w:val="0"/>
      <w:divBdr>
        <w:top w:val="none" w:sz="0" w:space="0" w:color="auto"/>
        <w:left w:val="none" w:sz="0" w:space="0" w:color="auto"/>
        <w:bottom w:val="none" w:sz="0" w:space="0" w:color="auto"/>
        <w:right w:val="none" w:sz="0" w:space="0" w:color="auto"/>
      </w:divBdr>
    </w:div>
    <w:div w:id="1148084856">
      <w:bodyDiv w:val="1"/>
      <w:marLeft w:val="0"/>
      <w:marRight w:val="0"/>
      <w:marTop w:val="0"/>
      <w:marBottom w:val="0"/>
      <w:divBdr>
        <w:top w:val="none" w:sz="0" w:space="0" w:color="auto"/>
        <w:left w:val="none" w:sz="0" w:space="0" w:color="auto"/>
        <w:bottom w:val="none" w:sz="0" w:space="0" w:color="auto"/>
        <w:right w:val="none" w:sz="0" w:space="0" w:color="auto"/>
      </w:divBdr>
    </w:div>
    <w:div w:id="1179196358">
      <w:bodyDiv w:val="1"/>
      <w:marLeft w:val="0"/>
      <w:marRight w:val="0"/>
      <w:marTop w:val="0"/>
      <w:marBottom w:val="0"/>
      <w:divBdr>
        <w:top w:val="none" w:sz="0" w:space="0" w:color="auto"/>
        <w:left w:val="none" w:sz="0" w:space="0" w:color="auto"/>
        <w:bottom w:val="none" w:sz="0" w:space="0" w:color="auto"/>
        <w:right w:val="none" w:sz="0" w:space="0" w:color="auto"/>
      </w:divBdr>
    </w:div>
    <w:div w:id="1196697349">
      <w:bodyDiv w:val="1"/>
      <w:marLeft w:val="0"/>
      <w:marRight w:val="0"/>
      <w:marTop w:val="0"/>
      <w:marBottom w:val="0"/>
      <w:divBdr>
        <w:top w:val="none" w:sz="0" w:space="0" w:color="auto"/>
        <w:left w:val="none" w:sz="0" w:space="0" w:color="auto"/>
        <w:bottom w:val="none" w:sz="0" w:space="0" w:color="auto"/>
        <w:right w:val="none" w:sz="0" w:space="0" w:color="auto"/>
      </w:divBdr>
    </w:div>
    <w:div w:id="1318455208">
      <w:bodyDiv w:val="1"/>
      <w:marLeft w:val="0"/>
      <w:marRight w:val="0"/>
      <w:marTop w:val="0"/>
      <w:marBottom w:val="0"/>
      <w:divBdr>
        <w:top w:val="none" w:sz="0" w:space="0" w:color="auto"/>
        <w:left w:val="none" w:sz="0" w:space="0" w:color="auto"/>
        <w:bottom w:val="none" w:sz="0" w:space="0" w:color="auto"/>
        <w:right w:val="none" w:sz="0" w:space="0" w:color="auto"/>
      </w:divBdr>
    </w:div>
    <w:div w:id="1318607177">
      <w:bodyDiv w:val="1"/>
      <w:marLeft w:val="0"/>
      <w:marRight w:val="0"/>
      <w:marTop w:val="0"/>
      <w:marBottom w:val="0"/>
      <w:divBdr>
        <w:top w:val="none" w:sz="0" w:space="0" w:color="auto"/>
        <w:left w:val="none" w:sz="0" w:space="0" w:color="auto"/>
        <w:bottom w:val="none" w:sz="0" w:space="0" w:color="auto"/>
        <w:right w:val="none" w:sz="0" w:space="0" w:color="auto"/>
      </w:divBdr>
    </w:div>
    <w:div w:id="1360275439">
      <w:bodyDiv w:val="1"/>
      <w:marLeft w:val="0"/>
      <w:marRight w:val="0"/>
      <w:marTop w:val="0"/>
      <w:marBottom w:val="0"/>
      <w:divBdr>
        <w:top w:val="none" w:sz="0" w:space="0" w:color="auto"/>
        <w:left w:val="none" w:sz="0" w:space="0" w:color="auto"/>
        <w:bottom w:val="none" w:sz="0" w:space="0" w:color="auto"/>
        <w:right w:val="none" w:sz="0" w:space="0" w:color="auto"/>
      </w:divBdr>
    </w:div>
    <w:div w:id="1532456091">
      <w:bodyDiv w:val="1"/>
      <w:marLeft w:val="0"/>
      <w:marRight w:val="0"/>
      <w:marTop w:val="0"/>
      <w:marBottom w:val="0"/>
      <w:divBdr>
        <w:top w:val="none" w:sz="0" w:space="0" w:color="auto"/>
        <w:left w:val="none" w:sz="0" w:space="0" w:color="auto"/>
        <w:bottom w:val="none" w:sz="0" w:space="0" w:color="auto"/>
        <w:right w:val="none" w:sz="0" w:space="0" w:color="auto"/>
      </w:divBdr>
    </w:div>
    <w:div w:id="1542204475">
      <w:bodyDiv w:val="1"/>
      <w:marLeft w:val="0"/>
      <w:marRight w:val="0"/>
      <w:marTop w:val="0"/>
      <w:marBottom w:val="0"/>
      <w:divBdr>
        <w:top w:val="none" w:sz="0" w:space="0" w:color="auto"/>
        <w:left w:val="none" w:sz="0" w:space="0" w:color="auto"/>
        <w:bottom w:val="none" w:sz="0" w:space="0" w:color="auto"/>
        <w:right w:val="none" w:sz="0" w:space="0" w:color="auto"/>
      </w:divBdr>
    </w:div>
    <w:div w:id="1543326492">
      <w:bodyDiv w:val="1"/>
      <w:marLeft w:val="0"/>
      <w:marRight w:val="0"/>
      <w:marTop w:val="0"/>
      <w:marBottom w:val="0"/>
      <w:divBdr>
        <w:top w:val="none" w:sz="0" w:space="0" w:color="auto"/>
        <w:left w:val="none" w:sz="0" w:space="0" w:color="auto"/>
        <w:bottom w:val="none" w:sz="0" w:space="0" w:color="auto"/>
        <w:right w:val="none" w:sz="0" w:space="0" w:color="auto"/>
      </w:divBdr>
    </w:div>
    <w:div w:id="1558197755">
      <w:bodyDiv w:val="1"/>
      <w:marLeft w:val="0"/>
      <w:marRight w:val="0"/>
      <w:marTop w:val="0"/>
      <w:marBottom w:val="0"/>
      <w:divBdr>
        <w:top w:val="none" w:sz="0" w:space="0" w:color="auto"/>
        <w:left w:val="none" w:sz="0" w:space="0" w:color="auto"/>
        <w:bottom w:val="none" w:sz="0" w:space="0" w:color="auto"/>
        <w:right w:val="none" w:sz="0" w:space="0" w:color="auto"/>
      </w:divBdr>
    </w:div>
    <w:div w:id="1575968721">
      <w:bodyDiv w:val="1"/>
      <w:marLeft w:val="0"/>
      <w:marRight w:val="0"/>
      <w:marTop w:val="0"/>
      <w:marBottom w:val="0"/>
      <w:divBdr>
        <w:top w:val="none" w:sz="0" w:space="0" w:color="auto"/>
        <w:left w:val="none" w:sz="0" w:space="0" w:color="auto"/>
        <w:bottom w:val="none" w:sz="0" w:space="0" w:color="auto"/>
        <w:right w:val="none" w:sz="0" w:space="0" w:color="auto"/>
      </w:divBdr>
    </w:div>
    <w:div w:id="1584223777">
      <w:bodyDiv w:val="1"/>
      <w:marLeft w:val="0"/>
      <w:marRight w:val="0"/>
      <w:marTop w:val="0"/>
      <w:marBottom w:val="0"/>
      <w:divBdr>
        <w:top w:val="none" w:sz="0" w:space="0" w:color="auto"/>
        <w:left w:val="none" w:sz="0" w:space="0" w:color="auto"/>
        <w:bottom w:val="none" w:sz="0" w:space="0" w:color="auto"/>
        <w:right w:val="none" w:sz="0" w:space="0" w:color="auto"/>
      </w:divBdr>
    </w:div>
    <w:div w:id="1612785079">
      <w:bodyDiv w:val="1"/>
      <w:marLeft w:val="0"/>
      <w:marRight w:val="0"/>
      <w:marTop w:val="0"/>
      <w:marBottom w:val="0"/>
      <w:divBdr>
        <w:top w:val="none" w:sz="0" w:space="0" w:color="auto"/>
        <w:left w:val="none" w:sz="0" w:space="0" w:color="auto"/>
        <w:bottom w:val="none" w:sz="0" w:space="0" w:color="auto"/>
        <w:right w:val="none" w:sz="0" w:space="0" w:color="auto"/>
      </w:divBdr>
    </w:div>
    <w:div w:id="1626303047">
      <w:bodyDiv w:val="1"/>
      <w:marLeft w:val="0"/>
      <w:marRight w:val="0"/>
      <w:marTop w:val="0"/>
      <w:marBottom w:val="0"/>
      <w:divBdr>
        <w:top w:val="none" w:sz="0" w:space="0" w:color="auto"/>
        <w:left w:val="none" w:sz="0" w:space="0" w:color="auto"/>
        <w:bottom w:val="none" w:sz="0" w:space="0" w:color="auto"/>
        <w:right w:val="none" w:sz="0" w:space="0" w:color="auto"/>
      </w:divBdr>
    </w:div>
    <w:div w:id="1674255841">
      <w:bodyDiv w:val="1"/>
      <w:marLeft w:val="0"/>
      <w:marRight w:val="0"/>
      <w:marTop w:val="0"/>
      <w:marBottom w:val="0"/>
      <w:divBdr>
        <w:top w:val="none" w:sz="0" w:space="0" w:color="auto"/>
        <w:left w:val="none" w:sz="0" w:space="0" w:color="auto"/>
        <w:bottom w:val="none" w:sz="0" w:space="0" w:color="auto"/>
        <w:right w:val="none" w:sz="0" w:space="0" w:color="auto"/>
      </w:divBdr>
    </w:div>
    <w:div w:id="1686324419">
      <w:bodyDiv w:val="1"/>
      <w:marLeft w:val="0"/>
      <w:marRight w:val="0"/>
      <w:marTop w:val="0"/>
      <w:marBottom w:val="0"/>
      <w:divBdr>
        <w:top w:val="none" w:sz="0" w:space="0" w:color="auto"/>
        <w:left w:val="none" w:sz="0" w:space="0" w:color="auto"/>
        <w:bottom w:val="none" w:sz="0" w:space="0" w:color="auto"/>
        <w:right w:val="none" w:sz="0" w:space="0" w:color="auto"/>
      </w:divBdr>
    </w:div>
    <w:div w:id="1703435064">
      <w:bodyDiv w:val="1"/>
      <w:marLeft w:val="0"/>
      <w:marRight w:val="0"/>
      <w:marTop w:val="0"/>
      <w:marBottom w:val="0"/>
      <w:divBdr>
        <w:top w:val="none" w:sz="0" w:space="0" w:color="auto"/>
        <w:left w:val="none" w:sz="0" w:space="0" w:color="auto"/>
        <w:bottom w:val="none" w:sz="0" w:space="0" w:color="auto"/>
        <w:right w:val="none" w:sz="0" w:space="0" w:color="auto"/>
      </w:divBdr>
    </w:div>
    <w:div w:id="1719469622">
      <w:bodyDiv w:val="1"/>
      <w:marLeft w:val="0"/>
      <w:marRight w:val="0"/>
      <w:marTop w:val="0"/>
      <w:marBottom w:val="0"/>
      <w:divBdr>
        <w:top w:val="none" w:sz="0" w:space="0" w:color="auto"/>
        <w:left w:val="none" w:sz="0" w:space="0" w:color="auto"/>
        <w:bottom w:val="none" w:sz="0" w:space="0" w:color="auto"/>
        <w:right w:val="none" w:sz="0" w:space="0" w:color="auto"/>
      </w:divBdr>
    </w:div>
    <w:div w:id="1731536342">
      <w:bodyDiv w:val="1"/>
      <w:marLeft w:val="0"/>
      <w:marRight w:val="0"/>
      <w:marTop w:val="0"/>
      <w:marBottom w:val="0"/>
      <w:divBdr>
        <w:top w:val="none" w:sz="0" w:space="0" w:color="auto"/>
        <w:left w:val="none" w:sz="0" w:space="0" w:color="auto"/>
        <w:bottom w:val="none" w:sz="0" w:space="0" w:color="auto"/>
        <w:right w:val="none" w:sz="0" w:space="0" w:color="auto"/>
      </w:divBdr>
    </w:div>
    <w:div w:id="1749615516">
      <w:bodyDiv w:val="1"/>
      <w:marLeft w:val="0"/>
      <w:marRight w:val="0"/>
      <w:marTop w:val="0"/>
      <w:marBottom w:val="0"/>
      <w:divBdr>
        <w:top w:val="none" w:sz="0" w:space="0" w:color="auto"/>
        <w:left w:val="none" w:sz="0" w:space="0" w:color="auto"/>
        <w:bottom w:val="none" w:sz="0" w:space="0" w:color="auto"/>
        <w:right w:val="none" w:sz="0" w:space="0" w:color="auto"/>
      </w:divBdr>
    </w:div>
    <w:div w:id="1790855431">
      <w:bodyDiv w:val="1"/>
      <w:marLeft w:val="0"/>
      <w:marRight w:val="0"/>
      <w:marTop w:val="0"/>
      <w:marBottom w:val="0"/>
      <w:divBdr>
        <w:top w:val="none" w:sz="0" w:space="0" w:color="auto"/>
        <w:left w:val="none" w:sz="0" w:space="0" w:color="auto"/>
        <w:bottom w:val="none" w:sz="0" w:space="0" w:color="auto"/>
        <w:right w:val="none" w:sz="0" w:space="0" w:color="auto"/>
      </w:divBdr>
    </w:div>
    <w:div w:id="1794984918">
      <w:bodyDiv w:val="1"/>
      <w:marLeft w:val="0"/>
      <w:marRight w:val="0"/>
      <w:marTop w:val="0"/>
      <w:marBottom w:val="0"/>
      <w:divBdr>
        <w:top w:val="none" w:sz="0" w:space="0" w:color="auto"/>
        <w:left w:val="none" w:sz="0" w:space="0" w:color="auto"/>
        <w:bottom w:val="none" w:sz="0" w:space="0" w:color="auto"/>
        <w:right w:val="none" w:sz="0" w:space="0" w:color="auto"/>
      </w:divBdr>
    </w:div>
    <w:div w:id="1820226096">
      <w:bodyDiv w:val="1"/>
      <w:marLeft w:val="0"/>
      <w:marRight w:val="0"/>
      <w:marTop w:val="0"/>
      <w:marBottom w:val="0"/>
      <w:divBdr>
        <w:top w:val="none" w:sz="0" w:space="0" w:color="auto"/>
        <w:left w:val="none" w:sz="0" w:space="0" w:color="auto"/>
        <w:bottom w:val="none" w:sz="0" w:space="0" w:color="auto"/>
        <w:right w:val="none" w:sz="0" w:space="0" w:color="auto"/>
      </w:divBdr>
    </w:div>
    <w:div w:id="1860503090">
      <w:bodyDiv w:val="1"/>
      <w:marLeft w:val="0"/>
      <w:marRight w:val="0"/>
      <w:marTop w:val="0"/>
      <w:marBottom w:val="0"/>
      <w:divBdr>
        <w:top w:val="none" w:sz="0" w:space="0" w:color="auto"/>
        <w:left w:val="none" w:sz="0" w:space="0" w:color="auto"/>
        <w:bottom w:val="none" w:sz="0" w:space="0" w:color="auto"/>
        <w:right w:val="none" w:sz="0" w:space="0" w:color="auto"/>
      </w:divBdr>
    </w:div>
    <w:div w:id="1875607301">
      <w:bodyDiv w:val="1"/>
      <w:marLeft w:val="0"/>
      <w:marRight w:val="0"/>
      <w:marTop w:val="0"/>
      <w:marBottom w:val="0"/>
      <w:divBdr>
        <w:top w:val="none" w:sz="0" w:space="0" w:color="auto"/>
        <w:left w:val="none" w:sz="0" w:space="0" w:color="auto"/>
        <w:bottom w:val="none" w:sz="0" w:space="0" w:color="auto"/>
        <w:right w:val="none" w:sz="0" w:space="0" w:color="auto"/>
      </w:divBdr>
    </w:div>
    <w:div w:id="1881823061">
      <w:bodyDiv w:val="1"/>
      <w:marLeft w:val="0"/>
      <w:marRight w:val="0"/>
      <w:marTop w:val="0"/>
      <w:marBottom w:val="0"/>
      <w:divBdr>
        <w:top w:val="none" w:sz="0" w:space="0" w:color="auto"/>
        <w:left w:val="none" w:sz="0" w:space="0" w:color="auto"/>
        <w:bottom w:val="none" w:sz="0" w:space="0" w:color="auto"/>
        <w:right w:val="none" w:sz="0" w:space="0" w:color="auto"/>
      </w:divBdr>
    </w:div>
    <w:div w:id="1906641377">
      <w:bodyDiv w:val="1"/>
      <w:marLeft w:val="0"/>
      <w:marRight w:val="0"/>
      <w:marTop w:val="0"/>
      <w:marBottom w:val="0"/>
      <w:divBdr>
        <w:top w:val="none" w:sz="0" w:space="0" w:color="auto"/>
        <w:left w:val="none" w:sz="0" w:space="0" w:color="auto"/>
        <w:bottom w:val="none" w:sz="0" w:space="0" w:color="auto"/>
        <w:right w:val="none" w:sz="0" w:space="0" w:color="auto"/>
      </w:divBdr>
    </w:div>
    <w:div w:id="1912931232">
      <w:bodyDiv w:val="1"/>
      <w:marLeft w:val="0"/>
      <w:marRight w:val="0"/>
      <w:marTop w:val="0"/>
      <w:marBottom w:val="0"/>
      <w:divBdr>
        <w:top w:val="none" w:sz="0" w:space="0" w:color="auto"/>
        <w:left w:val="none" w:sz="0" w:space="0" w:color="auto"/>
        <w:bottom w:val="none" w:sz="0" w:space="0" w:color="auto"/>
        <w:right w:val="none" w:sz="0" w:space="0" w:color="auto"/>
      </w:divBdr>
    </w:div>
    <w:div w:id="1920022654">
      <w:bodyDiv w:val="1"/>
      <w:marLeft w:val="0"/>
      <w:marRight w:val="0"/>
      <w:marTop w:val="0"/>
      <w:marBottom w:val="0"/>
      <w:divBdr>
        <w:top w:val="none" w:sz="0" w:space="0" w:color="auto"/>
        <w:left w:val="none" w:sz="0" w:space="0" w:color="auto"/>
        <w:bottom w:val="none" w:sz="0" w:space="0" w:color="auto"/>
        <w:right w:val="none" w:sz="0" w:space="0" w:color="auto"/>
      </w:divBdr>
    </w:div>
    <w:div w:id="1932473291">
      <w:bodyDiv w:val="1"/>
      <w:marLeft w:val="0"/>
      <w:marRight w:val="0"/>
      <w:marTop w:val="0"/>
      <w:marBottom w:val="0"/>
      <w:divBdr>
        <w:top w:val="none" w:sz="0" w:space="0" w:color="auto"/>
        <w:left w:val="none" w:sz="0" w:space="0" w:color="auto"/>
        <w:bottom w:val="none" w:sz="0" w:space="0" w:color="auto"/>
        <w:right w:val="none" w:sz="0" w:space="0" w:color="auto"/>
      </w:divBdr>
    </w:div>
    <w:div w:id="1935742129">
      <w:bodyDiv w:val="1"/>
      <w:marLeft w:val="0"/>
      <w:marRight w:val="0"/>
      <w:marTop w:val="0"/>
      <w:marBottom w:val="0"/>
      <w:divBdr>
        <w:top w:val="none" w:sz="0" w:space="0" w:color="auto"/>
        <w:left w:val="none" w:sz="0" w:space="0" w:color="auto"/>
        <w:bottom w:val="none" w:sz="0" w:space="0" w:color="auto"/>
        <w:right w:val="none" w:sz="0" w:space="0" w:color="auto"/>
      </w:divBdr>
    </w:div>
    <w:div w:id="1983345348">
      <w:bodyDiv w:val="1"/>
      <w:marLeft w:val="0"/>
      <w:marRight w:val="0"/>
      <w:marTop w:val="0"/>
      <w:marBottom w:val="0"/>
      <w:divBdr>
        <w:top w:val="none" w:sz="0" w:space="0" w:color="auto"/>
        <w:left w:val="none" w:sz="0" w:space="0" w:color="auto"/>
        <w:bottom w:val="none" w:sz="0" w:space="0" w:color="auto"/>
        <w:right w:val="none" w:sz="0" w:space="0" w:color="auto"/>
      </w:divBdr>
    </w:div>
    <w:div w:id="1995447914">
      <w:bodyDiv w:val="1"/>
      <w:marLeft w:val="0"/>
      <w:marRight w:val="0"/>
      <w:marTop w:val="0"/>
      <w:marBottom w:val="0"/>
      <w:divBdr>
        <w:top w:val="none" w:sz="0" w:space="0" w:color="auto"/>
        <w:left w:val="none" w:sz="0" w:space="0" w:color="auto"/>
        <w:bottom w:val="none" w:sz="0" w:space="0" w:color="auto"/>
        <w:right w:val="none" w:sz="0" w:space="0" w:color="auto"/>
      </w:divBdr>
    </w:div>
    <w:div w:id="2005621869">
      <w:bodyDiv w:val="1"/>
      <w:marLeft w:val="0"/>
      <w:marRight w:val="0"/>
      <w:marTop w:val="0"/>
      <w:marBottom w:val="0"/>
      <w:divBdr>
        <w:top w:val="none" w:sz="0" w:space="0" w:color="auto"/>
        <w:left w:val="none" w:sz="0" w:space="0" w:color="auto"/>
        <w:bottom w:val="none" w:sz="0" w:space="0" w:color="auto"/>
        <w:right w:val="none" w:sz="0" w:space="0" w:color="auto"/>
      </w:divBdr>
    </w:div>
    <w:div w:id="2071689652">
      <w:bodyDiv w:val="1"/>
      <w:marLeft w:val="0"/>
      <w:marRight w:val="0"/>
      <w:marTop w:val="0"/>
      <w:marBottom w:val="0"/>
      <w:divBdr>
        <w:top w:val="none" w:sz="0" w:space="0" w:color="auto"/>
        <w:left w:val="none" w:sz="0" w:space="0" w:color="auto"/>
        <w:bottom w:val="none" w:sz="0" w:space="0" w:color="auto"/>
        <w:right w:val="none" w:sz="0" w:space="0" w:color="auto"/>
      </w:divBdr>
    </w:div>
    <w:div w:id="2103184834">
      <w:bodyDiv w:val="1"/>
      <w:marLeft w:val="0"/>
      <w:marRight w:val="0"/>
      <w:marTop w:val="0"/>
      <w:marBottom w:val="0"/>
      <w:divBdr>
        <w:top w:val="none" w:sz="0" w:space="0" w:color="auto"/>
        <w:left w:val="none" w:sz="0" w:space="0" w:color="auto"/>
        <w:bottom w:val="none" w:sz="0" w:space="0" w:color="auto"/>
        <w:right w:val="none" w:sz="0" w:space="0" w:color="auto"/>
      </w:divBdr>
    </w:div>
    <w:div w:id="2105759534">
      <w:bodyDiv w:val="1"/>
      <w:marLeft w:val="0"/>
      <w:marRight w:val="0"/>
      <w:marTop w:val="0"/>
      <w:marBottom w:val="0"/>
      <w:divBdr>
        <w:top w:val="none" w:sz="0" w:space="0" w:color="auto"/>
        <w:left w:val="none" w:sz="0" w:space="0" w:color="auto"/>
        <w:bottom w:val="none" w:sz="0" w:space="0" w:color="auto"/>
        <w:right w:val="none" w:sz="0" w:space="0" w:color="auto"/>
      </w:divBdr>
    </w:div>
    <w:div w:id="2108646254">
      <w:bodyDiv w:val="1"/>
      <w:marLeft w:val="0"/>
      <w:marRight w:val="0"/>
      <w:marTop w:val="0"/>
      <w:marBottom w:val="0"/>
      <w:divBdr>
        <w:top w:val="none" w:sz="0" w:space="0" w:color="auto"/>
        <w:left w:val="none" w:sz="0" w:space="0" w:color="auto"/>
        <w:bottom w:val="none" w:sz="0" w:space="0" w:color="auto"/>
        <w:right w:val="none" w:sz="0" w:space="0" w:color="auto"/>
      </w:divBdr>
    </w:div>
    <w:div w:id="2111387669">
      <w:bodyDiv w:val="1"/>
      <w:marLeft w:val="0"/>
      <w:marRight w:val="0"/>
      <w:marTop w:val="0"/>
      <w:marBottom w:val="0"/>
      <w:divBdr>
        <w:top w:val="none" w:sz="0" w:space="0" w:color="auto"/>
        <w:left w:val="none" w:sz="0" w:space="0" w:color="auto"/>
        <w:bottom w:val="none" w:sz="0" w:space="0" w:color="auto"/>
        <w:right w:val="none" w:sz="0" w:space="0" w:color="auto"/>
      </w:divBdr>
    </w:div>
    <w:div w:id="2115049737">
      <w:bodyDiv w:val="1"/>
      <w:marLeft w:val="0"/>
      <w:marRight w:val="0"/>
      <w:marTop w:val="0"/>
      <w:marBottom w:val="0"/>
      <w:divBdr>
        <w:top w:val="none" w:sz="0" w:space="0" w:color="auto"/>
        <w:left w:val="none" w:sz="0" w:space="0" w:color="auto"/>
        <w:bottom w:val="none" w:sz="0" w:space="0" w:color="auto"/>
        <w:right w:val="none" w:sz="0" w:space="0" w:color="auto"/>
      </w:divBdr>
    </w:div>
    <w:div w:id="2121947396">
      <w:bodyDiv w:val="1"/>
      <w:marLeft w:val="0"/>
      <w:marRight w:val="0"/>
      <w:marTop w:val="0"/>
      <w:marBottom w:val="0"/>
      <w:divBdr>
        <w:top w:val="none" w:sz="0" w:space="0" w:color="auto"/>
        <w:left w:val="none" w:sz="0" w:space="0" w:color="auto"/>
        <w:bottom w:val="none" w:sz="0" w:space="0" w:color="auto"/>
        <w:right w:val="none" w:sz="0" w:space="0" w:color="auto"/>
      </w:divBdr>
    </w:div>
    <w:div w:id="2123918077">
      <w:bodyDiv w:val="1"/>
      <w:marLeft w:val="0"/>
      <w:marRight w:val="0"/>
      <w:marTop w:val="0"/>
      <w:marBottom w:val="0"/>
      <w:divBdr>
        <w:top w:val="none" w:sz="0" w:space="0" w:color="auto"/>
        <w:left w:val="none" w:sz="0" w:space="0" w:color="auto"/>
        <w:bottom w:val="none" w:sz="0" w:space="0" w:color="auto"/>
        <w:right w:val="none" w:sz="0" w:space="0" w:color="auto"/>
      </w:divBdr>
    </w:div>
    <w:div w:id="21340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risham\Application%20Data\Microsoft\Templates\CEO%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8DB57-81C0-41EB-8DCF-902A756C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 Memo Template.dot</Template>
  <TotalTime>1270</TotalTime>
  <Pages>3</Pages>
  <Words>950</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Memoranda Template</vt:lpstr>
    </vt:vector>
  </TitlesOfParts>
  <Company>County of Napa</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Memoranda Template</dc:title>
  <dc:subject>Design Guidelines</dc:subject>
  <dc:creator>pgrisham</dc:creator>
  <cp:lastModifiedBy>Guerrieri, Ben</cp:lastModifiedBy>
  <cp:revision>13</cp:revision>
  <cp:lastPrinted>2021-03-17T22:44:00Z</cp:lastPrinted>
  <dcterms:created xsi:type="dcterms:W3CDTF">2021-03-10T21:49:00Z</dcterms:created>
  <dcterms:modified xsi:type="dcterms:W3CDTF">2021-03-18T18:30:00Z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County Executive Office</vt:lpwstr>
  </property>
  <property fmtid="{D5CDD505-2E9C-101B-9397-08002B2CF9AE}" pid="3" name="Format">
    <vt:lpwstr>Letterhead</vt:lpwstr>
  </property>
  <property fmtid="{D5CDD505-2E9C-101B-9397-08002B2CF9AE}" pid="4" name="Document Type">
    <vt:lpwstr>Sample</vt:lpwstr>
  </property>
</Properties>
</file>