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3A" w:rsidRPr="00447B93" w:rsidRDefault="00C1673A" w:rsidP="00C1673A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720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bookmarkStart w:id="0" w:name="_GoBack"/>
      <w:bookmarkEnd w:id="0"/>
      <w:r w:rsidRPr="00447B9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RESOLUTION NO. 201</w:t>
      </w:r>
      <w:r w:rsidR="00DF1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Pr="00447B9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-__</w:t>
      </w:r>
    </w:p>
    <w:p w:rsidR="00F02530" w:rsidRDefault="00F02530" w:rsidP="00EE5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07F">
        <w:rPr>
          <w:rFonts w:cs="Arial"/>
          <w:sz w:val="24"/>
          <w:szCs w:val="24"/>
        </w:rPr>
        <w:br/>
      </w:r>
      <w:r w:rsidRPr="00C1673A">
        <w:rPr>
          <w:rFonts w:ascii="Times New Roman" w:hAnsi="Times New Roman" w:cs="Times New Roman"/>
          <w:b/>
          <w:sz w:val="24"/>
          <w:szCs w:val="24"/>
        </w:rPr>
        <w:t xml:space="preserve">A RESOLUTION OF THE </w:t>
      </w:r>
      <w:r w:rsidR="00C1673A">
        <w:rPr>
          <w:rFonts w:ascii="Times New Roman" w:hAnsi="Times New Roman" w:cs="Times New Roman"/>
          <w:b/>
          <w:sz w:val="24"/>
          <w:szCs w:val="24"/>
        </w:rPr>
        <w:t xml:space="preserve">NAPA COUNTY BOARD OF SUPERVISORS, STATE OF CALIFORNIA, </w:t>
      </w:r>
      <w:r w:rsidRPr="00C1673A">
        <w:rPr>
          <w:rFonts w:ascii="Times New Roman" w:hAnsi="Times New Roman" w:cs="Times New Roman"/>
          <w:b/>
          <w:sz w:val="24"/>
          <w:szCs w:val="24"/>
        </w:rPr>
        <w:t xml:space="preserve">TO NOMINATE </w:t>
      </w:r>
      <w:r w:rsidR="00C1673A">
        <w:rPr>
          <w:rFonts w:ascii="Times New Roman" w:hAnsi="Times New Roman" w:cs="Times New Roman"/>
          <w:b/>
          <w:sz w:val="24"/>
          <w:szCs w:val="24"/>
        </w:rPr>
        <w:t xml:space="preserve">THE SOUTH NAPA PRIORITY PRODUCTION AREA </w:t>
      </w:r>
      <w:r w:rsidRPr="00C1673A">
        <w:rPr>
          <w:rFonts w:ascii="Times New Roman" w:hAnsi="Times New Roman" w:cs="Times New Roman"/>
          <w:b/>
          <w:sz w:val="24"/>
          <w:szCs w:val="24"/>
        </w:rPr>
        <w:t xml:space="preserve">TO THE ASSOCIATION OF BAY AREA GOVERNMENTS </w:t>
      </w:r>
      <w:r w:rsidR="00CA2DEF">
        <w:rPr>
          <w:rFonts w:ascii="Times New Roman" w:hAnsi="Times New Roman" w:cs="Times New Roman"/>
          <w:b/>
          <w:sz w:val="24"/>
          <w:szCs w:val="24"/>
        </w:rPr>
        <w:t>AND</w:t>
      </w:r>
      <w:r w:rsidRPr="00C1673A">
        <w:rPr>
          <w:rFonts w:ascii="Times New Roman" w:hAnsi="Times New Roman" w:cs="Times New Roman"/>
          <w:b/>
          <w:sz w:val="24"/>
          <w:szCs w:val="24"/>
        </w:rPr>
        <w:t xml:space="preserve"> METROPOLITAN TRANSPORTATION </w:t>
      </w:r>
      <w:r w:rsidR="00CA2DEF">
        <w:rPr>
          <w:rFonts w:ascii="Times New Roman" w:hAnsi="Times New Roman" w:cs="Times New Roman"/>
          <w:b/>
          <w:sz w:val="24"/>
          <w:szCs w:val="24"/>
        </w:rPr>
        <w:t xml:space="preserve">COMMISSION </w:t>
      </w:r>
      <w:r w:rsidRPr="00C1673A">
        <w:rPr>
          <w:rFonts w:ascii="Times New Roman" w:hAnsi="Times New Roman" w:cs="Times New Roman"/>
          <w:b/>
          <w:sz w:val="24"/>
          <w:szCs w:val="24"/>
        </w:rPr>
        <w:t xml:space="preserve">FOR ADOPTION AS A PRIORITY </w:t>
      </w:r>
      <w:r w:rsidR="00852A5E" w:rsidRPr="00C1673A">
        <w:rPr>
          <w:rFonts w:ascii="Times New Roman" w:hAnsi="Times New Roman" w:cs="Times New Roman"/>
          <w:b/>
          <w:sz w:val="24"/>
          <w:szCs w:val="24"/>
        </w:rPr>
        <w:t>PRODUCTION</w:t>
      </w:r>
      <w:r w:rsidRPr="00C1673A">
        <w:rPr>
          <w:rFonts w:ascii="Times New Roman" w:hAnsi="Times New Roman" w:cs="Times New Roman"/>
          <w:b/>
          <w:sz w:val="24"/>
          <w:szCs w:val="24"/>
        </w:rPr>
        <w:t xml:space="preserve"> AREA</w:t>
      </w:r>
    </w:p>
    <w:p w:rsidR="00CA2DEF" w:rsidRPr="00C1673A" w:rsidRDefault="00CA2DEF" w:rsidP="00EE5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623" w:rsidRDefault="00B76623" w:rsidP="00EE57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C1673A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WHEREAS</w:t>
      </w:r>
      <w:r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the Metropolitan Transportation Commission </w:t>
      </w:r>
      <w:r w:rsidR="000E237E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(MTC) </w:t>
      </w:r>
      <w:r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and the Association of Bay Area Governments </w:t>
      </w:r>
      <w:r w:rsidR="000E237E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(ABAG) </w:t>
      </w:r>
      <w:r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are preparing Plan Bay Area 2050 (the Plan), a long-range plan charting the course for the future of the nine-cou</w:t>
      </w:r>
      <w:r w:rsidR="00F02530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nty San Francisco Bay Area; and</w:t>
      </w:r>
    </w:p>
    <w:p w:rsidR="00CA2DEF" w:rsidRPr="00C1673A" w:rsidRDefault="00CA2DEF" w:rsidP="00EE57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950214" w:rsidRDefault="00950214" w:rsidP="00EE57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3A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WHEREAS</w:t>
      </w:r>
      <w:r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the Plan will serve as the Bay Area’s Regional Transportation Plan and Sustainable Communities Strategy, outlining strategies for growth and investment through the year 2050</w:t>
      </w:r>
      <w:r w:rsidRPr="00C1673A">
        <w:rPr>
          <w:rFonts w:ascii="Times New Roman" w:hAnsi="Times New Roman" w:cs="Times New Roman"/>
          <w:sz w:val="24"/>
          <w:szCs w:val="24"/>
        </w:rPr>
        <w:t>; and</w:t>
      </w:r>
    </w:p>
    <w:p w:rsidR="00CA2DEF" w:rsidRPr="00C1673A" w:rsidRDefault="00CA2DEF" w:rsidP="00EE57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950214" w:rsidRDefault="00F02530" w:rsidP="00EE57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C1673A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WHEREAS</w:t>
      </w:r>
      <w:r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</w:t>
      </w:r>
      <w:r w:rsidR="000535D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the MTC and </w:t>
      </w:r>
      <w:r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ABAG are creating a Regional Growth Framework to be used in </w:t>
      </w:r>
      <w:r w:rsidR="00950214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the Plan; </w:t>
      </w:r>
      <w:r w:rsidR="00381418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and</w:t>
      </w:r>
    </w:p>
    <w:p w:rsidR="00CA2DEF" w:rsidRPr="00C1673A" w:rsidRDefault="00CA2DEF" w:rsidP="00EE57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381418" w:rsidRDefault="00F02530" w:rsidP="00CA2D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C1673A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WHEREAS</w:t>
      </w:r>
      <w:r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this Framework </w:t>
      </w:r>
      <w:r w:rsidR="00950214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includes locally nominated Priority </w:t>
      </w:r>
      <w:r w:rsidR="00381418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Production </w:t>
      </w:r>
      <w:r w:rsidR="00950214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Areas</w:t>
      </w:r>
      <w:r w:rsidR="000E237E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(</w:t>
      </w:r>
      <w:r w:rsidR="00381418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PPA</w:t>
      </w:r>
      <w:r w:rsidR="000E237E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s)</w:t>
      </w:r>
      <w:r w:rsidR="00381418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as industrial lands that support the vitality of the region’s economy and expand middle-wage job opportunities in industrial sectors; and</w:t>
      </w:r>
    </w:p>
    <w:p w:rsidR="000535D3" w:rsidRDefault="000535D3" w:rsidP="00C167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0535D3" w:rsidRPr="00C1673A" w:rsidRDefault="000535D3" w:rsidP="000535D3">
      <w:pPr>
        <w:pStyle w:val="ResoText"/>
        <w:spacing w:after="0"/>
        <w:ind w:firstLine="720"/>
        <w:rPr>
          <w:rFonts w:ascii="Times New Roman" w:eastAsiaTheme="minorHAnsi" w:hAnsi="Times New Roman"/>
          <w:color w:val="323232"/>
          <w:shd w:val="clear" w:color="auto" w:fill="FFFFFF"/>
        </w:rPr>
      </w:pPr>
      <w:r w:rsidRPr="00C1673A">
        <w:rPr>
          <w:rFonts w:ascii="Times New Roman" w:eastAsiaTheme="minorHAnsi" w:hAnsi="Times New Roman"/>
          <w:b/>
          <w:color w:val="323232"/>
          <w:shd w:val="clear" w:color="auto" w:fill="FFFFFF"/>
        </w:rPr>
        <w:t>WHEREAS</w:t>
      </w:r>
      <w:r w:rsidRPr="00C1673A">
        <w:rPr>
          <w:rFonts w:ascii="Times New Roman" w:eastAsiaTheme="minorHAnsi" w:hAnsi="Times New Roman"/>
          <w:color w:val="323232"/>
          <w:shd w:val="clear" w:color="auto" w:fill="FFFFFF"/>
        </w:rPr>
        <w:t>, jurisdictions with PPAs may have access to future regional funding to support PPAs; and</w:t>
      </w:r>
    </w:p>
    <w:p w:rsidR="00C1673A" w:rsidRPr="00C1673A" w:rsidRDefault="00C1673A" w:rsidP="00C167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C1673A" w:rsidRDefault="00C1673A" w:rsidP="00C16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3A">
        <w:rPr>
          <w:rFonts w:ascii="Times New Roman" w:hAnsi="Times New Roman" w:cs="Times New Roman"/>
          <w:b/>
          <w:sz w:val="24"/>
          <w:szCs w:val="24"/>
        </w:rPr>
        <w:t>WHEREAS</w:t>
      </w:r>
      <w:r w:rsidRPr="00C1673A">
        <w:rPr>
          <w:rFonts w:ascii="Times New Roman" w:hAnsi="Times New Roman" w:cs="Times New Roman"/>
          <w:sz w:val="24"/>
          <w:szCs w:val="24"/>
        </w:rPr>
        <w:t xml:space="preserve">, the MTC and ABAG </w:t>
      </w:r>
      <w:r>
        <w:rPr>
          <w:rFonts w:ascii="Times New Roman" w:hAnsi="Times New Roman" w:cs="Times New Roman"/>
          <w:sz w:val="24"/>
          <w:szCs w:val="24"/>
        </w:rPr>
        <w:t>requested</w:t>
      </w:r>
      <w:r w:rsidRPr="00C1673A">
        <w:rPr>
          <w:rFonts w:ascii="Times New Roman" w:hAnsi="Times New Roman" w:cs="Times New Roman"/>
          <w:sz w:val="24"/>
          <w:szCs w:val="24"/>
        </w:rPr>
        <w:t xml:space="preserve"> “Letters of Interest” </w:t>
      </w:r>
      <w:r>
        <w:rPr>
          <w:rFonts w:ascii="Times New Roman" w:hAnsi="Times New Roman" w:cs="Times New Roman"/>
          <w:sz w:val="24"/>
          <w:szCs w:val="24"/>
        </w:rPr>
        <w:t xml:space="preserve">from interested local jurisdictions </w:t>
      </w:r>
      <w:r w:rsidRPr="00C1673A">
        <w:rPr>
          <w:rFonts w:ascii="Times New Roman" w:hAnsi="Times New Roman" w:cs="Times New Roman"/>
          <w:sz w:val="24"/>
          <w:szCs w:val="24"/>
        </w:rPr>
        <w:t xml:space="preserve">for PPAs to </w:t>
      </w:r>
      <w:r>
        <w:rPr>
          <w:rFonts w:ascii="Times New Roman" w:hAnsi="Times New Roman" w:cs="Times New Roman"/>
          <w:sz w:val="24"/>
          <w:szCs w:val="24"/>
        </w:rPr>
        <w:t xml:space="preserve">support strong clusters of the region’s economy by enhancing and protecting industrial areas, encouraging </w:t>
      </w:r>
      <w:r w:rsidRPr="00C1673A">
        <w:rPr>
          <w:rFonts w:ascii="Times New Roman" w:hAnsi="Times New Roman" w:cs="Times New Roman"/>
          <w:sz w:val="24"/>
          <w:szCs w:val="24"/>
        </w:rPr>
        <w:t>middle-wage job gro</w:t>
      </w:r>
      <w:r>
        <w:rPr>
          <w:rFonts w:ascii="Times New Roman" w:hAnsi="Times New Roman" w:cs="Times New Roman"/>
          <w:sz w:val="24"/>
          <w:szCs w:val="24"/>
        </w:rPr>
        <w:t xml:space="preserve">wth close to affordable housing, </w:t>
      </w:r>
      <w:r w:rsidRPr="00C1673A">
        <w:rPr>
          <w:rFonts w:ascii="Times New Roman" w:hAnsi="Times New Roman" w:cs="Times New Roman"/>
          <w:sz w:val="24"/>
          <w:szCs w:val="24"/>
        </w:rPr>
        <w:t>and support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1673A">
        <w:rPr>
          <w:rFonts w:ascii="Times New Roman" w:hAnsi="Times New Roman" w:cs="Times New Roman"/>
          <w:sz w:val="24"/>
          <w:szCs w:val="24"/>
        </w:rPr>
        <w:t xml:space="preserve"> networks of production, distribution and repair services, including advanced manufacturing; and </w:t>
      </w:r>
    </w:p>
    <w:p w:rsidR="00C1673A" w:rsidRPr="00C1673A" w:rsidRDefault="00C1673A" w:rsidP="00C16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73A" w:rsidRPr="00C1673A" w:rsidRDefault="00C1673A" w:rsidP="00C167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3A">
        <w:rPr>
          <w:rFonts w:ascii="Times New Roman" w:hAnsi="Times New Roman" w:cs="Times New Roman"/>
          <w:b/>
          <w:sz w:val="24"/>
          <w:szCs w:val="24"/>
        </w:rPr>
        <w:t>WHEREAS</w:t>
      </w:r>
      <w:r w:rsidRPr="00C1673A">
        <w:rPr>
          <w:rFonts w:ascii="Times New Roman" w:hAnsi="Times New Roman" w:cs="Times New Roman"/>
          <w:sz w:val="24"/>
          <w:szCs w:val="24"/>
        </w:rPr>
        <w:t xml:space="preserve">, when an </w:t>
      </w:r>
      <w:r w:rsidR="000535D3">
        <w:rPr>
          <w:rFonts w:ascii="Times New Roman" w:hAnsi="Times New Roman" w:cs="Times New Roman"/>
          <w:sz w:val="24"/>
          <w:szCs w:val="24"/>
        </w:rPr>
        <w:t>i</w:t>
      </w:r>
      <w:r w:rsidRPr="00C1673A">
        <w:rPr>
          <w:rFonts w:ascii="Times New Roman" w:hAnsi="Times New Roman" w:cs="Times New Roman"/>
          <w:sz w:val="24"/>
          <w:szCs w:val="24"/>
        </w:rPr>
        <w:t>ndustrial</w:t>
      </w:r>
      <w:r w:rsidR="000535D3">
        <w:rPr>
          <w:rFonts w:ascii="Times New Roman" w:hAnsi="Times New Roman" w:cs="Times New Roman"/>
          <w:sz w:val="24"/>
          <w:szCs w:val="24"/>
        </w:rPr>
        <w:t xml:space="preserve"> area</w:t>
      </w:r>
      <w:r w:rsidRPr="00C1673A">
        <w:rPr>
          <w:rFonts w:ascii="Times New Roman" w:hAnsi="Times New Roman" w:cs="Times New Roman"/>
          <w:sz w:val="24"/>
          <w:szCs w:val="24"/>
        </w:rPr>
        <w:t xml:space="preserve"> is shared by more than one jurisdiction, the PPA may be nominated jointly by all jurisdictions; and</w:t>
      </w:r>
    </w:p>
    <w:p w:rsidR="00C1673A" w:rsidRPr="00C1673A" w:rsidRDefault="00C1673A" w:rsidP="00C1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3A" w:rsidRPr="00C1673A" w:rsidRDefault="00C1673A" w:rsidP="00C167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3A">
        <w:rPr>
          <w:rFonts w:ascii="Times New Roman" w:hAnsi="Times New Roman" w:cs="Times New Roman"/>
          <w:b/>
          <w:sz w:val="24"/>
          <w:szCs w:val="24"/>
        </w:rPr>
        <w:t>WHEREAS</w:t>
      </w:r>
      <w:r w:rsidRPr="00C1673A">
        <w:rPr>
          <w:rFonts w:ascii="Times New Roman" w:hAnsi="Times New Roman" w:cs="Times New Roman"/>
          <w:sz w:val="24"/>
          <w:szCs w:val="24"/>
        </w:rPr>
        <w:t xml:space="preserve">, the City of American Canyon has </w:t>
      </w:r>
      <w:r w:rsidR="000535D3">
        <w:rPr>
          <w:rFonts w:ascii="Times New Roman" w:hAnsi="Times New Roman" w:cs="Times New Roman"/>
          <w:sz w:val="24"/>
          <w:szCs w:val="24"/>
        </w:rPr>
        <w:t>submitted a joint Letter of Inte</w:t>
      </w:r>
      <w:r w:rsidR="00CA2DEF">
        <w:rPr>
          <w:rFonts w:ascii="Times New Roman" w:hAnsi="Times New Roman" w:cs="Times New Roman"/>
          <w:sz w:val="24"/>
          <w:szCs w:val="24"/>
        </w:rPr>
        <w:t>rest</w:t>
      </w:r>
      <w:r w:rsidR="000535D3">
        <w:rPr>
          <w:rFonts w:ascii="Times New Roman" w:hAnsi="Times New Roman" w:cs="Times New Roman"/>
          <w:sz w:val="24"/>
          <w:szCs w:val="24"/>
        </w:rPr>
        <w:t xml:space="preserve"> </w:t>
      </w:r>
      <w:r w:rsidRPr="00C1673A">
        <w:rPr>
          <w:rFonts w:ascii="Times New Roman" w:hAnsi="Times New Roman" w:cs="Times New Roman"/>
          <w:sz w:val="24"/>
          <w:szCs w:val="24"/>
        </w:rPr>
        <w:t>with Napa County to establish a “South Napa Priority Production Area</w:t>
      </w:r>
      <w:r w:rsidR="000535D3">
        <w:rPr>
          <w:rFonts w:ascii="Times New Roman" w:hAnsi="Times New Roman" w:cs="Times New Roman"/>
          <w:sz w:val="24"/>
          <w:szCs w:val="24"/>
        </w:rPr>
        <w:t>,</w:t>
      </w:r>
      <w:r w:rsidRPr="00C1673A">
        <w:rPr>
          <w:rFonts w:ascii="Times New Roman" w:hAnsi="Times New Roman" w:cs="Times New Roman"/>
          <w:sz w:val="24"/>
          <w:szCs w:val="24"/>
        </w:rPr>
        <w:t xml:space="preserve">” </w:t>
      </w:r>
      <w:r w:rsidR="000535D3">
        <w:rPr>
          <w:rFonts w:ascii="Times New Roman" w:hAnsi="Times New Roman" w:cs="Times New Roman"/>
          <w:sz w:val="24"/>
          <w:szCs w:val="24"/>
        </w:rPr>
        <w:t xml:space="preserve">which meets all of the criteria established by the MTC and ABAG for designating a PPA; </w:t>
      </w:r>
    </w:p>
    <w:p w:rsidR="00C1673A" w:rsidRPr="00C1673A" w:rsidRDefault="00C1673A" w:rsidP="00C1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3A" w:rsidRPr="00C1673A" w:rsidRDefault="00C1673A" w:rsidP="00C167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73A">
        <w:rPr>
          <w:rFonts w:ascii="Times New Roman" w:hAnsi="Times New Roman" w:cs="Times New Roman"/>
          <w:b/>
          <w:sz w:val="24"/>
          <w:szCs w:val="24"/>
        </w:rPr>
        <w:t>WHEREAS</w:t>
      </w:r>
      <w:r w:rsidRPr="00C1673A">
        <w:rPr>
          <w:rFonts w:ascii="Times New Roman" w:hAnsi="Times New Roman" w:cs="Times New Roman"/>
          <w:sz w:val="24"/>
          <w:szCs w:val="24"/>
        </w:rPr>
        <w:t xml:space="preserve">, approval of the South Napa Priority Production Area (PPA) would further </w:t>
      </w:r>
      <w:r w:rsidR="00DF1F79">
        <w:rPr>
          <w:rFonts w:ascii="Times New Roman" w:hAnsi="Times New Roman" w:cs="Times New Roman"/>
          <w:sz w:val="24"/>
          <w:szCs w:val="24"/>
        </w:rPr>
        <w:t xml:space="preserve">implementation of both the 2008 General Plan and the Napa </w:t>
      </w:r>
      <w:r w:rsidR="000535D3">
        <w:rPr>
          <w:rFonts w:ascii="Times New Roman" w:hAnsi="Times New Roman" w:cs="Times New Roman"/>
          <w:sz w:val="24"/>
          <w:szCs w:val="24"/>
        </w:rPr>
        <w:t>County</w:t>
      </w:r>
      <w:r w:rsidR="00DF1F79">
        <w:rPr>
          <w:rFonts w:ascii="Times New Roman" w:hAnsi="Times New Roman" w:cs="Times New Roman"/>
          <w:sz w:val="24"/>
          <w:szCs w:val="24"/>
        </w:rPr>
        <w:t xml:space="preserve"> </w:t>
      </w:r>
      <w:r w:rsidR="000535D3">
        <w:rPr>
          <w:rFonts w:ascii="Times New Roman" w:hAnsi="Times New Roman" w:cs="Times New Roman"/>
          <w:sz w:val="24"/>
          <w:szCs w:val="24"/>
        </w:rPr>
        <w:t>Strategic Plan</w:t>
      </w:r>
      <w:r w:rsidRPr="00C1673A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950214" w:rsidRPr="00C1673A" w:rsidRDefault="00950214" w:rsidP="000E237E">
      <w:pPr>
        <w:pStyle w:val="ResoText"/>
        <w:spacing w:after="0"/>
        <w:rPr>
          <w:rFonts w:ascii="Times New Roman" w:eastAsiaTheme="minorHAnsi" w:hAnsi="Times New Roman"/>
          <w:color w:val="323232"/>
          <w:shd w:val="clear" w:color="auto" w:fill="FFFFFF"/>
        </w:rPr>
      </w:pPr>
    </w:p>
    <w:p w:rsidR="00606C61" w:rsidRDefault="00B76623" w:rsidP="000E237E">
      <w:pPr>
        <w:spacing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C1673A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NOW THEREFORE, BE IT RESOLVED</w:t>
      </w:r>
      <w:r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by the </w:t>
      </w:r>
      <w:r w:rsidR="00CA2DE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Napa County </w:t>
      </w:r>
      <w:r w:rsidR="000535D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Board of Supervisors </w:t>
      </w:r>
      <w:r w:rsidR="00CA2DE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to </w:t>
      </w:r>
      <w:r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submit a</w:t>
      </w:r>
      <w:r w:rsidR="0053507F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n</w:t>
      </w:r>
      <w:r w:rsidR="0053507F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omination</w:t>
      </w:r>
      <w:r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757756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to</w:t>
      </w:r>
      <w:r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757756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ABAG and the MTC to </w:t>
      </w:r>
      <w:r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designat</w:t>
      </w:r>
      <w:r w:rsidR="00757756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e</w:t>
      </w:r>
      <w:r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0535D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the South Napa Priority Production Area </w:t>
      </w:r>
      <w:r w:rsidR="00757756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as a </w:t>
      </w:r>
      <w:r w:rsidR="00381418" w:rsidRPr="00C1673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PPA</w:t>
      </w:r>
      <w:r w:rsidR="000535D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as shown in the attached Exhibit.  </w:t>
      </w:r>
    </w:p>
    <w:p w:rsidR="00814D67" w:rsidRDefault="00814D67" w:rsidP="000E237E">
      <w:pPr>
        <w:spacing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487B9A" w:rsidRDefault="00487B9A" w:rsidP="00487B9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p w:rsidR="00487B9A" w:rsidRPr="00447B93" w:rsidRDefault="00487B9A" w:rsidP="00487B9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THE FOREGOING RESOLUTION WAS DULY AND REGULARLY ADOPTED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by the Napa County Board of Supervisors, State of California, at a regular meeting of the Board held on the 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>17</w:t>
      </w:r>
      <w:r w:rsidRPr="00487B9A">
        <w:rPr>
          <w:rFonts w:ascii="Times New Roman" w:eastAsia="Times New Roman" w:hAnsi="Times New Roman" w:cs="Times New Roman"/>
          <w:spacing w:val="-2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day of December 2019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>, by the following vote:</w:t>
      </w: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AYES: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SUPERVISORS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__________________________________</w:t>
      </w: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__________________________________</w:t>
      </w: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NOES: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 xml:space="preserve">SUPERVISORS   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__________________________________</w:t>
      </w: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ABSENT: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 xml:space="preserve">SUPERVISORS   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__________________________________</w:t>
      </w: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NAPA COUNTY, a political subdivision of</w:t>
      </w: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the State of California</w:t>
      </w: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By: __________________________________</w:t>
      </w: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RYAN GREGORY, 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>Chair of the</w:t>
      </w: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Board of Supervisors</w:t>
      </w:r>
    </w:p>
    <w:p w:rsidR="00487B9A" w:rsidRPr="00447B93" w:rsidRDefault="00487B9A" w:rsidP="00487B9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tbl>
      <w:tblPr>
        <w:tblW w:w="5222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3390"/>
        <w:gridCol w:w="3336"/>
      </w:tblGrid>
      <w:tr w:rsidR="00487B9A" w:rsidRPr="00447B93" w:rsidTr="000B0954">
        <w:trPr>
          <w:trHeight w:val="211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A" w:rsidRPr="00447B93" w:rsidRDefault="00487B9A" w:rsidP="000B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>APPROVED AS TO FORM</w:t>
            </w:r>
          </w:p>
          <w:p w:rsidR="00487B9A" w:rsidRPr="00447B93" w:rsidRDefault="00487B9A" w:rsidP="000B0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>Office of County Counsel</w:t>
            </w:r>
          </w:p>
          <w:p w:rsidR="00487B9A" w:rsidRPr="00447B93" w:rsidRDefault="00487B9A" w:rsidP="000B0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56BF" w:rsidRDefault="00487B9A" w:rsidP="000B0954">
            <w:pPr>
              <w:tabs>
                <w:tab w:val="left" w:pos="630"/>
                <w:tab w:val="left" w:pos="286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By: </w:t>
            </w:r>
            <w:r w:rsidRPr="00447B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447B9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A756BF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Jeffrey M. Brax </w:t>
            </w:r>
          </w:p>
          <w:p w:rsidR="00487B9A" w:rsidRPr="00447B93" w:rsidRDefault="00487B9A" w:rsidP="00A756BF">
            <w:pPr>
              <w:tabs>
                <w:tab w:val="left" w:pos="2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>County Counsel</w:t>
            </w:r>
          </w:p>
          <w:p w:rsidR="00487B9A" w:rsidRPr="00447B93" w:rsidRDefault="00487B9A" w:rsidP="000B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B9A" w:rsidRDefault="00487B9A" w:rsidP="00487B9A">
            <w:pPr>
              <w:tabs>
                <w:tab w:val="left" w:pos="616"/>
                <w:tab w:val="left" w:pos="28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Date: </w:t>
            </w:r>
            <w:r w:rsidRPr="00447B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="00A756B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December 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 2019</w:t>
            </w:r>
          </w:p>
          <w:p w:rsidR="00487B9A" w:rsidRPr="00447B93" w:rsidRDefault="00487B9A" w:rsidP="00487B9A">
            <w:pPr>
              <w:tabs>
                <w:tab w:val="left" w:pos="616"/>
                <w:tab w:val="left" w:pos="28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A" w:rsidRPr="00447B93" w:rsidRDefault="00487B9A" w:rsidP="000B095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APPROVED BY THE NAPA COUNTY</w:t>
            </w:r>
          </w:p>
          <w:p w:rsidR="00487B9A" w:rsidRPr="00447B93" w:rsidRDefault="00487B9A" w:rsidP="000B095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BOARD OF SUPERVISORS</w:t>
            </w:r>
          </w:p>
          <w:p w:rsidR="00487B9A" w:rsidRPr="00447B93" w:rsidRDefault="00487B9A" w:rsidP="000B0954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487B9A" w:rsidRPr="00447B93" w:rsidRDefault="00487B9A" w:rsidP="000B0954">
            <w:pPr>
              <w:tabs>
                <w:tab w:val="left" w:pos="522"/>
                <w:tab w:val="left" w:pos="3169"/>
                <w:tab w:val="left" w:pos="3402"/>
              </w:tabs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Date:  __________________________</w:t>
            </w:r>
          </w:p>
          <w:p w:rsidR="00487B9A" w:rsidRPr="00447B93" w:rsidRDefault="00487B9A" w:rsidP="000B0954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Processed By: </w:t>
            </w:r>
          </w:p>
          <w:p w:rsidR="00487B9A" w:rsidRPr="00447B93" w:rsidRDefault="00487B9A" w:rsidP="000B0954">
            <w:pPr>
              <w:tabs>
                <w:tab w:val="left" w:pos="2719"/>
              </w:tabs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487B9A" w:rsidRPr="00447B93" w:rsidRDefault="00487B9A" w:rsidP="000B0954">
            <w:pPr>
              <w:tabs>
                <w:tab w:val="left" w:pos="3169"/>
                <w:tab w:val="left" w:pos="3585"/>
              </w:tabs>
              <w:suppressAutoHyphens/>
              <w:spacing w:after="0" w:line="240" w:lineRule="auto"/>
              <w:ind w:right="-109"/>
              <w:outlineLvl w:val="0"/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u w:val="single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</w:p>
          <w:p w:rsidR="00487B9A" w:rsidRPr="00447B93" w:rsidRDefault="00487B9A" w:rsidP="000B0954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Deputy Clerk of the Board</w:t>
            </w:r>
          </w:p>
          <w:p w:rsidR="00487B9A" w:rsidRPr="00447B93" w:rsidRDefault="00487B9A" w:rsidP="000B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A" w:rsidRPr="00447B93" w:rsidRDefault="00487B9A" w:rsidP="000B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>ATTEST: GLADYS I. COIL</w:t>
            </w:r>
          </w:p>
          <w:p w:rsidR="00487B9A" w:rsidRPr="00447B93" w:rsidRDefault="00487B9A" w:rsidP="000B0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>Clerk of the Board of Supervisors</w:t>
            </w:r>
          </w:p>
          <w:p w:rsidR="00487B9A" w:rsidRPr="00447B93" w:rsidRDefault="00487B9A" w:rsidP="000B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B9A" w:rsidRPr="00447B93" w:rsidRDefault="00487B9A" w:rsidP="000B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B9A" w:rsidRPr="00447B93" w:rsidRDefault="00487B9A" w:rsidP="00A756BF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>By:</w:t>
            </w:r>
            <w:r w:rsidRPr="00447B9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ab/>
            </w:r>
            <w:r w:rsidRPr="00447B9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ab/>
            </w:r>
          </w:p>
          <w:p w:rsidR="00487B9A" w:rsidRPr="00447B93" w:rsidRDefault="00487B9A" w:rsidP="000B0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87B9A" w:rsidRPr="00447B93" w:rsidRDefault="00487B9A" w:rsidP="00487B9A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p w:rsidR="00487B9A" w:rsidRPr="00447B93" w:rsidRDefault="00487B9A" w:rsidP="00487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7B9A" w:rsidRPr="00447B93" w:rsidRDefault="00487B9A" w:rsidP="00487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07F" w:rsidRDefault="0053507F" w:rsidP="00487B9A">
      <w:pPr>
        <w:spacing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814D67" w:rsidRDefault="00814D67" w:rsidP="00487B9A">
      <w:pPr>
        <w:spacing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814D67" w:rsidRDefault="00814D67" w:rsidP="00487B9A">
      <w:pPr>
        <w:spacing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814D67" w:rsidRDefault="00814D67" w:rsidP="00487B9A">
      <w:pPr>
        <w:spacing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814D67" w:rsidRDefault="00814D67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br w:type="page"/>
      </w:r>
    </w:p>
    <w:p w:rsidR="00814D67" w:rsidRPr="00C1673A" w:rsidRDefault="006E5D3D" w:rsidP="00814D67">
      <w:pPr>
        <w:spacing w:line="240" w:lineRule="auto"/>
        <w:ind w:left="-720" w:firstLine="45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23232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43600" cy="7680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D67" w:rsidRPr="00C1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23"/>
    <w:rsid w:val="00047EDD"/>
    <w:rsid w:val="000535D3"/>
    <w:rsid w:val="000E237E"/>
    <w:rsid w:val="00136B1C"/>
    <w:rsid w:val="0032319E"/>
    <w:rsid w:val="00381418"/>
    <w:rsid w:val="00474307"/>
    <w:rsid w:val="00487B9A"/>
    <w:rsid w:val="00511F1A"/>
    <w:rsid w:val="0053507F"/>
    <w:rsid w:val="00610072"/>
    <w:rsid w:val="006E5D3D"/>
    <w:rsid w:val="00757756"/>
    <w:rsid w:val="007C21D6"/>
    <w:rsid w:val="00814D67"/>
    <w:rsid w:val="00852A5E"/>
    <w:rsid w:val="008A6A32"/>
    <w:rsid w:val="00950214"/>
    <w:rsid w:val="00A756BF"/>
    <w:rsid w:val="00B365D2"/>
    <w:rsid w:val="00B76623"/>
    <w:rsid w:val="00C1673A"/>
    <w:rsid w:val="00CA2DEF"/>
    <w:rsid w:val="00CE1280"/>
    <w:rsid w:val="00D26B43"/>
    <w:rsid w:val="00DF1F79"/>
    <w:rsid w:val="00EE5726"/>
    <w:rsid w:val="00EF3CE8"/>
    <w:rsid w:val="00F02530"/>
    <w:rsid w:val="00F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4FBCD-87B2-492C-BBA4-B3B93785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Text">
    <w:name w:val="Reso Text"/>
    <w:basedOn w:val="Normal"/>
    <w:rsid w:val="00B76623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C036-7317-4BC0-A978-9758AE71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Shorett</dc:creator>
  <cp:keywords/>
  <dc:description/>
  <cp:lastModifiedBy>Morrison, David</cp:lastModifiedBy>
  <cp:revision>2</cp:revision>
  <dcterms:created xsi:type="dcterms:W3CDTF">2019-12-12T21:59:00Z</dcterms:created>
  <dcterms:modified xsi:type="dcterms:W3CDTF">2019-12-12T21:59:00Z</dcterms:modified>
</cp:coreProperties>
</file>