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5B" w:rsidRPr="00DB7377" w:rsidRDefault="00B808C9" w:rsidP="00DC755B">
      <w:pPr>
        <w:jc w:val="right"/>
        <w:rPr>
          <w:rFonts w:cs="Times New Roman"/>
          <w:sz w:val="20"/>
        </w:rPr>
      </w:pPr>
      <w:r w:rsidRPr="00DB7377">
        <w:rPr>
          <w:rFonts w:cs="Times New Roman"/>
          <w:sz w:val="20"/>
        </w:rPr>
        <w:t xml:space="preserve">Adopted 09-26-17 (Eff </w:t>
      </w:r>
      <w:r w:rsidR="00DC755B" w:rsidRPr="00DB7377">
        <w:rPr>
          <w:rFonts w:cs="Times New Roman"/>
          <w:sz w:val="20"/>
        </w:rPr>
        <w:t>10-1-17) Resolution 2017-160</w:t>
      </w:r>
    </w:p>
    <w:p w:rsidR="00D70EA8" w:rsidRPr="00B808C9" w:rsidRDefault="00D70EA8" w:rsidP="00DC755B">
      <w:pPr>
        <w:jc w:val="right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Revised </w:t>
      </w:r>
      <w:r w:rsidR="00497F7E">
        <w:rPr>
          <w:rFonts w:cs="Times New Roman"/>
          <w:b/>
          <w:sz w:val="20"/>
        </w:rPr>
        <w:t>10</w:t>
      </w:r>
      <w:r>
        <w:rPr>
          <w:rFonts w:cs="Times New Roman"/>
          <w:b/>
          <w:sz w:val="20"/>
        </w:rPr>
        <w:t>-</w:t>
      </w:r>
      <w:r w:rsidR="00F97CC0">
        <w:rPr>
          <w:rFonts w:cs="Times New Roman"/>
          <w:b/>
          <w:sz w:val="20"/>
        </w:rPr>
        <w:t>16</w:t>
      </w:r>
      <w:r>
        <w:rPr>
          <w:rFonts w:cs="Times New Roman"/>
          <w:b/>
          <w:sz w:val="20"/>
        </w:rPr>
        <w:t xml:space="preserve">-18 </w:t>
      </w:r>
      <w:r w:rsidR="007E0405">
        <w:rPr>
          <w:rFonts w:cs="Times New Roman"/>
          <w:b/>
          <w:sz w:val="20"/>
        </w:rPr>
        <w:t>(Ef</w:t>
      </w:r>
      <w:r>
        <w:rPr>
          <w:rFonts w:cs="Times New Roman"/>
          <w:b/>
          <w:sz w:val="20"/>
        </w:rPr>
        <w:t xml:space="preserve">f </w:t>
      </w:r>
      <w:r w:rsidR="00497F7E">
        <w:rPr>
          <w:rFonts w:cs="Times New Roman"/>
          <w:b/>
          <w:sz w:val="20"/>
        </w:rPr>
        <w:t>10</w:t>
      </w:r>
      <w:r>
        <w:rPr>
          <w:rFonts w:cs="Times New Roman"/>
          <w:b/>
          <w:sz w:val="20"/>
        </w:rPr>
        <w:t>-</w:t>
      </w:r>
      <w:r w:rsidR="00F97CC0">
        <w:rPr>
          <w:rFonts w:cs="Times New Roman"/>
          <w:b/>
          <w:sz w:val="20"/>
        </w:rPr>
        <w:t>20</w:t>
      </w:r>
      <w:r w:rsidR="007E0405">
        <w:rPr>
          <w:rFonts w:cs="Times New Roman"/>
          <w:b/>
          <w:sz w:val="20"/>
        </w:rPr>
        <w:t>-18); Resolution 2018-129</w:t>
      </w:r>
      <w:bookmarkStart w:id="0" w:name="_GoBack"/>
      <w:bookmarkEnd w:id="0"/>
    </w:p>
    <w:p w:rsidR="00DC755B" w:rsidRDefault="00DC755B" w:rsidP="00DC755B">
      <w:pPr>
        <w:jc w:val="right"/>
        <w:rPr>
          <w:rFonts w:cs="Times New Roman"/>
          <w:sz w:val="20"/>
        </w:rPr>
      </w:pPr>
    </w:p>
    <w:p w:rsidR="00DC755B" w:rsidRPr="00FC6609" w:rsidRDefault="00DC755B" w:rsidP="00DC755B">
      <w:pPr>
        <w:jc w:val="right"/>
        <w:rPr>
          <w:rFonts w:cs="Times New Roman"/>
          <w:sz w:val="20"/>
        </w:rPr>
      </w:pPr>
    </w:p>
    <w:p w:rsidR="00DC755B" w:rsidRPr="00FC6609" w:rsidRDefault="00FA5BA8" w:rsidP="00DC755B">
      <w:pPr>
        <w:jc w:val="center"/>
        <w:rPr>
          <w:rFonts w:cs="Times New Roman"/>
          <w:b/>
          <w:bCs/>
          <w:iCs/>
          <w:caps/>
          <w:szCs w:val="24"/>
        </w:rPr>
      </w:pPr>
      <w:r>
        <w:rPr>
          <w:rFonts w:cs="Times New Roman"/>
          <w:b/>
          <w:bCs/>
          <w:iCs/>
          <w:caps/>
          <w:szCs w:val="24"/>
        </w:rPr>
        <w:t xml:space="preserve">NAPA </w:t>
      </w:r>
      <w:r w:rsidR="00DC755B" w:rsidRPr="00FC6609">
        <w:rPr>
          <w:rFonts w:cs="Times New Roman"/>
          <w:b/>
          <w:bCs/>
          <w:iCs/>
          <w:caps/>
          <w:szCs w:val="24"/>
        </w:rPr>
        <w:t>COUNTY</w:t>
      </w:r>
    </w:p>
    <w:p w:rsidR="00DC755B" w:rsidRPr="002629CD" w:rsidRDefault="00DC755B" w:rsidP="00DC755B">
      <w:pPr>
        <w:pStyle w:val="Heading2"/>
        <w:jc w:val="center"/>
        <w:rPr>
          <w:rFonts w:cs="Times New Roman"/>
          <w:szCs w:val="24"/>
        </w:rPr>
      </w:pPr>
      <w:r w:rsidRPr="00FC6609">
        <w:rPr>
          <w:rFonts w:cs="Times New Roman"/>
          <w:szCs w:val="24"/>
        </w:rPr>
        <w:t xml:space="preserve">Hiring </w:t>
      </w:r>
      <w:r w:rsidRPr="001808F4">
        <w:rPr>
          <w:rFonts w:cs="Times New Roman"/>
          <w:szCs w:val="24"/>
        </w:rPr>
        <w:t>AND PROMOTIONAL Incentive</w:t>
      </w:r>
      <w:r w:rsidRPr="002629CD">
        <w:rPr>
          <w:rFonts w:cs="Times New Roman"/>
          <w:szCs w:val="24"/>
        </w:rPr>
        <w:t xml:space="preserve"> Pilot program POLICY</w:t>
      </w:r>
    </w:p>
    <w:p w:rsidR="00DC755B" w:rsidRPr="002629CD" w:rsidRDefault="00DC755B" w:rsidP="00DC755B">
      <w:pPr>
        <w:rPr>
          <w:rFonts w:cs="Times New Roman"/>
          <w:szCs w:val="24"/>
        </w:rPr>
      </w:pPr>
    </w:p>
    <w:p w:rsidR="00DC755B" w:rsidRPr="002629CD" w:rsidRDefault="00DC755B" w:rsidP="00DC755B">
      <w:pPr>
        <w:pStyle w:val="Heading4"/>
        <w:rPr>
          <w:rFonts w:cs="Times New Roman"/>
          <w:szCs w:val="24"/>
          <w:u w:val="single"/>
        </w:rPr>
      </w:pPr>
      <w:r w:rsidRPr="002629CD">
        <w:rPr>
          <w:rFonts w:cs="Times New Roman"/>
          <w:szCs w:val="24"/>
        </w:rPr>
        <w:t>I.</w:t>
      </w:r>
      <w:r w:rsidRPr="002629CD">
        <w:rPr>
          <w:rFonts w:cs="Times New Roman"/>
          <w:szCs w:val="24"/>
        </w:rPr>
        <w:tab/>
      </w:r>
      <w:r w:rsidRPr="002629CD">
        <w:rPr>
          <w:rFonts w:cs="Times New Roman"/>
          <w:szCs w:val="24"/>
          <w:u w:val="single"/>
        </w:rPr>
        <w:t>STATEMENT OF POLICY</w:t>
      </w:r>
    </w:p>
    <w:p w:rsidR="00DC755B" w:rsidRPr="002629CD" w:rsidRDefault="00DC755B" w:rsidP="00DC755B">
      <w:pPr>
        <w:rPr>
          <w:rFonts w:cs="Times New Roman"/>
          <w:szCs w:val="24"/>
        </w:rPr>
      </w:pPr>
    </w:p>
    <w:p w:rsidR="00DC755B" w:rsidRPr="002629CD" w:rsidRDefault="00DC755B" w:rsidP="00DC755B">
      <w:pPr>
        <w:autoSpaceDE w:val="0"/>
        <w:autoSpaceDN w:val="0"/>
        <w:adjustRightInd w:val="0"/>
        <w:rPr>
          <w:rFonts w:cs="Times New Roman"/>
          <w:szCs w:val="24"/>
        </w:rPr>
      </w:pPr>
      <w:r w:rsidRPr="002629CD">
        <w:rPr>
          <w:rFonts w:cs="Times New Roman"/>
          <w:szCs w:val="24"/>
        </w:rPr>
        <w:t xml:space="preserve">The purpose of this policy is to provide guidelines and procedures for the Hiring and Promotional Incentive Pilot Program used to help fill vacancies designated as hard-to-fill </w:t>
      </w:r>
      <w:r w:rsidR="00DA258B">
        <w:rPr>
          <w:rFonts w:cs="Times New Roman"/>
          <w:szCs w:val="24"/>
        </w:rPr>
        <w:t xml:space="preserve">and </w:t>
      </w:r>
      <w:r w:rsidR="001568E8">
        <w:rPr>
          <w:rFonts w:cs="Times New Roman"/>
          <w:szCs w:val="24"/>
        </w:rPr>
        <w:t>those that</w:t>
      </w:r>
      <w:r w:rsidR="00DA258B">
        <w:rPr>
          <w:rFonts w:cs="Times New Roman"/>
          <w:szCs w:val="24"/>
        </w:rPr>
        <w:t xml:space="preserve"> require special</w:t>
      </w:r>
      <w:r w:rsidRPr="002629CD">
        <w:rPr>
          <w:rFonts w:cs="Times New Roman"/>
          <w:szCs w:val="24"/>
        </w:rPr>
        <w:t xml:space="preserve">ty trainings or degrees (See Attachment A for eligible classifications).   </w:t>
      </w:r>
    </w:p>
    <w:p w:rsidR="00DC755B" w:rsidRPr="002629CD" w:rsidRDefault="00DC755B" w:rsidP="00DC755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C755B" w:rsidRPr="000C37FA" w:rsidRDefault="00DC755B" w:rsidP="00DC755B">
      <w:pPr>
        <w:autoSpaceDE w:val="0"/>
        <w:autoSpaceDN w:val="0"/>
        <w:adjustRightInd w:val="0"/>
        <w:rPr>
          <w:rFonts w:cs="Times New Roman"/>
          <w:szCs w:val="24"/>
        </w:rPr>
      </w:pPr>
      <w:r w:rsidRPr="002629CD">
        <w:rPr>
          <w:rFonts w:cs="Times New Roman"/>
          <w:szCs w:val="24"/>
        </w:rPr>
        <w:t xml:space="preserve">The overarching goal of this pilot program is to enhance recruitment efforts to attract and retain the </w:t>
      </w:r>
      <w:r w:rsidR="001568E8" w:rsidRPr="002629CD">
        <w:rPr>
          <w:rFonts w:cs="Times New Roman"/>
          <w:szCs w:val="24"/>
        </w:rPr>
        <w:t>best-qualified</w:t>
      </w:r>
      <w:r w:rsidRPr="002629CD">
        <w:rPr>
          <w:rFonts w:cs="Times New Roman"/>
          <w:szCs w:val="24"/>
        </w:rPr>
        <w:t xml:space="preserve"> candidates over a four-year pilot program period beginning </w:t>
      </w:r>
      <w:r>
        <w:rPr>
          <w:rFonts w:cs="Times New Roman"/>
          <w:szCs w:val="24"/>
        </w:rPr>
        <w:t>October 1</w:t>
      </w:r>
      <w:r w:rsidRPr="001808F4">
        <w:rPr>
          <w:rFonts w:cs="Times New Roman"/>
          <w:szCs w:val="24"/>
        </w:rPr>
        <w:t xml:space="preserve">, 2017 and concluding </w:t>
      </w:r>
      <w:r>
        <w:rPr>
          <w:rFonts w:cs="Times New Roman"/>
          <w:szCs w:val="24"/>
        </w:rPr>
        <w:t xml:space="preserve">September </w:t>
      </w:r>
      <w:r w:rsidRPr="001808F4">
        <w:rPr>
          <w:rFonts w:cs="Times New Roman"/>
          <w:szCs w:val="24"/>
        </w:rPr>
        <w:t xml:space="preserve">30, </w:t>
      </w:r>
      <w:r w:rsidRPr="002629CD">
        <w:rPr>
          <w:rFonts w:cs="Times New Roman"/>
          <w:szCs w:val="24"/>
        </w:rPr>
        <w:t xml:space="preserve">2021. At the conclusion of this term, the Hiring and Promotional Incentive Pilot Program outcomes </w:t>
      </w:r>
      <w:proofErr w:type="gramStart"/>
      <w:r w:rsidRPr="002629CD">
        <w:rPr>
          <w:rFonts w:cs="Times New Roman"/>
          <w:szCs w:val="24"/>
        </w:rPr>
        <w:t>will be evaluated</w:t>
      </w:r>
      <w:proofErr w:type="gramEnd"/>
      <w:r w:rsidRPr="002629CD">
        <w:rPr>
          <w:rFonts w:cs="Times New Roman"/>
          <w:szCs w:val="24"/>
        </w:rPr>
        <w:t xml:space="preserve"> and a determination will be made as to whether the program merits </w:t>
      </w:r>
      <w:r>
        <w:rPr>
          <w:rFonts w:cs="Times New Roman"/>
          <w:szCs w:val="24"/>
        </w:rPr>
        <w:t xml:space="preserve">modification and/or expansion to other departments.   </w:t>
      </w:r>
      <w:r w:rsidRPr="000C37FA">
        <w:rPr>
          <w:rFonts w:cs="Times New Roman"/>
          <w:szCs w:val="24"/>
        </w:rPr>
        <w:t xml:space="preserve">   </w:t>
      </w:r>
    </w:p>
    <w:p w:rsidR="00DC755B" w:rsidRDefault="00DC755B" w:rsidP="00DC755B">
      <w:pPr>
        <w:rPr>
          <w:rFonts w:cs="Times New Roman"/>
          <w:szCs w:val="24"/>
        </w:rPr>
      </w:pPr>
    </w:p>
    <w:p w:rsidR="00DC755B" w:rsidRPr="000C37FA" w:rsidRDefault="00DC755B" w:rsidP="00DC755B">
      <w:pPr>
        <w:pStyle w:val="Heading4"/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 xml:space="preserve">II. </w:t>
      </w:r>
      <w:r w:rsidRPr="000C37FA">
        <w:rPr>
          <w:rFonts w:cs="Times New Roman"/>
          <w:szCs w:val="24"/>
        </w:rPr>
        <w:tab/>
      </w:r>
      <w:r w:rsidRPr="000C37FA">
        <w:rPr>
          <w:rFonts w:cs="Times New Roman"/>
          <w:szCs w:val="24"/>
          <w:u w:val="single"/>
        </w:rPr>
        <w:t>SCOPE OF POLICY</w:t>
      </w:r>
      <w:r w:rsidRPr="000C37FA">
        <w:rPr>
          <w:rFonts w:cs="Times New Roman"/>
          <w:szCs w:val="24"/>
        </w:rPr>
        <w:t xml:space="preserve"> </w:t>
      </w:r>
    </w:p>
    <w:p w:rsidR="00DC755B" w:rsidRPr="000C37FA" w:rsidRDefault="00DC755B" w:rsidP="00DC755B">
      <w:pPr>
        <w:rPr>
          <w:rFonts w:cs="Times New Roman"/>
          <w:szCs w:val="24"/>
        </w:rPr>
      </w:pPr>
    </w:p>
    <w:p w:rsidR="00DC755B" w:rsidRDefault="00DC755B" w:rsidP="00DC755B">
      <w:pPr>
        <w:rPr>
          <w:rFonts w:cs="Times New Roman"/>
          <w:szCs w:val="24"/>
        </w:rPr>
      </w:pPr>
      <w:r>
        <w:rPr>
          <w:rFonts w:cs="Times New Roman"/>
          <w:szCs w:val="24"/>
        </w:rPr>
        <w:t>Napa County</w:t>
      </w:r>
      <w:r w:rsidRPr="000C37FA">
        <w:rPr>
          <w:rFonts w:cs="Times New Roman"/>
          <w:szCs w:val="24"/>
        </w:rPr>
        <w:t xml:space="preserve"> recruits, hires, and </w:t>
      </w:r>
      <w:r>
        <w:rPr>
          <w:rFonts w:cs="Times New Roman"/>
          <w:szCs w:val="24"/>
        </w:rPr>
        <w:t xml:space="preserve">strives </w:t>
      </w:r>
      <w:r w:rsidRPr="000C37FA">
        <w:rPr>
          <w:rFonts w:cs="Times New Roman"/>
          <w:szCs w:val="24"/>
        </w:rPr>
        <w:t xml:space="preserve">to retain the </w:t>
      </w:r>
      <w:r w:rsidR="001568E8" w:rsidRPr="000C37FA">
        <w:rPr>
          <w:rFonts w:cs="Times New Roman"/>
          <w:szCs w:val="24"/>
        </w:rPr>
        <w:t>best-qualified</w:t>
      </w:r>
      <w:r w:rsidRPr="000C37FA">
        <w:rPr>
          <w:rFonts w:cs="Times New Roman"/>
          <w:szCs w:val="24"/>
        </w:rPr>
        <w:t xml:space="preserve"> candidates for every vacant position within the County.  </w:t>
      </w:r>
      <w:r>
        <w:rPr>
          <w:rFonts w:cs="Times New Roman"/>
          <w:szCs w:val="24"/>
        </w:rPr>
        <w:t>T</w:t>
      </w:r>
      <w:r w:rsidRPr="000C37FA">
        <w:rPr>
          <w:rFonts w:cs="Times New Roman"/>
          <w:szCs w:val="24"/>
        </w:rPr>
        <w:t>his policy applies to</w:t>
      </w:r>
      <w:r>
        <w:rPr>
          <w:rFonts w:cs="Times New Roman"/>
          <w:szCs w:val="24"/>
        </w:rPr>
        <w:t xml:space="preserve"> </w:t>
      </w:r>
      <w:r w:rsidRPr="000C37FA">
        <w:rPr>
          <w:rFonts w:cs="Times New Roman"/>
          <w:szCs w:val="24"/>
        </w:rPr>
        <w:t xml:space="preserve">candidates </w:t>
      </w:r>
      <w:r>
        <w:rPr>
          <w:rFonts w:cs="Times New Roman"/>
          <w:szCs w:val="24"/>
        </w:rPr>
        <w:t xml:space="preserve">hired to fill vacancies in designated regular (not extra-help) </w:t>
      </w:r>
      <w:r w:rsidRPr="000C37FA">
        <w:rPr>
          <w:rFonts w:cs="Times New Roman"/>
          <w:szCs w:val="24"/>
        </w:rPr>
        <w:t>hard-to-fill</w:t>
      </w:r>
      <w:r>
        <w:rPr>
          <w:rFonts w:cs="Times New Roman"/>
          <w:szCs w:val="24"/>
        </w:rPr>
        <w:t xml:space="preserve"> full-time</w:t>
      </w:r>
      <w:r w:rsidRPr="000C37FA">
        <w:rPr>
          <w:rFonts w:cs="Times New Roman"/>
          <w:szCs w:val="24"/>
        </w:rPr>
        <w:t xml:space="preserve"> positions.  </w:t>
      </w:r>
      <w:r>
        <w:rPr>
          <w:rFonts w:cs="Times New Roman"/>
          <w:szCs w:val="24"/>
        </w:rPr>
        <w:t>The County Executive Officer</w:t>
      </w:r>
      <w:r w:rsidRPr="000C37F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will</w:t>
      </w:r>
      <w:r w:rsidRPr="000C37FA">
        <w:rPr>
          <w:rFonts w:cs="Times New Roman"/>
          <w:szCs w:val="24"/>
        </w:rPr>
        <w:t xml:space="preserve"> review </w:t>
      </w:r>
      <w:r>
        <w:rPr>
          <w:rFonts w:cs="Times New Roman"/>
          <w:szCs w:val="24"/>
        </w:rPr>
        <w:t>this policy on an annual basis</w:t>
      </w:r>
      <w:r w:rsidRPr="000C37FA">
        <w:rPr>
          <w:rFonts w:cs="Times New Roman"/>
          <w:szCs w:val="24"/>
        </w:rPr>
        <w:t xml:space="preserve"> to dete</w:t>
      </w:r>
      <w:r>
        <w:rPr>
          <w:rFonts w:cs="Times New Roman"/>
          <w:szCs w:val="24"/>
        </w:rPr>
        <w:t xml:space="preserve">rmine </w:t>
      </w:r>
      <w:r w:rsidR="001568E8">
        <w:rPr>
          <w:rFonts w:cs="Times New Roman"/>
          <w:szCs w:val="24"/>
        </w:rPr>
        <w:t>which</w:t>
      </w:r>
      <w:r>
        <w:rPr>
          <w:rFonts w:cs="Times New Roman"/>
          <w:szCs w:val="24"/>
        </w:rPr>
        <w:t xml:space="preserve"> positions </w:t>
      </w:r>
      <w:proofErr w:type="gramStart"/>
      <w:r>
        <w:rPr>
          <w:rFonts w:cs="Times New Roman"/>
          <w:szCs w:val="24"/>
        </w:rPr>
        <w:t>should be designated</w:t>
      </w:r>
      <w:proofErr w:type="gramEnd"/>
      <w:r>
        <w:rPr>
          <w:rFonts w:cs="Times New Roman"/>
          <w:szCs w:val="24"/>
        </w:rPr>
        <w:t xml:space="preserve"> as </w:t>
      </w:r>
      <w:r w:rsidRPr="000C37FA">
        <w:rPr>
          <w:rFonts w:cs="Times New Roman"/>
          <w:szCs w:val="24"/>
        </w:rPr>
        <w:t>hard-to-fill.</w:t>
      </w:r>
    </w:p>
    <w:p w:rsidR="00DC755B" w:rsidRPr="000C37FA" w:rsidRDefault="00DC755B" w:rsidP="00DC755B">
      <w:pPr>
        <w:rPr>
          <w:rFonts w:cs="Times New Roman"/>
          <w:szCs w:val="24"/>
        </w:rPr>
      </w:pPr>
    </w:p>
    <w:p w:rsidR="00DC755B" w:rsidRPr="000C37FA" w:rsidRDefault="00DC755B" w:rsidP="00DC755B">
      <w:pPr>
        <w:pStyle w:val="Heading4"/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>III.</w:t>
      </w:r>
      <w:r w:rsidRPr="000C37FA"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>NAPA COUNTY H</w:t>
      </w:r>
      <w:r w:rsidRPr="000C37FA">
        <w:rPr>
          <w:rFonts w:cs="Times New Roman"/>
          <w:szCs w:val="24"/>
          <w:u w:val="single"/>
        </w:rPr>
        <w:t>I</w:t>
      </w:r>
      <w:r>
        <w:rPr>
          <w:rFonts w:cs="Times New Roman"/>
          <w:szCs w:val="24"/>
          <w:u w:val="single"/>
        </w:rPr>
        <w:t>RING I</w:t>
      </w:r>
      <w:r w:rsidRPr="000C37FA">
        <w:rPr>
          <w:rFonts w:cs="Times New Roman"/>
          <w:szCs w:val="24"/>
          <w:u w:val="single"/>
        </w:rPr>
        <w:t>NCENTIVE POLICIES</w:t>
      </w:r>
      <w:r w:rsidRPr="000C37FA">
        <w:rPr>
          <w:rFonts w:cs="Times New Roman"/>
          <w:szCs w:val="24"/>
        </w:rPr>
        <w:t xml:space="preserve"> </w:t>
      </w:r>
    </w:p>
    <w:p w:rsidR="00DC755B" w:rsidRPr="000C37FA" w:rsidRDefault="00DC755B" w:rsidP="00DC755B">
      <w:pPr>
        <w:pStyle w:val="Heading4"/>
        <w:rPr>
          <w:rFonts w:cs="Times New Roman"/>
          <w:szCs w:val="24"/>
        </w:rPr>
      </w:pPr>
    </w:p>
    <w:p w:rsidR="00DC755B" w:rsidRPr="000C37FA" w:rsidRDefault="00DC755B" w:rsidP="00DC755B">
      <w:pPr>
        <w:pStyle w:val="Heading4"/>
        <w:numPr>
          <w:ilvl w:val="0"/>
          <w:numId w:val="10"/>
        </w:numPr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>Signing Bonus</w:t>
      </w:r>
      <w:r>
        <w:rPr>
          <w:rFonts w:cs="Times New Roman"/>
          <w:szCs w:val="24"/>
        </w:rPr>
        <w:t xml:space="preserve"> Program</w:t>
      </w:r>
      <w:r w:rsidRPr="000C37FA">
        <w:rPr>
          <w:rFonts w:cs="Times New Roman"/>
          <w:szCs w:val="24"/>
        </w:rPr>
        <w:t xml:space="preserve"> Policy</w:t>
      </w:r>
    </w:p>
    <w:p w:rsidR="00DC755B" w:rsidRPr="000C37FA" w:rsidRDefault="00DC755B" w:rsidP="00DC755B">
      <w:pPr>
        <w:rPr>
          <w:rFonts w:cs="Times New Roman"/>
          <w:szCs w:val="24"/>
        </w:rPr>
      </w:pPr>
    </w:p>
    <w:p w:rsidR="00DC755B" w:rsidRDefault="00DC755B" w:rsidP="00DC755B">
      <w:pPr>
        <w:pStyle w:val="Heading5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A signing bonus </w:t>
      </w:r>
      <w:proofErr w:type="gramStart"/>
      <w:r w:rsidRPr="000C37FA">
        <w:rPr>
          <w:rFonts w:cs="Times New Roman"/>
          <w:b w:val="0"/>
          <w:szCs w:val="24"/>
          <w:u w:val="none"/>
        </w:rPr>
        <w:t>is used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in situations where </w:t>
      </w:r>
      <w:r>
        <w:rPr>
          <w:rFonts w:cs="Times New Roman"/>
          <w:b w:val="0"/>
          <w:szCs w:val="24"/>
          <w:u w:val="none"/>
        </w:rPr>
        <w:t>comparable agency</w:t>
      </w:r>
      <w:r w:rsidRPr="000C37FA">
        <w:rPr>
          <w:rFonts w:cs="Times New Roman"/>
          <w:b w:val="0"/>
          <w:szCs w:val="24"/>
          <w:u w:val="none"/>
        </w:rPr>
        <w:t xml:space="preserve"> practices and</w:t>
      </w:r>
      <w:r>
        <w:rPr>
          <w:rFonts w:cs="Times New Roman"/>
          <w:b w:val="0"/>
          <w:szCs w:val="24"/>
          <w:u w:val="none"/>
        </w:rPr>
        <w:t xml:space="preserve"> the</w:t>
      </w:r>
      <w:r w:rsidRPr="000C37FA">
        <w:rPr>
          <w:rFonts w:cs="Times New Roman"/>
          <w:b w:val="0"/>
          <w:szCs w:val="24"/>
          <w:u w:val="none"/>
        </w:rPr>
        <w:t xml:space="preserve"> budgetary climate support the practice of paying additional compensation to a new hire</w:t>
      </w:r>
      <w:r>
        <w:rPr>
          <w:rFonts w:cs="Times New Roman"/>
          <w:b w:val="0"/>
          <w:szCs w:val="24"/>
          <w:u w:val="none"/>
        </w:rPr>
        <w:t>.</w:t>
      </w:r>
      <w:r w:rsidRPr="000C37FA">
        <w:rPr>
          <w:rFonts w:cs="Times New Roman"/>
          <w:b w:val="0"/>
          <w:szCs w:val="24"/>
          <w:u w:val="none"/>
        </w:rPr>
        <w:t xml:space="preserve"> </w:t>
      </w:r>
    </w:p>
    <w:p w:rsidR="00DC755B" w:rsidRPr="000C37FA" w:rsidRDefault="00DC755B" w:rsidP="00DC755B">
      <w:pPr>
        <w:pStyle w:val="Heading5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>The hiring Department</w:t>
      </w:r>
      <w:r w:rsidRPr="000C37FA">
        <w:rPr>
          <w:rFonts w:cs="Times New Roman"/>
          <w:b w:val="0"/>
          <w:szCs w:val="24"/>
          <w:u w:val="none"/>
        </w:rPr>
        <w:t xml:space="preserve"> may pay a</w:t>
      </w:r>
      <w:r>
        <w:rPr>
          <w:rFonts w:cs="Times New Roman"/>
          <w:b w:val="0"/>
          <w:szCs w:val="24"/>
          <w:u w:val="none"/>
        </w:rPr>
        <w:t xml:space="preserve"> signing bonus </w:t>
      </w:r>
      <w:r w:rsidRPr="000C37FA">
        <w:rPr>
          <w:rFonts w:cs="Times New Roman"/>
          <w:b w:val="0"/>
          <w:szCs w:val="24"/>
          <w:u w:val="none"/>
        </w:rPr>
        <w:t xml:space="preserve">to a </w:t>
      </w:r>
      <w:r>
        <w:rPr>
          <w:rFonts w:cs="Times New Roman"/>
          <w:b w:val="0"/>
          <w:szCs w:val="24"/>
          <w:u w:val="none"/>
        </w:rPr>
        <w:t>selected</w:t>
      </w:r>
      <w:r w:rsidR="001568E8">
        <w:rPr>
          <w:rFonts w:cs="Times New Roman"/>
          <w:b w:val="0"/>
          <w:szCs w:val="24"/>
          <w:u w:val="none"/>
        </w:rPr>
        <w:t xml:space="preserve"> internal or external</w:t>
      </w:r>
      <w:r>
        <w:rPr>
          <w:rFonts w:cs="Times New Roman"/>
          <w:b w:val="0"/>
          <w:szCs w:val="24"/>
          <w:u w:val="none"/>
        </w:rPr>
        <w:t xml:space="preserve"> candidate i</w:t>
      </w:r>
      <w:r w:rsidRPr="000C37FA">
        <w:rPr>
          <w:rFonts w:cs="Times New Roman"/>
          <w:b w:val="0"/>
          <w:szCs w:val="24"/>
          <w:u w:val="none"/>
        </w:rPr>
        <w:t xml:space="preserve">f </w:t>
      </w:r>
      <w:r>
        <w:rPr>
          <w:rFonts w:cs="Times New Roman"/>
          <w:b w:val="0"/>
          <w:szCs w:val="24"/>
          <w:u w:val="none"/>
        </w:rPr>
        <w:t>the County Executive Office</w:t>
      </w:r>
      <w:r w:rsidRPr="000C37FA">
        <w:rPr>
          <w:rFonts w:cs="Times New Roman"/>
          <w:b w:val="0"/>
          <w:szCs w:val="24"/>
          <w:u w:val="none"/>
        </w:rPr>
        <w:t xml:space="preserve"> has determined that the position is hard-to-fill in the absence of an incentive. If approved, a one-time signing bonus of $5,000 </w:t>
      </w:r>
      <w:proofErr w:type="gramStart"/>
      <w:r w:rsidR="001568E8">
        <w:rPr>
          <w:rFonts w:cs="Times New Roman"/>
          <w:b w:val="0"/>
          <w:szCs w:val="24"/>
          <w:u w:val="none"/>
        </w:rPr>
        <w:t>shall</w:t>
      </w:r>
      <w:r w:rsidR="001568E8" w:rsidRPr="000C37FA">
        <w:rPr>
          <w:rFonts w:cs="Times New Roman"/>
          <w:b w:val="0"/>
          <w:szCs w:val="24"/>
          <w:u w:val="none"/>
        </w:rPr>
        <w:t xml:space="preserve"> </w:t>
      </w:r>
      <w:r w:rsidRPr="000C37FA">
        <w:rPr>
          <w:rFonts w:cs="Times New Roman"/>
          <w:b w:val="0"/>
          <w:szCs w:val="24"/>
          <w:u w:val="none"/>
        </w:rPr>
        <w:t>be paid</w:t>
      </w:r>
      <w:proofErr w:type="gramEnd"/>
      <w:r w:rsidRPr="000C37FA">
        <w:rPr>
          <w:rFonts w:cs="Times New Roman"/>
          <w:b w:val="0"/>
          <w:szCs w:val="24"/>
          <w:u w:val="none"/>
        </w:rPr>
        <w:t>.</w:t>
      </w:r>
      <w:r>
        <w:rPr>
          <w:rFonts w:cs="Times New Roman"/>
          <w:b w:val="0"/>
          <w:szCs w:val="24"/>
          <w:u w:val="none"/>
        </w:rPr>
        <w:t xml:space="preserve">  </w:t>
      </w:r>
      <w:r w:rsidRPr="000C37FA">
        <w:rPr>
          <w:rFonts w:cs="Times New Roman"/>
          <w:b w:val="0"/>
          <w:szCs w:val="24"/>
          <w:u w:val="none"/>
        </w:rPr>
        <w:t xml:space="preserve">The </w:t>
      </w:r>
      <w:r>
        <w:rPr>
          <w:rFonts w:cs="Times New Roman"/>
          <w:b w:val="0"/>
          <w:szCs w:val="24"/>
          <w:u w:val="none"/>
        </w:rPr>
        <w:t>bonus</w:t>
      </w:r>
      <w:r w:rsidRPr="000C37FA">
        <w:rPr>
          <w:rFonts w:cs="Times New Roman"/>
          <w:b w:val="0"/>
          <w:szCs w:val="24"/>
          <w:u w:val="none"/>
        </w:rPr>
        <w:t xml:space="preserve"> </w:t>
      </w:r>
      <w:proofErr w:type="gramStart"/>
      <w:r w:rsidR="001568E8">
        <w:rPr>
          <w:rFonts w:cs="Times New Roman"/>
          <w:b w:val="0"/>
          <w:szCs w:val="24"/>
          <w:u w:val="none"/>
        </w:rPr>
        <w:t>shall</w:t>
      </w:r>
      <w:r w:rsidR="001568E8" w:rsidRPr="000C37FA">
        <w:rPr>
          <w:rFonts w:cs="Times New Roman"/>
          <w:b w:val="0"/>
          <w:szCs w:val="24"/>
          <w:u w:val="none"/>
        </w:rPr>
        <w:t xml:space="preserve"> </w:t>
      </w:r>
      <w:r w:rsidRPr="000C37FA">
        <w:rPr>
          <w:rFonts w:cs="Times New Roman"/>
          <w:b w:val="0"/>
          <w:szCs w:val="24"/>
          <w:u w:val="none"/>
        </w:rPr>
        <w:t>be</w:t>
      </w:r>
      <w:r>
        <w:rPr>
          <w:rFonts w:cs="Times New Roman"/>
          <w:b w:val="0"/>
          <w:szCs w:val="24"/>
          <w:u w:val="none"/>
        </w:rPr>
        <w:t xml:space="preserve"> considered</w:t>
      </w:r>
      <w:r w:rsidRPr="000C37FA">
        <w:rPr>
          <w:rFonts w:cs="Times New Roman"/>
          <w:b w:val="0"/>
          <w:szCs w:val="24"/>
          <w:u w:val="none"/>
        </w:rPr>
        <w:t xml:space="preserve"> taxable income</w:t>
      </w:r>
      <w:r>
        <w:rPr>
          <w:rFonts w:cs="Times New Roman"/>
          <w:b w:val="0"/>
          <w:szCs w:val="24"/>
          <w:u w:val="none"/>
        </w:rPr>
        <w:t xml:space="preserve"> and used in determining the employee’s regular rate of pay for FLSA purposes, but </w:t>
      </w:r>
      <w:r w:rsidRPr="000C37FA">
        <w:rPr>
          <w:rFonts w:cs="Times New Roman"/>
          <w:b w:val="0"/>
          <w:szCs w:val="24"/>
          <w:u w:val="none"/>
        </w:rPr>
        <w:t>not included as compensation for purposes of retirement calculations</w:t>
      </w:r>
      <w:proofErr w:type="gramEnd"/>
      <w:r>
        <w:rPr>
          <w:rFonts w:cs="Times New Roman"/>
          <w:b w:val="0"/>
          <w:szCs w:val="24"/>
          <w:u w:val="none"/>
        </w:rPr>
        <w:t>.</w:t>
      </w:r>
    </w:p>
    <w:p w:rsidR="00DC755B" w:rsidRPr="000C37FA" w:rsidRDefault="00DC755B" w:rsidP="00DC755B">
      <w:pPr>
        <w:pStyle w:val="Heading5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Signing bonus funds will be disbursed to the </w:t>
      </w:r>
      <w:r w:rsidR="001568E8">
        <w:rPr>
          <w:rFonts w:cs="Times New Roman"/>
          <w:b w:val="0"/>
          <w:szCs w:val="24"/>
          <w:u w:val="none"/>
        </w:rPr>
        <w:t>selected candidate</w:t>
      </w:r>
      <w:r w:rsidRPr="000C37FA">
        <w:rPr>
          <w:rFonts w:cs="Times New Roman"/>
          <w:b w:val="0"/>
          <w:szCs w:val="24"/>
          <w:u w:val="none"/>
        </w:rPr>
        <w:t xml:space="preserve"> as follows:</w:t>
      </w:r>
    </w:p>
    <w:p w:rsidR="00DC755B" w:rsidRPr="000C37FA" w:rsidRDefault="00DC755B" w:rsidP="00DC755B">
      <w:pPr>
        <w:pStyle w:val="Heading5"/>
        <w:ind w:left="1800"/>
        <w:rPr>
          <w:rFonts w:cs="Times New Roman"/>
          <w:szCs w:val="24"/>
          <w:u w:val="none"/>
        </w:rPr>
      </w:pPr>
    </w:p>
    <w:p w:rsidR="00DC755B" w:rsidRPr="00B9339E" w:rsidRDefault="00DC755B" w:rsidP="00DC755B">
      <w:pPr>
        <w:pStyle w:val="Heading5"/>
        <w:numPr>
          <w:ilvl w:val="3"/>
          <w:numId w:val="10"/>
        </w:numPr>
        <w:rPr>
          <w:rFonts w:cs="Times New Roman"/>
          <w:szCs w:val="24"/>
          <w:u w:val="none"/>
        </w:rPr>
      </w:pPr>
      <w:r w:rsidRPr="00B9339E">
        <w:rPr>
          <w:rFonts w:cs="Times New Roman"/>
          <w:b w:val="0"/>
          <w:szCs w:val="24"/>
          <w:u w:val="none"/>
        </w:rPr>
        <w:t xml:space="preserve">$1,000 of the signing bonus </w:t>
      </w:r>
      <w:proofErr w:type="gramStart"/>
      <w:r w:rsidR="001568E8">
        <w:rPr>
          <w:rFonts w:cs="Times New Roman"/>
          <w:b w:val="0"/>
          <w:szCs w:val="24"/>
          <w:u w:val="none"/>
        </w:rPr>
        <w:t>shall</w:t>
      </w:r>
      <w:r w:rsidR="001568E8" w:rsidRPr="00B9339E">
        <w:rPr>
          <w:rFonts w:cs="Times New Roman"/>
          <w:b w:val="0"/>
          <w:szCs w:val="24"/>
          <w:u w:val="none"/>
        </w:rPr>
        <w:t xml:space="preserve"> </w:t>
      </w:r>
      <w:r w:rsidRPr="00B9339E">
        <w:rPr>
          <w:rFonts w:cs="Times New Roman"/>
          <w:b w:val="0"/>
          <w:szCs w:val="24"/>
          <w:u w:val="none"/>
        </w:rPr>
        <w:t>be paid</w:t>
      </w:r>
      <w:proofErr w:type="gramEnd"/>
      <w:r w:rsidRPr="00B9339E">
        <w:rPr>
          <w:rFonts w:cs="Times New Roman"/>
          <w:b w:val="0"/>
          <w:szCs w:val="24"/>
          <w:u w:val="none"/>
        </w:rPr>
        <w:t xml:space="preserve"> in the second pay period of employment.</w:t>
      </w:r>
    </w:p>
    <w:p w:rsidR="00DC755B" w:rsidRPr="002629CD" w:rsidRDefault="00DC755B" w:rsidP="00DC755B">
      <w:pPr>
        <w:pStyle w:val="Heading5"/>
        <w:ind w:left="2520"/>
        <w:rPr>
          <w:rFonts w:cs="Times New Roman"/>
          <w:szCs w:val="24"/>
          <w:highlight w:val="yellow"/>
          <w:u w:val="none"/>
        </w:rPr>
      </w:pPr>
    </w:p>
    <w:p w:rsidR="00DC755B" w:rsidRPr="004828B5" w:rsidRDefault="00DC755B" w:rsidP="00DC755B">
      <w:pPr>
        <w:pStyle w:val="Heading5"/>
        <w:numPr>
          <w:ilvl w:val="3"/>
          <w:numId w:val="10"/>
        </w:numPr>
        <w:rPr>
          <w:rFonts w:cs="Times New Roman"/>
          <w:szCs w:val="24"/>
          <w:u w:val="none"/>
        </w:rPr>
      </w:pPr>
      <w:r w:rsidRPr="006D576B">
        <w:rPr>
          <w:rFonts w:cs="Times New Roman"/>
          <w:b w:val="0"/>
          <w:szCs w:val="24"/>
          <w:u w:val="none"/>
        </w:rPr>
        <w:lastRenderedPageBreak/>
        <w:t xml:space="preserve">$4,000 balance of the signing bonus </w:t>
      </w:r>
      <w:proofErr w:type="gramStart"/>
      <w:r w:rsidR="001568E8">
        <w:rPr>
          <w:rFonts w:cs="Times New Roman"/>
          <w:b w:val="0"/>
          <w:szCs w:val="24"/>
          <w:u w:val="none"/>
        </w:rPr>
        <w:t>shall</w:t>
      </w:r>
      <w:r w:rsidR="001568E8" w:rsidRPr="006D576B">
        <w:rPr>
          <w:rFonts w:cs="Times New Roman"/>
          <w:b w:val="0"/>
          <w:szCs w:val="24"/>
          <w:u w:val="none"/>
        </w:rPr>
        <w:t xml:space="preserve"> </w:t>
      </w:r>
      <w:r w:rsidRPr="006D576B">
        <w:rPr>
          <w:rFonts w:cs="Times New Roman"/>
          <w:b w:val="0"/>
          <w:szCs w:val="24"/>
          <w:u w:val="none"/>
        </w:rPr>
        <w:t>be paid</w:t>
      </w:r>
      <w:proofErr w:type="gramEnd"/>
      <w:r w:rsidRPr="006D576B">
        <w:rPr>
          <w:rFonts w:cs="Times New Roman"/>
          <w:b w:val="0"/>
          <w:szCs w:val="24"/>
          <w:u w:val="none"/>
        </w:rPr>
        <w:t xml:space="preserve"> after the successful completion of a probationary period</w:t>
      </w:r>
      <w:r w:rsidR="00DF5AA7">
        <w:rPr>
          <w:rFonts w:cs="Times New Roman"/>
          <w:b w:val="0"/>
          <w:szCs w:val="24"/>
          <w:u w:val="none"/>
        </w:rPr>
        <w:t xml:space="preserve"> or at the conclusion of twelve months of employment for eligible at-will classifications</w:t>
      </w:r>
      <w:r w:rsidRPr="006D576B">
        <w:rPr>
          <w:rFonts w:cs="Times New Roman"/>
          <w:b w:val="0"/>
          <w:szCs w:val="24"/>
          <w:u w:val="none"/>
        </w:rPr>
        <w:t xml:space="preserve">. </w:t>
      </w:r>
    </w:p>
    <w:p w:rsidR="001568E8" w:rsidRDefault="001568E8" w:rsidP="004828B5">
      <w:pPr>
        <w:pStyle w:val="ListParagraph"/>
        <w:rPr>
          <w:szCs w:val="24"/>
        </w:rPr>
      </w:pPr>
    </w:p>
    <w:p w:rsidR="00DC755B" w:rsidRPr="002629CD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1808F4">
        <w:rPr>
          <w:rFonts w:cs="Times New Roman"/>
          <w:b w:val="0"/>
          <w:szCs w:val="24"/>
          <w:u w:val="none"/>
        </w:rPr>
        <w:t xml:space="preserve">To be eligible to receive the signing bonus, </w:t>
      </w:r>
      <w:r>
        <w:rPr>
          <w:rFonts w:cs="Times New Roman"/>
          <w:b w:val="0"/>
          <w:szCs w:val="24"/>
          <w:u w:val="none"/>
        </w:rPr>
        <w:t>a</w:t>
      </w:r>
      <w:r w:rsidRPr="001808F4">
        <w:rPr>
          <w:rFonts w:cs="Times New Roman"/>
          <w:b w:val="0"/>
          <w:szCs w:val="24"/>
          <w:u w:val="none"/>
        </w:rPr>
        <w:t xml:space="preserve"> hired</w:t>
      </w:r>
      <w:r w:rsidRPr="002629CD">
        <w:rPr>
          <w:rFonts w:cs="Times New Roman"/>
          <w:b w:val="0"/>
          <w:szCs w:val="24"/>
          <w:u w:val="none"/>
        </w:rPr>
        <w:t xml:space="preserve"> employee</w:t>
      </w:r>
      <w:r>
        <w:rPr>
          <w:rFonts w:cs="Times New Roman"/>
          <w:b w:val="0"/>
          <w:szCs w:val="24"/>
          <w:u w:val="none"/>
        </w:rPr>
        <w:t>’</w:t>
      </w:r>
      <w:r w:rsidRPr="002629CD">
        <w:rPr>
          <w:rFonts w:cs="Times New Roman"/>
          <w:b w:val="0"/>
          <w:szCs w:val="24"/>
          <w:u w:val="none"/>
        </w:rPr>
        <w:t xml:space="preserve">s start date must fall within the Hiring and Promotional Incentive Pilot Program dates of </w:t>
      </w:r>
      <w:r>
        <w:rPr>
          <w:rFonts w:cs="Times New Roman"/>
          <w:b w:val="0"/>
          <w:szCs w:val="24"/>
          <w:u w:val="none"/>
        </w:rPr>
        <w:t>October 1</w:t>
      </w:r>
      <w:r w:rsidRPr="002629CD">
        <w:rPr>
          <w:rFonts w:cs="Times New Roman"/>
          <w:b w:val="0"/>
          <w:szCs w:val="24"/>
          <w:u w:val="none"/>
        </w:rPr>
        <w:t xml:space="preserve">, 2017 and </w:t>
      </w:r>
      <w:r>
        <w:rPr>
          <w:rFonts w:cs="Times New Roman"/>
          <w:b w:val="0"/>
          <w:szCs w:val="24"/>
          <w:u w:val="none"/>
        </w:rPr>
        <w:t>September</w:t>
      </w:r>
      <w:r w:rsidRPr="002629CD">
        <w:rPr>
          <w:rFonts w:cs="Times New Roman"/>
          <w:b w:val="0"/>
          <w:szCs w:val="24"/>
          <w:u w:val="none"/>
        </w:rPr>
        <w:t xml:space="preserve"> 30, 2021.</w:t>
      </w:r>
    </w:p>
    <w:p w:rsidR="00DC755B" w:rsidRPr="000C37FA" w:rsidRDefault="00DC755B" w:rsidP="00DC755B">
      <w:pPr>
        <w:pStyle w:val="Heading5"/>
        <w:ind w:left="1800"/>
        <w:rPr>
          <w:rFonts w:cs="Times New Roman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0"/>
          <w:numId w:val="10"/>
        </w:numPr>
        <w:rPr>
          <w:rFonts w:cs="Times New Roman"/>
          <w:szCs w:val="24"/>
          <w:u w:val="none"/>
        </w:rPr>
      </w:pPr>
      <w:r w:rsidRPr="000C37FA">
        <w:rPr>
          <w:rFonts w:cs="Times New Roman"/>
          <w:szCs w:val="24"/>
          <w:u w:val="none"/>
        </w:rPr>
        <w:t>Employee Referral Program Policy</w:t>
      </w:r>
    </w:p>
    <w:p w:rsidR="00DC755B" w:rsidRPr="000C37FA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The Employee Referral Program (ERP) rewards </w:t>
      </w:r>
      <w:r>
        <w:rPr>
          <w:rFonts w:cs="Times New Roman"/>
          <w:b w:val="0"/>
          <w:szCs w:val="24"/>
          <w:u w:val="none"/>
        </w:rPr>
        <w:t>permanent status Napa County</w:t>
      </w:r>
      <w:r w:rsidRPr="000C37FA">
        <w:rPr>
          <w:rFonts w:cs="Times New Roman"/>
          <w:b w:val="0"/>
          <w:szCs w:val="24"/>
          <w:u w:val="none"/>
        </w:rPr>
        <w:t xml:space="preserve"> employees when a new external </w:t>
      </w:r>
      <w:r>
        <w:rPr>
          <w:rFonts w:cs="Times New Roman"/>
          <w:b w:val="0"/>
          <w:szCs w:val="24"/>
          <w:u w:val="none"/>
        </w:rPr>
        <w:t xml:space="preserve">candidate is hired into an eligible </w:t>
      </w:r>
      <w:r w:rsidRPr="000C37FA">
        <w:rPr>
          <w:rFonts w:cs="Times New Roman"/>
          <w:b w:val="0"/>
          <w:szCs w:val="24"/>
          <w:u w:val="none"/>
        </w:rPr>
        <w:t xml:space="preserve">hard-to-fill position (See Attachment A) </w:t>
      </w:r>
      <w:proofErr w:type="gramStart"/>
      <w:r w:rsidRPr="000C37FA">
        <w:rPr>
          <w:rFonts w:cs="Times New Roman"/>
          <w:b w:val="0"/>
          <w:szCs w:val="24"/>
          <w:u w:val="none"/>
        </w:rPr>
        <w:t>as a result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of the referral. This program serves as motivation for current </w:t>
      </w:r>
      <w:r>
        <w:rPr>
          <w:rFonts w:cs="Times New Roman"/>
          <w:b w:val="0"/>
          <w:szCs w:val="24"/>
          <w:u w:val="none"/>
        </w:rPr>
        <w:t>Napa County</w:t>
      </w:r>
      <w:r w:rsidRPr="000C37FA">
        <w:rPr>
          <w:rFonts w:cs="Times New Roman"/>
          <w:b w:val="0"/>
          <w:szCs w:val="24"/>
          <w:u w:val="none"/>
        </w:rPr>
        <w:t xml:space="preserve"> employees to tell their friends, family, or former work colleagues about </w:t>
      </w:r>
      <w:r>
        <w:rPr>
          <w:rFonts w:cs="Times New Roman"/>
          <w:b w:val="0"/>
          <w:szCs w:val="24"/>
          <w:u w:val="none"/>
        </w:rPr>
        <w:t>current Napa County recruitment efforts</w:t>
      </w:r>
      <w:r w:rsidRPr="000C37FA">
        <w:rPr>
          <w:rFonts w:cs="Times New Roman"/>
          <w:b w:val="0"/>
          <w:szCs w:val="24"/>
          <w:u w:val="none"/>
        </w:rPr>
        <w:t>, in exchange for a referral bonus.</w:t>
      </w:r>
    </w:p>
    <w:p w:rsidR="00DC755B" w:rsidRPr="000C37FA" w:rsidRDefault="00DC755B" w:rsidP="00DC755B">
      <w:pPr>
        <w:pStyle w:val="Heading5"/>
        <w:rPr>
          <w:rFonts w:cs="Times New Roman"/>
          <w:b w:val="0"/>
          <w:szCs w:val="24"/>
          <w:u w:val="none"/>
        </w:rPr>
      </w:pPr>
    </w:p>
    <w:p w:rsidR="00DC755B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Employee </w:t>
      </w:r>
      <w:r w:rsidRPr="000C37FA">
        <w:rPr>
          <w:rFonts w:cs="Times New Roman"/>
          <w:b w:val="0"/>
          <w:szCs w:val="24"/>
          <w:u w:val="none"/>
        </w:rPr>
        <w:t xml:space="preserve">Eligibility – All regular </w:t>
      </w:r>
      <w:r>
        <w:rPr>
          <w:rFonts w:cs="Times New Roman"/>
          <w:b w:val="0"/>
          <w:szCs w:val="24"/>
          <w:u w:val="none"/>
        </w:rPr>
        <w:t>Napa County</w:t>
      </w:r>
      <w:r w:rsidRPr="000C37FA">
        <w:rPr>
          <w:rFonts w:cs="Times New Roman"/>
          <w:b w:val="0"/>
          <w:szCs w:val="24"/>
          <w:u w:val="none"/>
        </w:rPr>
        <w:t xml:space="preserve"> employees in a paid status or on an approved leave of absence are eligible to participate. </w:t>
      </w:r>
      <w:r>
        <w:rPr>
          <w:rFonts w:cs="Times New Roman"/>
          <w:b w:val="0"/>
          <w:szCs w:val="24"/>
          <w:u w:val="none"/>
        </w:rPr>
        <w:t xml:space="preserve"> The following employees are excluded from being eligible: </w:t>
      </w:r>
      <w:r w:rsidRPr="000C37FA">
        <w:rPr>
          <w:rFonts w:cs="Times New Roman"/>
          <w:b w:val="0"/>
          <w:szCs w:val="24"/>
          <w:u w:val="none"/>
        </w:rPr>
        <w:t>extra help</w:t>
      </w:r>
      <w:r>
        <w:rPr>
          <w:rFonts w:cs="Times New Roman"/>
          <w:b w:val="0"/>
          <w:szCs w:val="24"/>
          <w:u w:val="none"/>
        </w:rPr>
        <w:t xml:space="preserve"> employees</w:t>
      </w:r>
      <w:r w:rsidRPr="000C37FA">
        <w:rPr>
          <w:rFonts w:cs="Times New Roman"/>
          <w:b w:val="0"/>
          <w:szCs w:val="24"/>
          <w:u w:val="none"/>
        </w:rPr>
        <w:t xml:space="preserve">, employees of the </w:t>
      </w:r>
      <w:r>
        <w:rPr>
          <w:rFonts w:cs="Times New Roman"/>
          <w:b w:val="0"/>
          <w:szCs w:val="24"/>
          <w:u w:val="none"/>
        </w:rPr>
        <w:t>County Executive Office</w:t>
      </w:r>
      <w:r w:rsidR="00A200E4">
        <w:rPr>
          <w:rFonts w:cs="Times New Roman"/>
          <w:b w:val="0"/>
          <w:szCs w:val="24"/>
          <w:u w:val="none"/>
        </w:rPr>
        <w:t xml:space="preserve"> (and the Divisions within)</w:t>
      </w:r>
      <w:r>
        <w:rPr>
          <w:rFonts w:cs="Times New Roman"/>
          <w:b w:val="0"/>
          <w:szCs w:val="24"/>
          <w:u w:val="none"/>
        </w:rPr>
        <w:t xml:space="preserve">, </w:t>
      </w:r>
      <w:r w:rsidRPr="000C37FA">
        <w:rPr>
          <w:rFonts w:cs="Times New Roman"/>
          <w:b w:val="0"/>
          <w:szCs w:val="24"/>
          <w:u w:val="none"/>
        </w:rPr>
        <w:t xml:space="preserve">and those </w:t>
      </w:r>
      <w:r>
        <w:rPr>
          <w:rFonts w:cs="Times New Roman"/>
          <w:b w:val="0"/>
          <w:szCs w:val="24"/>
          <w:u w:val="none"/>
        </w:rPr>
        <w:t xml:space="preserve">employees </w:t>
      </w:r>
      <w:r w:rsidRPr="000C37FA">
        <w:rPr>
          <w:rFonts w:cs="Times New Roman"/>
          <w:b w:val="0"/>
          <w:szCs w:val="24"/>
          <w:u w:val="none"/>
        </w:rPr>
        <w:t>whose normal work duties include the hiring process</w:t>
      </w:r>
      <w:r>
        <w:rPr>
          <w:rFonts w:cs="Times New Roman"/>
          <w:b w:val="0"/>
          <w:szCs w:val="24"/>
          <w:u w:val="none"/>
        </w:rPr>
        <w:t xml:space="preserve"> (i.e. </w:t>
      </w:r>
      <w:r w:rsidR="001568E8">
        <w:rPr>
          <w:rFonts w:cs="Times New Roman"/>
          <w:b w:val="0"/>
          <w:szCs w:val="24"/>
          <w:u w:val="none"/>
        </w:rPr>
        <w:t xml:space="preserve">Departmental </w:t>
      </w:r>
      <w:r>
        <w:rPr>
          <w:rFonts w:cs="Times New Roman"/>
          <w:b w:val="0"/>
          <w:szCs w:val="24"/>
          <w:u w:val="none"/>
        </w:rPr>
        <w:t>HR Liaisons and Sergeants that have participated in the particular hiring process within the Sheriff’s Office or Napa County Department of Corrections).</w:t>
      </w:r>
    </w:p>
    <w:p w:rsidR="00DC755B" w:rsidRDefault="00DC755B" w:rsidP="00DC755B">
      <w:pPr>
        <w:pStyle w:val="ListParagraph"/>
        <w:rPr>
          <w:b/>
          <w:szCs w:val="24"/>
        </w:rPr>
      </w:pPr>
    </w:p>
    <w:p w:rsidR="00DC755B" w:rsidRPr="004E54EE" w:rsidRDefault="00DC755B" w:rsidP="00DC755B">
      <w:pPr>
        <w:pStyle w:val="Heading5"/>
        <w:tabs>
          <w:tab w:val="left" w:pos="900"/>
        </w:tabs>
        <w:ind w:left="900"/>
        <w:rPr>
          <w:rFonts w:cs="Times New Roman"/>
          <w:b w:val="0"/>
          <w:szCs w:val="24"/>
          <w:u w:val="none"/>
        </w:rPr>
      </w:pPr>
      <w:r w:rsidRPr="004E54EE">
        <w:rPr>
          <w:rFonts w:cs="Times New Roman"/>
          <w:b w:val="0"/>
          <w:szCs w:val="24"/>
          <w:u w:val="none"/>
        </w:rPr>
        <w:t>If an employee wishes to particip</w:t>
      </w:r>
      <w:r>
        <w:rPr>
          <w:rFonts w:cs="Times New Roman"/>
          <w:b w:val="0"/>
          <w:szCs w:val="24"/>
          <w:u w:val="none"/>
        </w:rPr>
        <w:t>a</w:t>
      </w:r>
      <w:r w:rsidRPr="004E54EE">
        <w:rPr>
          <w:rFonts w:cs="Times New Roman"/>
          <w:b w:val="0"/>
          <w:szCs w:val="24"/>
          <w:u w:val="none"/>
        </w:rPr>
        <w:t xml:space="preserve">te in the Employee Referral Program, the employee or any relative of the employee </w:t>
      </w:r>
      <w:proofErr w:type="gramStart"/>
      <w:r w:rsidRPr="004E54EE">
        <w:rPr>
          <w:rFonts w:cs="Times New Roman"/>
          <w:b w:val="0"/>
          <w:szCs w:val="24"/>
          <w:u w:val="none"/>
        </w:rPr>
        <w:t>is strictly prohibited</w:t>
      </w:r>
      <w:proofErr w:type="gramEnd"/>
      <w:r w:rsidRPr="004E54EE">
        <w:rPr>
          <w:rFonts w:cs="Times New Roman"/>
          <w:b w:val="0"/>
          <w:szCs w:val="24"/>
          <w:u w:val="none"/>
        </w:rPr>
        <w:t xml:space="preserve"> from any participation in the </w:t>
      </w:r>
      <w:r>
        <w:rPr>
          <w:rFonts w:cs="Times New Roman"/>
          <w:b w:val="0"/>
          <w:szCs w:val="24"/>
          <w:u w:val="none"/>
        </w:rPr>
        <w:t>hiring selection</w:t>
      </w:r>
      <w:r w:rsidRPr="004E54EE">
        <w:rPr>
          <w:rFonts w:cs="Times New Roman"/>
          <w:b w:val="0"/>
          <w:szCs w:val="24"/>
          <w:u w:val="none"/>
        </w:rPr>
        <w:t xml:space="preserve"> process.</w:t>
      </w:r>
    </w:p>
    <w:p w:rsidR="00DC755B" w:rsidRPr="000C37FA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Submission of Application – It is the referred candidate’s responsibility to submit their </w:t>
      </w:r>
      <w:r>
        <w:rPr>
          <w:rFonts w:cs="Times New Roman"/>
          <w:b w:val="0"/>
          <w:szCs w:val="24"/>
          <w:u w:val="none"/>
        </w:rPr>
        <w:t xml:space="preserve">employment </w:t>
      </w:r>
      <w:r w:rsidRPr="000C37FA">
        <w:rPr>
          <w:rFonts w:cs="Times New Roman"/>
          <w:b w:val="0"/>
          <w:szCs w:val="24"/>
          <w:u w:val="none"/>
        </w:rPr>
        <w:t>application</w:t>
      </w:r>
      <w:r>
        <w:rPr>
          <w:rFonts w:cs="Times New Roman"/>
          <w:b w:val="0"/>
          <w:szCs w:val="24"/>
          <w:u w:val="none"/>
        </w:rPr>
        <w:t xml:space="preserve"> </w:t>
      </w:r>
      <w:r w:rsidRPr="000C37FA">
        <w:rPr>
          <w:rFonts w:cs="Times New Roman"/>
          <w:b w:val="0"/>
          <w:szCs w:val="24"/>
          <w:u w:val="none"/>
        </w:rPr>
        <w:t xml:space="preserve">through the designated </w:t>
      </w:r>
      <w:r>
        <w:rPr>
          <w:rFonts w:cs="Times New Roman"/>
          <w:b w:val="0"/>
          <w:szCs w:val="24"/>
          <w:u w:val="none"/>
        </w:rPr>
        <w:t xml:space="preserve">Napa County </w:t>
      </w:r>
      <w:r w:rsidRPr="000C37FA">
        <w:rPr>
          <w:rFonts w:cs="Times New Roman"/>
          <w:b w:val="0"/>
          <w:szCs w:val="24"/>
          <w:u w:val="none"/>
        </w:rPr>
        <w:t>applicant tracking system during the open period of the recruitment</w:t>
      </w:r>
      <w:r>
        <w:rPr>
          <w:rFonts w:cs="Times New Roman"/>
          <w:b w:val="0"/>
          <w:szCs w:val="24"/>
          <w:u w:val="none"/>
        </w:rPr>
        <w:t xml:space="preserve"> for the hard-to-fill position. </w:t>
      </w:r>
      <w:r w:rsidRPr="000C37FA">
        <w:rPr>
          <w:rFonts w:cs="Times New Roman"/>
          <w:b w:val="0"/>
          <w:szCs w:val="24"/>
          <w:u w:val="none"/>
        </w:rPr>
        <w:t xml:space="preserve"> </w:t>
      </w:r>
    </w:p>
    <w:p w:rsidR="00DC755B" w:rsidRPr="00D77724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>Hired</w:t>
      </w:r>
      <w:r w:rsidRPr="000C37FA">
        <w:rPr>
          <w:rFonts w:cs="Times New Roman"/>
          <w:b w:val="0"/>
          <w:szCs w:val="24"/>
          <w:u w:val="none"/>
        </w:rPr>
        <w:t xml:space="preserve"> Candidate – A </w:t>
      </w:r>
      <w:r>
        <w:rPr>
          <w:rFonts w:cs="Times New Roman"/>
          <w:b w:val="0"/>
          <w:szCs w:val="24"/>
          <w:u w:val="none"/>
        </w:rPr>
        <w:t>hired</w:t>
      </w:r>
      <w:r w:rsidRPr="000C37FA">
        <w:rPr>
          <w:rFonts w:cs="Times New Roman"/>
          <w:b w:val="0"/>
          <w:szCs w:val="24"/>
          <w:u w:val="none"/>
        </w:rPr>
        <w:t xml:space="preserve"> candidate is one who </w:t>
      </w:r>
      <w:proofErr w:type="gramStart"/>
      <w:r w:rsidRPr="000C37FA">
        <w:rPr>
          <w:rFonts w:cs="Times New Roman"/>
          <w:b w:val="0"/>
          <w:szCs w:val="24"/>
          <w:u w:val="none"/>
        </w:rPr>
        <w:t>is actually interviewed and hired, not just presented for consideration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. To </w:t>
      </w:r>
      <w:proofErr w:type="gramStart"/>
      <w:r w:rsidRPr="000C37FA">
        <w:rPr>
          <w:rFonts w:cs="Times New Roman"/>
          <w:b w:val="0"/>
          <w:szCs w:val="24"/>
          <w:u w:val="none"/>
        </w:rPr>
        <w:t>be considered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</w:t>
      </w:r>
      <w:r>
        <w:rPr>
          <w:rFonts w:cs="Times New Roman"/>
          <w:b w:val="0"/>
          <w:szCs w:val="24"/>
          <w:u w:val="none"/>
        </w:rPr>
        <w:t xml:space="preserve">as </w:t>
      </w:r>
      <w:r w:rsidRPr="000C37FA">
        <w:rPr>
          <w:rFonts w:cs="Times New Roman"/>
          <w:b w:val="0"/>
          <w:szCs w:val="24"/>
          <w:u w:val="none"/>
        </w:rPr>
        <w:t xml:space="preserve">an eligible referral, Human Resources must not have a prior </w:t>
      </w:r>
      <w:r>
        <w:rPr>
          <w:rFonts w:cs="Times New Roman"/>
          <w:b w:val="0"/>
          <w:szCs w:val="24"/>
          <w:u w:val="none"/>
        </w:rPr>
        <w:t xml:space="preserve">employment </w:t>
      </w:r>
      <w:r w:rsidRPr="000C37FA">
        <w:rPr>
          <w:rFonts w:cs="Times New Roman"/>
          <w:b w:val="0"/>
          <w:szCs w:val="24"/>
          <w:u w:val="none"/>
        </w:rPr>
        <w:t xml:space="preserve">application </w:t>
      </w:r>
      <w:r>
        <w:rPr>
          <w:rFonts w:cs="Times New Roman"/>
          <w:b w:val="0"/>
          <w:szCs w:val="24"/>
          <w:u w:val="none"/>
        </w:rPr>
        <w:t xml:space="preserve">from the candidate </w:t>
      </w:r>
      <w:r w:rsidRPr="000C37FA">
        <w:rPr>
          <w:rFonts w:cs="Times New Roman"/>
          <w:b w:val="0"/>
          <w:szCs w:val="24"/>
          <w:u w:val="none"/>
        </w:rPr>
        <w:t xml:space="preserve">or presentation from an outside search firm </w:t>
      </w:r>
      <w:r>
        <w:rPr>
          <w:rFonts w:cs="Times New Roman"/>
          <w:b w:val="0"/>
          <w:szCs w:val="24"/>
          <w:u w:val="none"/>
        </w:rPr>
        <w:t xml:space="preserve">for the candidate </w:t>
      </w:r>
      <w:r w:rsidRPr="000C37FA">
        <w:rPr>
          <w:rFonts w:cs="Times New Roman"/>
          <w:b w:val="0"/>
          <w:szCs w:val="24"/>
          <w:u w:val="none"/>
        </w:rPr>
        <w:t xml:space="preserve">dated within the past 12 months. The candidate must be a new employee, and not currently or previously employed with </w:t>
      </w:r>
      <w:r>
        <w:rPr>
          <w:rFonts w:cs="Times New Roman"/>
          <w:b w:val="0"/>
          <w:szCs w:val="24"/>
          <w:u w:val="none"/>
        </w:rPr>
        <w:t>Napa County in any capacity</w:t>
      </w:r>
      <w:r w:rsidR="00FB120C">
        <w:rPr>
          <w:rFonts w:cs="Times New Roman"/>
          <w:b w:val="0"/>
          <w:szCs w:val="24"/>
          <w:u w:val="none"/>
        </w:rPr>
        <w:t xml:space="preserve"> (including extra help)</w:t>
      </w:r>
      <w:r w:rsidRPr="000C37FA">
        <w:rPr>
          <w:rFonts w:cs="Times New Roman"/>
          <w:b w:val="0"/>
          <w:szCs w:val="24"/>
          <w:u w:val="none"/>
        </w:rPr>
        <w:t>.</w:t>
      </w:r>
    </w:p>
    <w:p w:rsidR="00DC755B" w:rsidRPr="000C37FA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Referral </w:t>
      </w:r>
      <w:r>
        <w:rPr>
          <w:rFonts w:cs="Times New Roman"/>
          <w:b w:val="0"/>
          <w:szCs w:val="24"/>
          <w:u w:val="none"/>
        </w:rPr>
        <w:t>Bonus</w:t>
      </w:r>
      <w:r w:rsidRPr="000C37FA">
        <w:rPr>
          <w:rFonts w:cs="Times New Roman"/>
          <w:b w:val="0"/>
          <w:szCs w:val="24"/>
          <w:u w:val="none"/>
        </w:rPr>
        <w:t xml:space="preserve"> – All</w:t>
      </w:r>
      <w:r>
        <w:rPr>
          <w:rFonts w:cs="Times New Roman"/>
          <w:b w:val="0"/>
          <w:szCs w:val="24"/>
          <w:u w:val="none"/>
        </w:rPr>
        <w:t xml:space="preserve"> current regular (non-probationary, non-temporary or </w:t>
      </w:r>
      <w:proofErr w:type="spellStart"/>
      <w:r>
        <w:rPr>
          <w:rFonts w:cs="Times New Roman"/>
          <w:b w:val="0"/>
          <w:szCs w:val="24"/>
          <w:u w:val="none"/>
        </w:rPr>
        <w:t>non extra-</w:t>
      </w:r>
      <w:proofErr w:type="spellEnd"/>
      <w:r>
        <w:rPr>
          <w:rFonts w:cs="Times New Roman"/>
          <w:b w:val="0"/>
          <w:szCs w:val="24"/>
          <w:u w:val="none"/>
        </w:rPr>
        <w:t xml:space="preserve">help) County employees that refer a candidate who </w:t>
      </w:r>
      <w:proofErr w:type="gramStart"/>
      <w:r>
        <w:rPr>
          <w:rFonts w:cs="Times New Roman"/>
          <w:b w:val="0"/>
          <w:szCs w:val="24"/>
          <w:u w:val="none"/>
        </w:rPr>
        <w:t>is ultimately hired</w:t>
      </w:r>
      <w:proofErr w:type="gramEnd"/>
      <w:r>
        <w:rPr>
          <w:rFonts w:cs="Times New Roman"/>
          <w:b w:val="0"/>
          <w:szCs w:val="24"/>
          <w:u w:val="none"/>
        </w:rPr>
        <w:t xml:space="preserve"> into</w:t>
      </w:r>
      <w:r w:rsidR="00FB120C">
        <w:rPr>
          <w:rFonts w:cs="Times New Roman"/>
          <w:b w:val="0"/>
          <w:szCs w:val="24"/>
          <w:u w:val="none"/>
        </w:rPr>
        <w:t xml:space="preserve"> a</w:t>
      </w:r>
      <w:r>
        <w:rPr>
          <w:rFonts w:cs="Times New Roman"/>
          <w:b w:val="0"/>
          <w:szCs w:val="24"/>
          <w:u w:val="none"/>
        </w:rPr>
        <w:t xml:space="preserve"> </w:t>
      </w:r>
      <w:r w:rsidRPr="000C37FA">
        <w:rPr>
          <w:rFonts w:cs="Times New Roman"/>
          <w:b w:val="0"/>
          <w:szCs w:val="24"/>
          <w:u w:val="none"/>
        </w:rPr>
        <w:t>hard-to-fill position listed in Attachment A of this policy are eligible</w:t>
      </w:r>
      <w:r>
        <w:rPr>
          <w:rFonts w:cs="Times New Roman"/>
          <w:b w:val="0"/>
          <w:szCs w:val="24"/>
          <w:u w:val="none"/>
        </w:rPr>
        <w:t xml:space="preserve"> to apply</w:t>
      </w:r>
      <w:r w:rsidRPr="000C37FA">
        <w:rPr>
          <w:rFonts w:cs="Times New Roman"/>
          <w:b w:val="0"/>
          <w:szCs w:val="24"/>
          <w:u w:val="none"/>
        </w:rPr>
        <w:t xml:space="preserve"> for a referral </w:t>
      </w:r>
      <w:r>
        <w:rPr>
          <w:rFonts w:cs="Times New Roman"/>
          <w:b w:val="0"/>
          <w:szCs w:val="24"/>
          <w:u w:val="none"/>
        </w:rPr>
        <w:t>bonus</w:t>
      </w:r>
      <w:r w:rsidRPr="000C37FA">
        <w:rPr>
          <w:rFonts w:cs="Times New Roman"/>
          <w:b w:val="0"/>
          <w:szCs w:val="24"/>
          <w:u w:val="none"/>
        </w:rPr>
        <w:t xml:space="preserve"> of </w:t>
      </w:r>
      <w:r>
        <w:rPr>
          <w:rFonts w:cs="Times New Roman"/>
          <w:b w:val="0"/>
          <w:szCs w:val="24"/>
          <w:u w:val="none"/>
        </w:rPr>
        <w:t>$750</w:t>
      </w:r>
      <w:r w:rsidRPr="000C37FA">
        <w:rPr>
          <w:rFonts w:cs="Times New Roman"/>
          <w:b w:val="0"/>
          <w:szCs w:val="24"/>
          <w:u w:val="none"/>
        </w:rPr>
        <w:t xml:space="preserve">. The </w:t>
      </w:r>
      <w:r>
        <w:rPr>
          <w:rFonts w:cs="Times New Roman"/>
          <w:b w:val="0"/>
          <w:szCs w:val="24"/>
          <w:u w:val="none"/>
        </w:rPr>
        <w:t>bonus</w:t>
      </w:r>
      <w:r w:rsidRPr="000C37FA">
        <w:rPr>
          <w:rFonts w:cs="Times New Roman"/>
          <w:b w:val="0"/>
          <w:szCs w:val="24"/>
          <w:u w:val="none"/>
        </w:rPr>
        <w:t xml:space="preserve"> </w:t>
      </w:r>
      <w:proofErr w:type="gramStart"/>
      <w:r w:rsidRPr="000C37FA">
        <w:rPr>
          <w:rFonts w:cs="Times New Roman"/>
          <w:b w:val="0"/>
          <w:szCs w:val="24"/>
          <w:u w:val="none"/>
        </w:rPr>
        <w:t>will be</w:t>
      </w:r>
      <w:r>
        <w:rPr>
          <w:rFonts w:cs="Times New Roman"/>
          <w:b w:val="0"/>
          <w:szCs w:val="24"/>
          <w:u w:val="none"/>
        </w:rPr>
        <w:t xml:space="preserve"> considered</w:t>
      </w:r>
      <w:r w:rsidRPr="000C37FA">
        <w:rPr>
          <w:rFonts w:cs="Times New Roman"/>
          <w:b w:val="0"/>
          <w:szCs w:val="24"/>
          <w:u w:val="none"/>
        </w:rPr>
        <w:t xml:space="preserve"> taxable income</w:t>
      </w:r>
      <w:r>
        <w:rPr>
          <w:rFonts w:cs="Times New Roman"/>
          <w:b w:val="0"/>
          <w:szCs w:val="24"/>
          <w:u w:val="none"/>
        </w:rPr>
        <w:t xml:space="preserve"> and used in determining the </w:t>
      </w:r>
      <w:r>
        <w:rPr>
          <w:rFonts w:cs="Times New Roman"/>
          <w:b w:val="0"/>
          <w:szCs w:val="24"/>
          <w:u w:val="none"/>
        </w:rPr>
        <w:lastRenderedPageBreak/>
        <w:t xml:space="preserve">employee’s regular rate of pay for FLSA purposes, but </w:t>
      </w:r>
      <w:r w:rsidRPr="000C37FA">
        <w:rPr>
          <w:rFonts w:cs="Times New Roman"/>
          <w:b w:val="0"/>
          <w:szCs w:val="24"/>
          <w:u w:val="none"/>
        </w:rPr>
        <w:t>not included as compensation for purposes of retirement calculations</w:t>
      </w:r>
      <w:proofErr w:type="gramEnd"/>
      <w:r>
        <w:rPr>
          <w:rFonts w:cs="Times New Roman"/>
          <w:b w:val="0"/>
          <w:szCs w:val="24"/>
          <w:u w:val="none"/>
        </w:rPr>
        <w:t>.</w:t>
      </w:r>
    </w:p>
    <w:p w:rsidR="00DC755B" w:rsidRPr="000C37FA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D77724">
        <w:rPr>
          <w:rFonts w:cs="Times New Roman"/>
          <w:b w:val="0"/>
          <w:szCs w:val="24"/>
          <w:u w:val="none"/>
        </w:rPr>
        <w:t>Referral Bonus Process – To submit a referral, please complete and submit the online referral form</w:t>
      </w:r>
      <w:r w:rsidRPr="001A6C8F">
        <w:rPr>
          <w:rFonts w:cs="Times New Roman"/>
          <w:b w:val="0"/>
          <w:szCs w:val="24"/>
          <w:u w:val="none"/>
        </w:rPr>
        <w:t xml:space="preserve"> as soon as you know the candidate has applied for the hard-to-fill position, including your e-mail or physical address. </w:t>
      </w:r>
      <w:r>
        <w:rPr>
          <w:rFonts w:cs="Times New Roman"/>
          <w:b w:val="0"/>
          <w:szCs w:val="24"/>
          <w:u w:val="none"/>
        </w:rPr>
        <w:t xml:space="preserve">Only one referral bonus </w:t>
      </w:r>
      <w:proofErr w:type="gramStart"/>
      <w:r>
        <w:rPr>
          <w:rFonts w:cs="Times New Roman"/>
          <w:b w:val="0"/>
          <w:szCs w:val="24"/>
          <w:u w:val="none"/>
        </w:rPr>
        <w:t>will be paid</w:t>
      </w:r>
      <w:proofErr w:type="gramEnd"/>
      <w:r>
        <w:rPr>
          <w:rFonts w:cs="Times New Roman"/>
          <w:b w:val="0"/>
          <w:szCs w:val="24"/>
          <w:u w:val="none"/>
        </w:rPr>
        <w:t xml:space="preserve"> per hired candidate.  </w:t>
      </w:r>
      <w:r w:rsidRPr="001A6C8F">
        <w:rPr>
          <w:rFonts w:cs="Times New Roman"/>
          <w:b w:val="0"/>
          <w:szCs w:val="24"/>
          <w:u w:val="none"/>
        </w:rPr>
        <w:t xml:space="preserve">Hired candidates must confirm the referral source through the online approval process before a bonus </w:t>
      </w:r>
      <w:proofErr w:type="gramStart"/>
      <w:r w:rsidR="00FB120C">
        <w:rPr>
          <w:rFonts w:cs="Times New Roman"/>
          <w:b w:val="0"/>
          <w:szCs w:val="24"/>
          <w:u w:val="none"/>
        </w:rPr>
        <w:t>is</w:t>
      </w:r>
      <w:r w:rsidRPr="001A6C8F">
        <w:rPr>
          <w:rFonts w:cs="Times New Roman"/>
          <w:b w:val="0"/>
          <w:szCs w:val="24"/>
          <w:u w:val="none"/>
        </w:rPr>
        <w:t xml:space="preserve"> approved</w:t>
      </w:r>
      <w:proofErr w:type="gramEnd"/>
      <w:r w:rsidRPr="001A6C8F">
        <w:rPr>
          <w:rFonts w:cs="Times New Roman"/>
          <w:b w:val="0"/>
          <w:szCs w:val="24"/>
          <w:u w:val="none"/>
        </w:rPr>
        <w:t xml:space="preserve">. </w:t>
      </w:r>
      <w:r>
        <w:rPr>
          <w:rFonts w:cs="Times New Roman"/>
          <w:b w:val="0"/>
          <w:szCs w:val="24"/>
          <w:u w:val="none"/>
        </w:rPr>
        <w:t>When one or more employee refers a candidate, t</w:t>
      </w:r>
      <w:r w:rsidRPr="00D77724">
        <w:rPr>
          <w:rFonts w:cs="Times New Roman"/>
          <w:b w:val="0"/>
          <w:szCs w:val="24"/>
          <w:u w:val="none"/>
        </w:rPr>
        <w:t xml:space="preserve">he </w:t>
      </w:r>
      <w:r>
        <w:rPr>
          <w:rFonts w:cs="Times New Roman"/>
          <w:b w:val="0"/>
          <w:szCs w:val="24"/>
          <w:u w:val="none"/>
        </w:rPr>
        <w:t xml:space="preserve">hired candidate’s confirmation of who referred them will be the determining factor, and that employee will receive the referral bonus. </w:t>
      </w:r>
    </w:p>
    <w:p w:rsidR="00DC755B" w:rsidRDefault="00DC755B" w:rsidP="00DC755B">
      <w:pPr>
        <w:pStyle w:val="ListParagraph"/>
        <w:rPr>
          <w:b/>
          <w:szCs w:val="24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A referral </w:t>
      </w:r>
      <w:proofErr w:type="gramStart"/>
      <w:r>
        <w:rPr>
          <w:rFonts w:cs="Times New Roman"/>
          <w:b w:val="0"/>
          <w:szCs w:val="24"/>
          <w:u w:val="none"/>
        </w:rPr>
        <w:t>must be confirmed</w:t>
      </w:r>
      <w:proofErr w:type="gramEnd"/>
      <w:r>
        <w:rPr>
          <w:rFonts w:cs="Times New Roman"/>
          <w:b w:val="0"/>
          <w:szCs w:val="24"/>
          <w:u w:val="none"/>
        </w:rPr>
        <w:t xml:space="preserve"> prior to a hired candidate’s start date. Any referrals after the hired candidate’s start date </w:t>
      </w:r>
      <w:proofErr w:type="gramStart"/>
      <w:r>
        <w:rPr>
          <w:rFonts w:cs="Times New Roman"/>
          <w:b w:val="0"/>
          <w:szCs w:val="24"/>
          <w:u w:val="none"/>
        </w:rPr>
        <w:t>will not be accepted</w:t>
      </w:r>
      <w:proofErr w:type="gramEnd"/>
      <w:r>
        <w:rPr>
          <w:rFonts w:cs="Times New Roman"/>
          <w:b w:val="0"/>
          <w:szCs w:val="24"/>
          <w:u w:val="none"/>
        </w:rPr>
        <w:t xml:space="preserve">. </w:t>
      </w:r>
    </w:p>
    <w:p w:rsidR="00DC755B" w:rsidRPr="000C37FA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>Status of Referral – All</w:t>
      </w:r>
      <w:r>
        <w:rPr>
          <w:rFonts w:cs="Times New Roman"/>
          <w:b w:val="0"/>
          <w:szCs w:val="24"/>
          <w:u w:val="none"/>
        </w:rPr>
        <w:t xml:space="preserve"> online submissions of</w:t>
      </w:r>
      <w:r w:rsidRPr="000C37FA">
        <w:rPr>
          <w:rFonts w:cs="Times New Roman"/>
          <w:b w:val="0"/>
          <w:szCs w:val="24"/>
          <w:u w:val="none"/>
        </w:rPr>
        <w:t xml:space="preserve"> referrals expire one year from the submission date. You may refer the same candidate again once the referral expires (if they </w:t>
      </w:r>
      <w:proofErr w:type="gramStart"/>
      <w:r w:rsidRPr="000C37FA">
        <w:rPr>
          <w:rFonts w:cs="Times New Roman"/>
          <w:b w:val="0"/>
          <w:szCs w:val="24"/>
          <w:u w:val="none"/>
        </w:rPr>
        <w:t>were not hired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through </w:t>
      </w:r>
      <w:r w:rsidR="00FB120C">
        <w:rPr>
          <w:rFonts w:cs="Times New Roman"/>
          <w:b w:val="0"/>
          <w:szCs w:val="24"/>
          <w:u w:val="none"/>
        </w:rPr>
        <w:t>a</w:t>
      </w:r>
      <w:r w:rsidR="00FB120C" w:rsidRPr="000C37FA">
        <w:rPr>
          <w:rFonts w:cs="Times New Roman"/>
          <w:b w:val="0"/>
          <w:szCs w:val="24"/>
          <w:u w:val="none"/>
        </w:rPr>
        <w:t xml:space="preserve"> </w:t>
      </w:r>
      <w:r w:rsidRPr="000C37FA">
        <w:rPr>
          <w:rFonts w:cs="Times New Roman"/>
          <w:b w:val="0"/>
          <w:szCs w:val="24"/>
          <w:u w:val="none"/>
        </w:rPr>
        <w:t>previous referral).</w:t>
      </w:r>
    </w:p>
    <w:p w:rsidR="00DC755B" w:rsidRDefault="00DC755B" w:rsidP="00DC755B">
      <w:pPr>
        <w:pStyle w:val="ListParagraph"/>
        <w:rPr>
          <w:b/>
          <w:szCs w:val="24"/>
        </w:rPr>
      </w:pPr>
    </w:p>
    <w:p w:rsidR="00DC755B" w:rsidRPr="002629CD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1808F4">
        <w:rPr>
          <w:rFonts w:cs="Times New Roman"/>
          <w:b w:val="0"/>
          <w:szCs w:val="24"/>
          <w:u w:val="none"/>
        </w:rPr>
        <w:t>To be eligible to receive the referral bonus,</w:t>
      </w:r>
      <w:r w:rsidRPr="002629CD">
        <w:rPr>
          <w:rFonts w:cs="Times New Roman"/>
          <w:b w:val="0"/>
          <w:szCs w:val="24"/>
          <w:u w:val="none"/>
        </w:rPr>
        <w:t xml:space="preserve"> </w:t>
      </w:r>
      <w:r>
        <w:rPr>
          <w:rFonts w:cs="Times New Roman"/>
          <w:b w:val="0"/>
          <w:szCs w:val="24"/>
          <w:u w:val="none"/>
        </w:rPr>
        <w:t>a</w:t>
      </w:r>
      <w:r w:rsidRPr="002629CD">
        <w:rPr>
          <w:rFonts w:cs="Times New Roman"/>
          <w:b w:val="0"/>
          <w:szCs w:val="24"/>
          <w:u w:val="none"/>
        </w:rPr>
        <w:t xml:space="preserve"> hired employee</w:t>
      </w:r>
      <w:r>
        <w:rPr>
          <w:rFonts w:cs="Times New Roman"/>
          <w:b w:val="0"/>
          <w:szCs w:val="24"/>
          <w:u w:val="none"/>
        </w:rPr>
        <w:t>’</w:t>
      </w:r>
      <w:r w:rsidRPr="002629CD">
        <w:rPr>
          <w:rFonts w:cs="Times New Roman"/>
          <w:b w:val="0"/>
          <w:szCs w:val="24"/>
          <w:u w:val="none"/>
        </w:rPr>
        <w:t xml:space="preserve">s start date must fall within the Hiring and Promotional Incentive Pilot Program dates of </w:t>
      </w:r>
      <w:r>
        <w:rPr>
          <w:rFonts w:cs="Times New Roman"/>
          <w:b w:val="0"/>
          <w:szCs w:val="24"/>
          <w:u w:val="none"/>
        </w:rPr>
        <w:t>October 1,</w:t>
      </w:r>
      <w:r w:rsidRPr="002629CD">
        <w:rPr>
          <w:rFonts w:cs="Times New Roman"/>
          <w:b w:val="0"/>
          <w:szCs w:val="24"/>
          <w:u w:val="none"/>
        </w:rPr>
        <w:t xml:space="preserve"> 2017 and </w:t>
      </w:r>
      <w:r>
        <w:rPr>
          <w:rFonts w:cs="Times New Roman"/>
          <w:b w:val="0"/>
          <w:szCs w:val="24"/>
          <w:u w:val="none"/>
        </w:rPr>
        <w:t>September</w:t>
      </w:r>
      <w:r w:rsidRPr="002629CD">
        <w:rPr>
          <w:rFonts w:cs="Times New Roman"/>
          <w:b w:val="0"/>
          <w:szCs w:val="24"/>
          <w:u w:val="none"/>
        </w:rPr>
        <w:t xml:space="preserve"> 30, 2021. </w:t>
      </w:r>
    </w:p>
    <w:p w:rsidR="00DC755B" w:rsidRPr="000C37FA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Method of Payment – Once the candidate </w:t>
      </w:r>
      <w:proofErr w:type="gramStart"/>
      <w:r w:rsidRPr="000C37FA">
        <w:rPr>
          <w:rFonts w:cs="Times New Roman"/>
          <w:b w:val="0"/>
          <w:szCs w:val="24"/>
          <w:u w:val="none"/>
        </w:rPr>
        <w:t>is hired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</w:t>
      </w:r>
      <w:r w:rsidR="00FB120C">
        <w:rPr>
          <w:rFonts w:cs="Times New Roman"/>
          <w:b w:val="0"/>
          <w:szCs w:val="24"/>
          <w:u w:val="none"/>
        </w:rPr>
        <w:t>following</w:t>
      </w:r>
      <w:r w:rsidRPr="000C37FA">
        <w:rPr>
          <w:rFonts w:cs="Times New Roman"/>
          <w:b w:val="0"/>
          <w:szCs w:val="24"/>
          <w:u w:val="none"/>
        </w:rPr>
        <w:t xml:space="preserve"> an eligible referral and has successfully completed </w:t>
      </w:r>
      <w:r w:rsidR="00FB120C">
        <w:rPr>
          <w:rFonts w:cs="Times New Roman"/>
          <w:b w:val="0"/>
          <w:szCs w:val="24"/>
          <w:u w:val="none"/>
        </w:rPr>
        <w:t>a</w:t>
      </w:r>
      <w:r w:rsidR="00FB120C" w:rsidRPr="000C37FA">
        <w:rPr>
          <w:rFonts w:cs="Times New Roman"/>
          <w:b w:val="0"/>
          <w:szCs w:val="24"/>
          <w:u w:val="none"/>
        </w:rPr>
        <w:t xml:space="preserve"> </w:t>
      </w:r>
      <w:r w:rsidRPr="000C37FA">
        <w:rPr>
          <w:rFonts w:cs="Times New Roman"/>
          <w:b w:val="0"/>
          <w:szCs w:val="24"/>
          <w:u w:val="none"/>
        </w:rPr>
        <w:t xml:space="preserve">probationary </w:t>
      </w:r>
      <w:r>
        <w:rPr>
          <w:rFonts w:cs="Times New Roman"/>
          <w:b w:val="0"/>
          <w:szCs w:val="24"/>
          <w:u w:val="none"/>
        </w:rPr>
        <w:t>period</w:t>
      </w:r>
      <w:r w:rsidR="00DF3FE8">
        <w:rPr>
          <w:rFonts w:cs="Times New Roman"/>
          <w:b w:val="0"/>
          <w:szCs w:val="24"/>
          <w:u w:val="none"/>
        </w:rPr>
        <w:t xml:space="preserve"> or </w:t>
      </w:r>
      <w:r w:rsidR="0048395B">
        <w:rPr>
          <w:rFonts w:cs="Times New Roman"/>
          <w:b w:val="0"/>
          <w:szCs w:val="24"/>
          <w:u w:val="none"/>
        </w:rPr>
        <w:t>12</w:t>
      </w:r>
      <w:r w:rsidR="00DF3FE8">
        <w:rPr>
          <w:rFonts w:cs="Times New Roman"/>
          <w:b w:val="0"/>
          <w:szCs w:val="24"/>
          <w:u w:val="none"/>
        </w:rPr>
        <w:t xml:space="preserve"> months of employment for eligible at-will classifications</w:t>
      </w:r>
      <w:r w:rsidRPr="000C37FA">
        <w:rPr>
          <w:rFonts w:cs="Times New Roman"/>
          <w:b w:val="0"/>
          <w:szCs w:val="24"/>
          <w:u w:val="none"/>
        </w:rPr>
        <w:t xml:space="preserve">, </w:t>
      </w:r>
      <w:r>
        <w:rPr>
          <w:rFonts w:cs="Times New Roman"/>
          <w:b w:val="0"/>
          <w:szCs w:val="24"/>
          <w:u w:val="none"/>
        </w:rPr>
        <w:t xml:space="preserve">the County </w:t>
      </w:r>
      <w:r w:rsidRPr="000C37FA">
        <w:rPr>
          <w:rFonts w:cs="Times New Roman"/>
          <w:b w:val="0"/>
          <w:szCs w:val="24"/>
          <w:u w:val="none"/>
        </w:rPr>
        <w:t xml:space="preserve">will process the referral on file and request the check for the referral </w:t>
      </w:r>
      <w:r>
        <w:rPr>
          <w:rFonts w:cs="Times New Roman"/>
          <w:b w:val="0"/>
          <w:szCs w:val="24"/>
          <w:u w:val="none"/>
        </w:rPr>
        <w:t>bonus</w:t>
      </w:r>
      <w:r w:rsidRPr="000C37FA">
        <w:rPr>
          <w:rFonts w:cs="Times New Roman"/>
          <w:b w:val="0"/>
          <w:szCs w:val="24"/>
          <w:u w:val="none"/>
        </w:rPr>
        <w:t>.</w:t>
      </w:r>
      <w:r>
        <w:rPr>
          <w:rFonts w:cs="Times New Roman"/>
          <w:b w:val="0"/>
          <w:szCs w:val="24"/>
          <w:u w:val="none"/>
        </w:rPr>
        <w:t xml:space="preserve"> Checks </w:t>
      </w:r>
      <w:proofErr w:type="gramStart"/>
      <w:r>
        <w:rPr>
          <w:rFonts w:cs="Times New Roman"/>
          <w:b w:val="0"/>
          <w:szCs w:val="24"/>
          <w:u w:val="none"/>
        </w:rPr>
        <w:t>will be mailed</w:t>
      </w:r>
      <w:proofErr w:type="gramEnd"/>
      <w:r>
        <w:rPr>
          <w:rFonts w:cs="Times New Roman"/>
          <w:b w:val="0"/>
          <w:szCs w:val="24"/>
          <w:u w:val="none"/>
        </w:rPr>
        <w:t xml:space="preserve"> to former employees who leave the County</w:t>
      </w:r>
      <w:r w:rsidR="00BD5A44">
        <w:rPr>
          <w:rFonts w:cs="Times New Roman"/>
          <w:b w:val="0"/>
          <w:szCs w:val="24"/>
          <w:u w:val="none"/>
        </w:rPr>
        <w:t xml:space="preserve"> in good standing</w:t>
      </w:r>
      <w:r w:rsidR="000C20FC">
        <w:rPr>
          <w:rFonts w:cs="Times New Roman"/>
          <w:b w:val="0"/>
          <w:szCs w:val="24"/>
          <w:u w:val="none"/>
        </w:rPr>
        <w:t xml:space="preserve"> (as defined in</w:t>
      </w:r>
      <w:r w:rsidR="00F572A9">
        <w:rPr>
          <w:rFonts w:cs="Times New Roman"/>
          <w:b w:val="0"/>
          <w:szCs w:val="24"/>
          <w:u w:val="none"/>
        </w:rPr>
        <w:t xml:space="preserve"> the</w:t>
      </w:r>
      <w:r w:rsidR="000C20FC">
        <w:rPr>
          <w:rFonts w:cs="Times New Roman"/>
          <w:b w:val="0"/>
          <w:szCs w:val="24"/>
          <w:u w:val="none"/>
        </w:rPr>
        <w:t xml:space="preserve"> County Policy Manual) </w:t>
      </w:r>
      <w:r w:rsidR="004828B5">
        <w:rPr>
          <w:rFonts w:cs="Times New Roman"/>
          <w:b w:val="0"/>
          <w:szCs w:val="24"/>
          <w:u w:val="none"/>
        </w:rPr>
        <w:t>after</w:t>
      </w:r>
      <w:r w:rsidR="00FB120C">
        <w:rPr>
          <w:rFonts w:cs="Times New Roman"/>
          <w:b w:val="0"/>
          <w:szCs w:val="24"/>
          <w:u w:val="none"/>
        </w:rPr>
        <w:t xml:space="preserve"> </w:t>
      </w:r>
      <w:r>
        <w:rPr>
          <w:rFonts w:cs="Times New Roman"/>
          <w:b w:val="0"/>
          <w:szCs w:val="24"/>
          <w:u w:val="none"/>
        </w:rPr>
        <w:t xml:space="preserve">the successful completion of a hired referral’s probationary period. </w:t>
      </w:r>
    </w:p>
    <w:p w:rsidR="00DC755B" w:rsidRDefault="00DC755B" w:rsidP="00DC755B">
      <w:pPr>
        <w:pStyle w:val="Heading5"/>
        <w:rPr>
          <w:rFonts w:cs="Times New Roman"/>
          <w:b w:val="0"/>
          <w:szCs w:val="24"/>
          <w:u w:val="none"/>
        </w:rPr>
      </w:pPr>
    </w:p>
    <w:p w:rsidR="0068539F" w:rsidRPr="000C37FA" w:rsidRDefault="00DF3FE8" w:rsidP="0068539F">
      <w:pPr>
        <w:pStyle w:val="Heading5"/>
        <w:numPr>
          <w:ilvl w:val="0"/>
          <w:numId w:val="10"/>
        </w:numPr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Vacation Leave Bank</w:t>
      </w:r>
      <w:r w:rsidR="0068539F" w:rsidRPr="000C37FA">
        <w:rPr>
          <w:rFonts w:cs="Times New Roman"/>
          <w:szCs w:val="24"/>
          <w:u w:val="none"/>
        </w:rPr>
        <w:t xml:space="preserve"> Incentive </w:t>
      </w:r>
      <w:r w:rsidR="0068539F">
        <w:rPr>
          <w:rFonts w:cs="Times New Roman"/>
          <w:szCs w:val="24"/>
          <w:u w:val="none"/>
        </w:rPr>
        <w:t xml:space="preserve">Program </w:t>
      </w:r>
      <w:r w:rsidR="0068539F" w:rsidRPr="000C37FA">
        <w:rPr>
          <w:rFonts w:cs="Times New Roman"/>
          <w:szCs w:val="24"/>
          <w:u w:val="none"/>
        </w:rPr>
        <w:t>Policy</w:t>
      </w:r>
    </w:p>
    <w:p w:rsidR="0068539F" w:rsidRPr="000C37FA" w:rsidRDefault="0068539F" w:rsidP="0068539F">
      <w:pPr>
        <w:rPr>
          <w:rFonts w:cs="Times New Roman"/>
          <w:szCs w:val="24"/>
        </w:rPr>
      </w:pPr>
    </w:p>
    <w:p w:rsidR="00B675E7" w:rsidRPr="00C33647" w:rsidRDefault="00B675E7" w:rsidP="00B675E7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The </w:t>
      </w:r>
      <w:r>
        <w:rPr>
          <w:rFonts w:cs="Times New Roman"/>
          <w:b w:val="0"/>
          <w:szCs w:val="24"/>
          <w:u w:val="none"/>
        </w:rPr>
        <w:t>Vacation Leave Bank</w:t>
      </w:r>
      <w:r w:rsidRPr="000C37FA">
        <w:rPr>
          <w:rFonts w:cs="Times New Roman"/>
          <w:b w:val="0"/>
          <w:szCs w:val="24"/>
          <w:u w:val="none"/>
        </w:rPr>
        <w:t xml:space="preserve"> Incentive </w:t>
      </w:r>
      <w:r>
        <w:rPr>
          <w:rFonts w:cs="Times New Roman"/>
          <w:b w:val="0"/>
          <w:szCs w:val="24"/>
          <w:u w:val="none"/>
        </w:rPr>
        <w:t>Program only applies to</w:t>
      </w:r>
      <w:r w:rsidRPr="000C37FA">
        <w:rPr>
          <w:rFonts w:cs="Times New Roman"/>
          <w:b w:val="0"/>
          <w:szCs w:val="24"/>
          <w:u w:val="none"/>
        </w:rPr>
        <w:t xml:space="preserve"> </w:t>
      </w:r>
      <w:r>
        <w:rPr>
          <w:rFonts w:cs="Times New Roman"/>
          <w:b w:val="0"/>
          <w:szCs w:val="24"/>
          <w:u w:val="none"/>
        </w:rPr>
        <w:t xml:space="preserve">lateral transfers from other agencies (includes cities, counties other than Napa County, special districts, state, or federal government agencies) hired into a </w:t>
      </w:r>
      <w:r w:rsidRPr="000C37FA">
        <w:rPr>
          <w:rFonts w:cs="Times New Roman"/>
          <w:b w:val="0"/>
          <w:szCs w:val="24"/>
          <w:u w:val="none"/>
        </w:rPr>
        <w:t>hard</w:t>
      </w:r>
      <w:r>
        <w:rPr>
          <w:rFonts w:cs="Times New Roman"/>
          <w:b w:val="0"/>
          <w:szCs w:val="24"/>
          <w:u w:val="none"/>
        </w:rPr>
        <w:t>-</w:t>
      </w:r>
      <w:r w:rsidRPr="000C37FA">
        <w:rPr>
          <w:rFonts w:cs="Times New Roman"/>
          <w:b w:val="0"/>
          <w:szCs w:val="24"/>
          <w:u w:val="none"/>
        </w:rPr>
        <w:t>to</w:t>
      </w:r>
      <w:r>
        <w:rPr>
          <w:rFonts w:cs="Times New Roman"/>
          <w:b w:val="0"/>
          <w:szCs w:val="24"/>
          <w:u w:val="none"/>
        </w:rPr>
        <w:t>-</w:t>
      </w:r>
      <w:r w:rsidRPr="000C37FA">
        <w:rPr>
          <w:rFonts w:cs="Times New Roman"/>
          <w:b w:val="0"/>
          <w:szCs w:val="24"/>
          <w:u w:val="none"/>
        </w:rPr>
        <w:t>fill position</w:t>
      </w:r>
      <w:r>
        <w:rPr>
          <w:rFonts w:cs="Times New Roman"/>
          <w:b w:val="0"/>
          <w:szCs w:val="24"/>
          <w:u w:val="none"/>
        </w:rPr>
        <w:t xml:space="preserve">.  Hired incumbents receive a lump sum distribution of </w:t>
      </w:r>
      <w:r w:rsidR="002E5662">
        <w:rPr>
          <w:rFonts w:cs="Times New Roman"/>
          <w:b w:val="0"/>
          <w:szCs w:val="24"/>
          <w:u w:val="none"/>
        </w:rPr>
        <w:t>80</w:t>
      </w:r>
      <w:r>
        <w:rPr>
          <w:rFonts w:cs="Times New Roman"/>
          <w:b w:val="0"/>
          <w:szCs w:val="24"/>
          <w:u w:val="none"/>
        </w:rPr>
        <w:t xml:space="preserve"> hours </w:t>
      </w:r>
      <w:r w:rsidR="00477085">
        <w:rPr>
          <w:rFonts w:cs="Times New Roman"/>
          <w:b w:val="0"/>
          <w:szCs w:val="24"/>
          <w:u w:val="none"/>
        </w:rPr>
        <w:t>after successful completion of probation</w:t>
      </w:r>
      <w:r w:rsidR="00C455C6">
        <w:rPr>
          <w:rFonts w:cs="Times New Roman"/>
          <w:b w:val="0"/>
          <w:szCs w:val="24"/>
          <w:u w:val="none"/>
        </w:rPr>
        <w:t>,</w:t>
      </w:r>
      <w:r w:rsidR="00477085">
        <w:rPr>
          <w:rFonts w:cs="Times New Roman"/>
          <w:b w:val="0"/>
          <w:szCs w:val="24"/>
          <w:u w:val="none"/>
        </w:rPr>
        <w:t xml:space="preserve"> or after </w:t>
      </w:r>
      <w:r w:rsidR="0048395B">
        <w:rPr>
          <w:rFonts w:cs="Times New Roman"/>
          <w:b w:val="0"/>
          <w:szCs w:val="24"/>
          <w:u w:val="none"/>
        </w:rPr>
        <w:t>12</w:t>
      </w:r>
      <w:r>
        <w:rPr>
          <w:rFonts w:cs="Times New Roman"/>
          <w:b w:val="0"/>
          <w:szCs w:val="24"/>
          <w:u w:val="none"/>
        </w:rPr>
        <w:t xml:space="preserve"> months of employment</w:t>
      </w:r>
      <w:r w:rsidR="00477085">
        <w:rPr>
          <w:rFonts w:cs="Times New Roman"/>
          <w:b w:val="0"/>
          <w:szCs w:val="24"/>
          <w:u w:val="none"/>
        </w:rPr>
        <w:t xml:space="preserve"> for eligible at-will classifications</w:t>
      </w:r>
      <w:r>
        <w:rPr>
          <w:rFonts w:cs="Times New Roman"/>
          <w:b w:val="0"/>
          <w:szCs w:val="24"/>
          <w:u w:val="none"/>
        </w:rPr>
        <w:t xml:space="preserve">.  </w:t>
      </w:r>
    </w:p>
    <w:p w:rsidR="00B675E7" w:rsidRPr="000C37FA" w:rsidRDefault="00B675E7" w:rsidP="00B675E7">
      <w:pPr>
        <w:tabs>
          <w:tab w:val="left" w:pos="-3240"/>
        </w:tabs>
        <w:rPr>
          <w:rFonts w:cs="Times New Roman"/>
          <w:szCs w:val="24"/>
        </w:rPr>
      </w:pPr>
    </w:p>
    <w:p w:rsidR="00B675E7" w:rsidRPr="000C37FA" w:rsidRDefault="00B675E7" w:rsidP="00B675E7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>Incumbents participating in the Vacation Leave Bank</w:t>
      </w:r>
      <w:r w:rsidR="00096B2C">
        <w:rPr>
          <w:rFonts w:cs="Times New Roman"/>
          <w:b w:val="0"/>
          <w:szCs w:val="24"/>
          <w:u w:val="none"/>
        </w:rPr>
        <w:t xml:space="preserve"> Hiring</w:t>
      </w:r>
      <w:r w:rsidRPr="000C37FA">
        <w:rPr>
          <w:rFonts w:cs="Times New Roman"/>
          <w:b w:val="0"/>
          <w:szCs w:val="24"/>
          <w:u w:val="none"/>
        </w:rPr>
        <w:t xml:space="preserve"> </w:t>
      </w:r>
      <w:r>
        <w:rPr>
          <w:rFonts w:cs="Times New Roman"/>
          <w:b w:val="0"/>
          <w:szCs w:val="24"/>
          <w:u w:val="none"/>
        </w:rPr>
        <w:t>Incentive Program shall also accrue</w:t>
      </w:r>
      <w:r w:rsidRPr="000C37FA">
        <w:rPr>
          <w:rFonts w:cs="Times New Roman"/>
          <w:b w:val="0"/>
          <w:szCs w:val="24"/>
          <w:u w:val="none"/>
        </w:rPr>
        <w:t xml:space="preserve"> </w:t>
      </w:r>
      <w:r>
        <w:rPr>
          <w:rFonts w:cs="Times New Roman"/>
          <w:b w:val="0"/>
          <w:szCs w:val="24"/>
          <w:u w:val="none"/>
        </w:rPr>
        <w:t xml:space="preserve">their normal </w:t>
      </w:r>
      <w:r w:rsidRPr="000C37FA">
        <w:rPr>
          <w:rFonts w:cs="Times New Roman"/>
          <w:b w:val="0"/>
          <w:szCs w:val="24"/>
          <w:u w:val="none"/>
        </w:rPr>
        <w:t xml:space="preserve">vacation time at a rate in accordance </w:t>
      </w:r>
      <w:r>
        <w:rPr>
          <w:rFonts w:cs="Times New Roman"/>
          <w:b w:val="0"/>
          <w:szCs w:val="24"/>
          <w:u w:val="none"/>
        </w:rPr>
        <w:t xml:space="preserve">with </w:t>
      </w:r>
      <w:r w:rsidRPr="000C37FA">
        <w:rPr>
          <w:rFonts w:cs="Times New Roman"/>
          <w:b w:val="0"/>
          <w:szCs w:val="24"/>
          <w:u w:val="none"/>
        </w:rPr>
        <w:t>the</w:t>
      </w:r>
      <w:r>
        <w:rPr>
          <w:rFonts w:cs="Times New Roman"/>
          <w:b w:val="0"/>
          <w:szCs w:val="24"/>
          <w:u w:val="none"/>
        </w:rPr>
        <w:t>ir respective Memorandum of Understanding, if applicable, or County policies</w:t>
      </w:r>
      <w:r w:rsidRPr="000C37FA">
        <w:rPr>
          <w:rFonts w:cs="Times New Roman"/>
          <w:b w:val="0"/>
          <w:szCs w:val="24"/>
          <w:u w:val="none"/>
        </w:rPr>
        <w:t>.</w:t>
      </w:r>
    </w:p>
    <w:p w:rsidR="00B675E7" w:rsidRPr="000C37FA" w:rsidRDefault="00B675E7" w:rsidP="00B675E7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B675E7" w:rsidRPr="000C37FA" w:rsidRDefault="00B675E7" w:rsidP="00B675E7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0C37FA">
        <w:rPr>
          <w:rFonts w:cs="Times New Roman"/>
          <w:b w:val="0"/>
          <w:szCs w:val="24"/>
          <w:u w:val="none"/>
        </w:rPr>
        <w:t xml:space="preserve">The incumbent </w:t>
      </w:r>
      <w:r>
        <w:rPr>
          <w:rFonts w:cs="Times New Roman"/>
          <w:b w:val="0"/>
          <w:szCs w:val="24"/>
          <w:u w:val="none"/>
        </w:rPr>
        <w:t>may</w:t>
      </w:r>
      <w:r w:rsidRPr="000C37FA">
        <w:rPr>
          <w:rFonts w:cs="Times New Roman"/>
          <w:b w:val="0"/>
          <w:szCs w:val="24"/>
          <w:u w:val="none"/>
        </w:rPr>
        <w:t xml:space="preserve"> utilize the</w:t>
      </w:r>
      <w:r>
        <w:rPr>
          <w:rFonts w:cs="Times New Roman"/>
          <w:b w:val="0"/>
          <w:szCs w:val="24"/>
          <w:u w:val="none"/>
        </w:rPr>
        <w:t xml:space="preserve"> V</w:t>
      </w:r>
      <w:r w:rsidRPr="000C37FA">
        <w:rPr>
          <w:rFonts w:cs="Times New Roman"/>
          <w:b w:val="0"/>
          <w:szCs w:val="24"/>
          <w:u w:val="none"/>
        </w:rPr>
        <w:t>acation</w:t>
      </w:r>
      <w:r>
        <w:rPr>
          <w:rFonts w:cs="Times New Roman"/>
          <w:b w:val="0"/>
          <w:szCs w:val="24"/>
          <w:u w:val="none"/>
        </w:rPr>
        <w:t xml:space="preserve"> Leave Bank</w:t>
      </w:r>
      <w:r w:rsidRPr="000C37FA">
        <w:rPr>
          <w:rFonts w:cs="Times New Roman"/>
          <w:b w:val="0"/>
          <w:szCs w:val="24"/>
          <w:u w:val="none"/>
        </w:rPr>
        <w:t xml:space="preserve"> hours in addition to the vacation </w:t>
      </w:r>
      <w:proofErr w:type="gramStart"/>
      <w:r w:rsidRPr="000C37FA">
        <w:rPr>
          <w:rFonts w:cs="Times New Roman"/>
          <w:b w:val="0"/>
          <w:szCs w:val="24"/>
          <w:u w:val="none"/>
        </w:rPr>
        <w:t>hours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they normally accrue. However, all usage of vacation hours </w:t>
      </w:r>
      <w:proofErr w:type="gramStart"/>
      <w:r>
        <w:rPr>
          <w:rFonts w:cs="Times New Roman"/>
          <w:b w:val="0"/>
          <w:szCs w:val="24"/>
          <w:u w:val="none"/>
        </w:rPr>
        <w:t>shall</w:t>
      </w:r>
      <w:r w:rsidRPr="000C37FA">
        <w:rPr>
          <w:rFonts w:cs="Times New Roman"/>
          <w:b w:val="0"/>
          <w:szCs w:val="24"/>
          <w:u w:val="none"/>
        </w:rPr>
        <w:t xml:space="preserve"> be approved</w:t>
      </w:r>
      <w:proofErr w:type="gramEnd"/>
      <w:r w:rsidRPr="000C37FA">
        <w:rPr>
          <w:rFonts w:cs="Times New Roman"/>
          <w:b w:val="0"/>
          <w:szCs w:val="24"/>
          <w:u w:val="none"/>
        </w:rPr>
        <w:t xml:space="preserve"> in a manner consistent with the incumbent’s </w:t>
      </w:r>
      <w:r>
        <w:rPr>
          <w:rFonts w:cs="Times New Roman"/>
          <w:b w:val="0"/>
          <w:szCs w:val="24"/>
          <w:u w:val="none"/>
        </w:rPr>
        <w:t>d</w:t>
      </w:r>
      <w:r w:rsidRPr="000C37FA">
        <w:rPr>
          <w:rFonts w:cs="Times New Roman"/>
          <w:b w:val="0"/>
          <w:szCs w:val="24"/>
          <w:u w:val="none"/>
        </w:rPr>
        <w:t xml:space="preserve">epartment </w:t>
      </w:r>
      <w:r>
        <w:rPr>
          <w:rFonts w:cs="Times New Roman"/>
          <w:b w:val="0"/>
          <w:szCs w:val="24"/>
          <w:u w:val="none"/>
        </w:rPr>
        <w:t>vacation usage policies</w:t>
      </w:r>
      <w:r w:rsidRPr="000C37FA">
        <w:rPr>
          <w:rFonts w:cs="Times New Roman"/>
          <w:b w:val="0"/>
          <w:szCs w:val="24"/>
          <w:u w:val="none"/>
        </w:rPr>
        <w:t xml:space="preserve">.  </w:t>
      </w:r>
    </w:p>
    <w:p w:rsidR="00B675E7" w:rsidRPr="000C37FA" w:rsidRDefault="00B675E7" w:rsidP="00B675E7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096B2C" w:rsidRPr="00096B2C" w:rsidRDefault="00B675E7" w:rsidP="00BA42C5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5F5351">
        <w:rPr>
          <w:rFonts w:cs="Times New Roman"/>
          <w:b w:val="0"/>
          <w:szCs w:val="24"/>
          <w:u w:val="none"/>
        </w:rPr>
        <w:t>For a hired candidate (</w:t>
      </w:r>
      <w:r>
        <w:rPr>
          <w:rFonts w:cs="Times New Roman"/>
          <w:b w:val="0"/>
          <w:szCs w:val="24"/>
          <w:u w:val="none"/>
        </w:rPr>
        <w:t>external agency candidates only</w:t>
      </w:r>
      <w:r w:rsidRPr="005F5351">
        <w:rPr>
          <w:rFonts w:cs="Times New Roman"/>
          <w:b w:val="0"/>
          <w:szCs w:val="24"/>
          <w:u w:val="none"/>
        </w:rPr>
        <w:t xml:space="preserve">) to be eligible to receive the </w:t>
      </w:r>
      <w:r>
        <w:rPr>
          <w:rFonts w:cs="Times New Roman"/>
          <w:b w:val="0"/>
          <w:szCs w:val="24"/>
          <w:u w:val="none"/>
        </w:rPr>
        <w:t xml:space="preserve">Vacation Leave Bank </w:t>
      </w:r>
      <w:r w:rsidRPr="005F5351">
        <w:rPr>
          <w:rFonts w:cs="Times New Roman"/>
          <w:b w:val="0"/>
          <w:szCs w:val="24"/>
          <w:u w:val="none"/>
        </w:rPr>
        <w:t xml:space="preserve">incentive, </w:t>
      </w:r>
      <w:r>
        <w:rPr>
          <w:rFonts w:cs="Times New Roman"/>
          <w:b w:val="0"/>
          <w:szCs w:val="24"/>
          <w:u w:val="none"/>
        </w:rPr>
        <w:t>their</w:t>
      </w:r>
      <w:r w:rsidRPr="005F5351">
        <w:rPr>
          <w:rFonts w:cs="Times New Roman"/>
          <w:b w:val="0"/>
          <w:szCs w:val="24"/>
          <w:u w:val="none"/>
        </w:rPr>
        <w:t xml:space="preserve"> start date must fall within the Hiring and Promotional Incentive Pilot Program dates of </w:t>
      </w:r>
      <w:r>
        <w:rPr>
          <w:rFonts w:cs="Times New Roman"/>
          <w:b w:val="0"/>
          <w:szCs w:val="24"/>
          <w:u w:val="none"/>
        </w:rPr>
        <w:t>October 1</w:t>
      </w:r>
      <w:r w:rsidRPr="005F5351">
        <w:rPr>
          <w:rFonts w:cs="Times New Roman"/>
          <w:b w:val="0"/>
          <w:szCs w:val="24"/>
          <w:u w:val="none"/>
        </w:rPr>
        <w:t xml:space="preserve">, 2017 and </w:t>
      </w:r>
      <w:r>
        <w:rPr>
          <w:rFonts w:cs="Times New Roman"/>
          <w:b w:val="0"/>
          <w:szCs w:val="24"/>
          <w:u w:val="none"/>
        </w:rPr>
        <w:t>September</w:t>
      </w:r>
      <w:r w:rsidRPr="005F5351">
        <w:rPr>
          <w:rFonts w:cs="Times New Roman"/>
          <w:b w:val="0"/>
          <w:szCs w:val="24"/>
          <w:u w:val="none"/>
        </w:rPr>
        <w:t xml:space="preserve"> 30, 2021.</w:t>
      </w:r>
    </w:p>
    <w:p w:rsidR="00096B2C" w:rsidRDefault="00096B2C" w:rsidP="00BA42C5">
      <w:pPr>
        <w:pStyle w:val="ListParagraph"/>
        <w:rPr>
          <w:szCs w:val="24"/>
        </w:rPr>
      </w:pPr>
    </w:p>
    <w:p w:rsidR="00DC755B" w:rsidRPr="000C37FA" w:rsidRDefault="00DC755B" w:rsidP="00DC755B">
      <w:pPr>
        <w:pStyle w:val="Heading5"/>
        <w:numPr>
          <w:ilvl w:val="0"/>
          <w:numId w:val="10"/>
        </w:numPr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Loan Forgiveness Program Policy</w:t>
      </w:r>
    </w:p>
    <w:p w:rsidR="00DC755B" w:rsidRPr="000C37FA" w:rsidRDefault="00DC755B" w:rsidP="00DC755B">
      <w:pPr>
        <w:rPr>
          <w:rFonts w:cs="Times New Roman"/>
          <w:szCs w:val="24"/>
        </w:rPr>
      </w:pPr>
    </w:p>
    <w:p w:rsidR="00DC755B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proofErr w:type="gramStart"/>
      <w:r w:rsidRPr="0096528D">
        <w:rPr>
          <w:rFonts w:cs="Times New Roman"/>
          <w:b w:val="0"/>
          <w:szCs w:val="24"/>
          <w:u w:val="none"/>
        </w:rPr>
        <w:t xml:space="preserve">Applicants </w:t>
      </w:r>
      <w:r w:rsidR="00CF213D">
        <w:rPr>
          <w:rFonts w:cs="Times New Roman"/>
          <w:b w:val="0"/>
          <w:szCs w:val="24"/>
          <w:u w:val="none"/>
        </w:rPr>
        <w:t xml:space="preserve">appointed to an eligible hard-to-fill classification </w:t>
      </w:r>
      <w:r w:rsidRPr="0096528D">
        <w:rPr>
          <w:rFonts w:cs="Times New Roman"/>
          <w:b w:val="0"/>
          <w:szCs w:val="24"/>
          <w:u w:val="none"/>
        </w:rPr>
        <w:t xml:space="preserve">that attended and received a degree (Associate’s or Bachelor’s) consisting of a minimum of 60 credits/units at a regionally accredited school by the Council of Regional Accrediting Commissions are eligible to receive a payment up to $20,000 (or $30,000 if certified bilingual by Napa County) towards </w:t>
      </w:r>
      <w:r>
        <w:rPr>
          <w:rFonts w:cs="Times New Roman"/>
          <w:b w:val="0"/>
          <w:szCs w:val="24"/>
          <w:u w:val="none"/>
        </w:rPr>
        <w:t xml:space="preserve">a </w:t>
      </w:r>
      <w:r w:rsidRPr="0096528D">
        <w:rPr>
          <w:rFonts w:cs="Times New Roman"/>
          <w:b w:val="0"/>
          <w:szCs w:val="24"/>
          <w:u w:val="none"/>
        </w:rPr>
        <w:t>student loan</w:t>
      </w:r>
      <w:r w:rsidR="000303E0">
        <w:rPr>
          <w:rFonts w:cs="Times New Roman"/>
          <w:b w:val="0"/>
          <w:szCs w:val="24"/>
          <w:u w:val="none"/>
        </w:rPr>
        <w:t xml:space="preserve"> in good standing (i.e. not in default)</w:t>
      </w:r>
      <w:r>
        <w:rPr>
          <w:rFonts w:cs="Times New Roman"/>
          <w:b w:val="0"/>
          <w:szCs w:val="24"/>
          <w:u w:val="none"/>
        </w:rPr>
        <w:t>.</w:t>
      </w:r>
      <w:proofErr w:type="gramEnd"/>
      <w:r>
        <w:rPr>
          <w:rFonts w:cs="Times New Roman"/>
          <w:b w:val="0"/>
          <w:szCs w:val="24"/>
          <w:u w:val="none"/>
        </w:rPr>
        <w:t xml:space="preserve">  Loans must be existing loans, which the employee can prove they held as of</w:t>
      </w:r>
      <w:r w:rsidRPr="0096528D">
        <w:rPr>
          <w:rFonts w:cs="Times New Roman"/>
          <w:b w:val="0"/>
          <w:szCs w:val="24"/>
          <w:u w:val="none"/>
        </w:rPr>
        <w:t xml:space="preserve"> the</w:t>
      </w:r>
      <w:r>
        <w:rPr>
          <w:rFonts w:cs="Times New Roman"/>
          <w:b w:val="0"/>
          <w:szCs w:val="24"/>
          <w:u w:val="none"/>
        </w:rPr>
        <w:t>ir hire</w:t>
      </w:r>
      <w:r w:rsidRPr="0096528D">
        <w:rPr>
          <w:rFonts w:cs="Times New Roman"/>
          <w:b w:val="0"/>
          <w:szCs w:val="24"/>
          <w:u w:val="none"/>
        </w:rPr>
        <w:t xml:space="preserve"> date</w:t>
      </w:r>
      <w:r>
        <w:rPr>
          <w:rFonts w:cs="Times New Roman"/>
          <w:b w:val="0"/>
          <w:szCs w:val="24"/>
          <w:u w:val="none"/>
        </w:rPr>
        <w:t xml:space="preserve"> and borrowed while attending the accredited institution during the time the degree was earned</w:t>
      </w:r>
      <w:r w:rsidRPr="0096528D">
        <w:rPr>
          <w:rFonts w:cs="Times New Roman"/>
          <w:b w:val="0"/>
          <w:szCs w:val="24"/>
          <w:u w:val="none"/>
        </w:rPr>
        <w:t>.</w:t>
      </w:r>
      <w:r>
        <w:rPr>
          <w:rFonts w:cs="Times New Roman"/>
          <w:b w:val="0"/>
          <w:szCs w:val="24"/>
          <w:u w:val="none"/>
        </w:rPr>
        <w:t xml:space="preserve">  </w:t>
      </w:r>
      <w:r w:rsidRPr="00BF2974">
        <w:rPr>
          <w:rFonts w:cs="Times New Roman"/>
          <w:b w:val="0"/>
          <w:szCs w:val="24"/>
          <w:u w:val="none"/>
        </w:rPr>
        <w:t xml:space="preserve">All payments </w:t>
      </w:r>
      <w:proofErr w:type="gramStart"/>
      <w:r w:rsidR="00F459BC">
        <w:rPr>
          <w:rFonts w:cs="Times New Roman"/>
          <w:b w:val="0"/>
          <w:szCs w:val="24"/>
          <w:u w:val="none"/>
        </w:rPr>
        <w:t>shall</w:t>
      </w:r>
      <w:r w:rsidR="00F459BC" w:rsidRPr="00BF2974">
        <w:rPr>
          <w:rFonts w:cs="Times New Roman"/>
          <w:b w:val="0"/>
          <w:szCs w:val="24"/>
          <w:u w:val="none"/>
        </w:rPr>
        <w:t xml:space="preserve"> </w:t>
      </w:r>
      <w:r w:rsidRPr="00BF2974">
        <w:rPr>
          <w:rFonts w:cs="Times New Roman"/>
          <w:b w:val="0"/>
          <w:szCs w:val="24"/>
          <w:u w:val="none"/>
        </w:rPr>
        <w:t>be made</w:t>
      </w:r>
      <w:proofErr w:type="gramEnd"/>
      <w:r w:rsidRPr="00BF2974">
        <w:rPr>
          <w:rFonts w:cs="Times New Roman"/>
          <w:b w:val="0"/>
          <w:szCs w:val="24"/>
          <w:u w:val="none"/>
        </w:rPr>
        <w:t xml:space="preserve"> directly to the student loan lender once appropriate verifications have been made. </w:t>
      </w:r>
    </w:p>
    <w:p w:rsidR="00DC755B" w:rsidRDefault="00DC755B" w:rsidP="00DC755B">
      <w:pPr>
        <w:pStyle w:val="Heading5"/>
        <w:ind w:left="900"/>
        <w:rPr>
          <w:rFonts w:cs="Times New Roman"/>
          <w:b w:val="0"/>
          <w:szCs w:val="24"/>
          <w:u w:val="none"/>
        </w:rPr>
      </w:pPr>
    </w:p>
    <w:p w:rsidR="00DC755B" w:rsidRPr="00BF2974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 w:rsidRPr="00BF2974">
        <w:rPr>
          <w:rFonts w:cs="Times New Roman"/>
          <w:b w:val="0"/>
          <w:szCs w:val="24"/>
          <w:u w:val="none"/>
        </w:rPr>
        <w:t xml:space="preserve">In order to be eligible for this loan forgiveness, the employee must </w:t>
      </w:r>
      <w:r w:rsidR="000177A5">
        <w:rPr>
          <w:rFonts w:cs="Times New Roman"/>
          <w:b w:val="0"/>
          <w:szCs w:val="24"/>
          <w:u w:val="none"/>
        </w:rPr>
        <w:t xml:space="preserve">complete </w:t>
      </w:r>
      <w:r w:rsidRPr="00BF2974">
        <w:rPr>
          <w:rFonts w:cs="Times New Roman"/>
          <w:b w:val="0"/>
          <w:szCs w:val="24"/>
          <w:u w:val="none"/>
        </w:rPr>
        <w:t xml:space="preserve">five (5) years of satisfactory service </w:t>
      </w:r>
      <w:r>
        <w:rPr>
          <w:rFonts w:cs="Times New Roman"/>
          <w:b w:val="0"/>
          <w:szCs w:val="24"/>
          <w:u w:val="none"/>
        </w:rPr>
        <w:t>with Napa County</w:t>
      </w:r>
      <w:r w:rsidRPr="00BF2974">
        <w:rPr>
          <w:rFonts w:cs="Times New Roman"/>
          <w:b w:val="0"/>
          <w:szCs w:val="24"/>
          <w:u w:val="none"/>
        </w:rPr>
        <w:t>, without a break in service.</w:t>
      </w:r>
      <w:r w:rsidR="000303E0">
        <w:rPr>
          <w:rFonts w:cs="Times New Roman"/>
          <w:b w:val="0"/>
          <w:szCs w:val="24"/>
          <w:u w:val="none"/>
        </w:rPr>
        <w:t xml:space="preserve"> </w:t>
      </w:r>
      <w:r w:rsidR="000177A5">
        <w:rPr>
          <w:rFonts w:cs="Times New Roman"/>
          <w:b w:val="0"/>
          <w:szCs w:val="24"/>
          <w:u w:val="none"/>
        </w:rPr>
        <w:t xml:space="preserve">At the conclusion of five years of satisfactory service, eligible employees must provide </w:t>
      </w:r>
      <w:r w:rsidR="00CA6679">
        <w:rPr>
          <w:rFonts w:cs="Times New Roman"/>
          <w:b w:val="0"/>
          <w:szCs w:val="24"/>
          <w:u w:val="none"/>
        </w:rPr>
        <w:t>a current loan statement t</w:t>
      </w:r>
      <w:r w:rsidR="000177A5">
        <w:rPr>
          <w:rFonts w:cs="Times New Roman"/>
          <w:b w:val="0"/>
          <w:szCs w:val="24"/>
          <w:u w:val="none"/>
        </w:rPr>
        <w:t>o Human Resources</w:t>
      </w:r>
      <w:r w:rsidR="00B44197">
        <w:rPr>
          <w:rFonts w:cs="Times New Roman"/>
          <w:b w:val="0"/>
          <w:szCs w:val="24"/>
          <w:u w:val="none"/>
        </w:rPr>
        <w:t>,</w:t>
      </w:r>
      <w:r w:rsidR="00CA6679">
        <w:rPr>
          <w:rFonts w:cs="Times New Roman"/>
          <w:b w:val="0"/>
          <w:szCs w:val="24"/>
          <w:u w:val="none"/>
        </w:rPr>
        <w:t xml:space="preserve"> and documentation</w:t>
      </w:r>
      <w:r w:rsidR="000177A5">
        <w:rPr>
          <w:rFonts w:cs="Times New Roman"/>
          <w:b w:val="0"/>
          <w:szCs w:val="24"/>
          <w:u w:val="none"/>
        </w:rPr>
        <w:t xml:space="preserve"> proving the</w:t>
      </w:r>
      <w:r w:rsidR="00CA6679">
        <w:rPr>
          <w:rFonts w:cs="Times New Roman"/>
          <w:b w:val="0"/>
          <w:szCs w:val="24"/>
          <w:u w:val="none"/>
        </w:rPr>
        <w:t xml:space="preserve"> </w:t>
      </w:r>
      <w:r w:rsidR="000177A5">
        <w:rPr>
          <w:rFonts w:cs="Times New Roman"/>
          <w:b w:val="0"/>
          <w:szCs w:val="24"/>
          <w:u w:val="none"/>
        </w:rPr>
        <w:t>loan</w:t>
      </w:r>
      <w:r w:rsidR="00CA6679">
        <w:rPr>
          <w:rFonts w:cs="Times New Roman"/>
          <w:b w:val="0"/>
          <w:szCs w:val="24"/>
          <w:u w:val="none"/>
        </w:rPr>
        <w:t xml:space="preserve"> existed</w:t>
      </w:r>
      <w:r w:rsidR="000177A5">
        <w:rPr>
          <w:rFonts w:cs="Times New Roman"/>
          <w:b w:val="0"/>
          <w:szCs w:val="24"/>
          <w:u w:val="none"/>
        </w:rPr>
        <w:t xml:space="preserve"> at the time of their appointment</w:t>
      </w:r>
      <w:r w:rsidR="00CA6679">
        <w:rPr>
          <w:rFonts w:cs="Times New Roman"/>
          <w:b w:val="0"/>
          <w:szCs w:val="24"/>
          <w:u w:val="none"/>
        </w:rPr>
        <w:t>.</w:t>
      </w:r>
    </w:p>
    <w:p w:rsidR="00DC755B" w:rsidRPr="00F05CB8" w:rsidRDefault="00DC755B" w:rsidP="00DC755B">
      <w:pPr>
        <w:pStyle w:val="Heading5"/>
        <w:ind w:left="720"/>
        <w:rPr>
          <w:rFonts w:cs="Times New Roman"/>
          <w:b w:val="0"/>
          <w:szCs w:val="24"/>
          <w:u w:val="none"/>
        </w:rPr>
      </w:pPr>
    </w:p>
    <w:p w:rsidR="00DC755B" w:rsidRPr="002629CD" w:rsidRDefault="00DC755B" w:rsidP="00DC755B">
      <w:pPr>
        <w:pStyle w:val="Heading5"/>
        <w:numPr>
          <w:ilvl w:val="2"/>
          <w:numId w:val="10"/>
        </w:numPr>
        <w:ind w:left="900"/>
        <w:rPr>
          <w:rFonts w:cs="Times New Roman"/>
          <w:b w:val="0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To </w:t>
      </w:r>
      <w:r w:rsidRPr="001808F4">
        <w:rPr>
          <w:rFonts w:cs="Times New Roman"/>
          <w:b w:val="0"/>
          <w:szCs w:val="24"/>
          <w:u w:val="none"/>
        </w:rPr>
        <w:t xml:space="preserve">be eligible to receive the loan forgiveness, </w:t>
      </w:r>
      <w:r>
        <w:rPr>
          <w:rFonts w:cs="Times New Roman"/>
          <w:b w:val="0"/>
          <w:szCs w:val="24"/>
          <w:u w:val="none"/>
        </w:rPr>
        <w:t>a</w:t>
      </w:r>
      <w:r w:rsidRPr="001808F4">
        <w:rPr>
          <w:rFonts w:cs="Times New Roman"/>
          <w:b w:val="0"/>
          <w:szCs w:val="24"/>
          <w:u w:val="none"/>
        </w:rPr>
        <w:t xml:space="preserve"> hired employee’</w:t>
      </w:r>
      <w:r>
        <w:rPr>
          <w:rFonts w:cs="Times New Roman"/>
          <w:b w:val="0"/>
          <w:szCs w:val="24"/>
          <w:u w:val="none"/>
        </w:rPr>
        <w:t>s</w:t>
      </w:r>
      <w:r w:rsidRPr="001808F4">
        <w:rPr>
          <w:rFonts w:cs="Times New Roman"/>
          <w:b w:val="0"/>
          <w:szCs w:val="24"/>
          <w:u w:val="none"/>
        </w:rPr>
        <w:t xml:space="preserve"> start date mu</w:t>
      </w:r>
      <w:r>
        <w:rPr>
          <w:rFonts w:cs="Times New Roman"/>
          <w:b w:val="0"/>
          <w:szCs w:val="24"/>
          <w:u w:val="none"/>
        </w:rPr>
        <w:t xml:space="preserve">st </w:t>
      </w:r>
      <w:r w:rsidRPr="002629CD">
        <w:rPr>
          <w:rFonts w:cs="Times New Roman"/>
          <w:b w:val="0"/>
          <w:szCs w:val="24"/>
          <w:u w:val="none"/>
        </w:rPr>
        <w:t>fall within the Hiring and Promotional Incentive Pilot Program dates</w:t>
      </w:r>
      <w:r>
        <w:rPr>
          <w:rFonts w:cs="Times New Roman"/>
          <w:b w:val="0"/>
          <w:szCs w:val="24"/>
          <w:u w:val="none"/>
        </w:rPr>
        <w:t xml:space="preserve"> October 1, 2017 </w:t>
      </w:r>
      <w:r w:rsidRPr="002629CD">
        <w:rPr>
          <w:rFonts w:cs="Times New Roman"/>
          <w:b w:val="0"/>
          <w:szCs w:val="24"/>
          <w:u w:val="none"/>
        </w:rPr>
        <w:t xml:space="preserve">and </w:t>
      </w:r>
      <w:r>
        <w:rPr>
          <w:rFonts w:cs="Times New Roman"/>
          <w:b w:val="0"/>
          <w:szCs w:val="24"/>
          <w:u w:val="none"/>
        </w:rPr>
        <w:t>September</w:t>
      </w:r>
      <w:r w:rsidRPr="002629CD">
        <w:rPr>
          <w:rFonts w:cs="Times New Roman"/>
          <w:b w:val="0"/>
          <w:szCs w:val="24"/>
          <w:u w:val="none"/>
        </w:rPr>
        <w:t xml:space="preserve"> 30, 2021. </w:t>
      </w:r>
    </w:p>
    <w:p w:rsidR="00DC755B" w:rsidRPr="000C37FA" w:rsidRDefault="00DC755B" w:rsidP="00DC755B">
      <w:pPr>
        <w:pStyle w:val="Heading5"/>
        <w:ind w:left="1620"/>
        <w:rPr>
          <w:rFonts w:cs="Times New Roman"/>
          <w:b w:val="0"/>
          <w:szCs w:val="24"/>
          <w:u w:val="none"/>
        </w:rPr>
      </w:pPr>
    </w:p>
    <w:p w:rsidR="00DC755B" w:rsidRPr="000C37FA" w:rsidRDefault="00DC755B" w:rsidP="00DC755B">
      <w:pPr>
        <w:pStyle w:val="Heading5"/>
        <w:numPr>
          <w:ilvl w:val="0"/>
          <w:numId w:val="10"/>
        </w:numPr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Annual Internal Recruitment for Transfer from Department of Corrections to Sheriff’s Department</w:t>
      </w:r>
    </w:p>
    <w:p w:rsidR="00DC755B" w:rsidRPr="000C37FA" w:rsidRDefault="00DC755B" w:rsidP="00DC755B">
      <w:pPr>
        <w:rPr>
          <w:rFonts w:cs="Times New Roman"/>
          <w:szCs w:val="24"/>
        </w:rPr>
      </w:pPr>
    </w:p>
    <w:p w:rsidR="00DC755B" w:rsidRPr="00641BC8" w:rsidRDefault="00DC755B" w:rsidP="00DC755B">
      <w:pPr>
        <w:pStyle w:val="Heading5"/>
        <w:numPr>
          <w:ilvl w:val="2"/>
          <w:numId w:val="9"/>
        </w:numPr>
        <w:ind w:left="900"/>
        <w:rPr>
          <w:rFonts w:cs="Times New Roman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Current Department of Corrections Correctional Officers will be eligible to apply for a promotion from the Department of Corrections to the Sheriff’s Department on an annual basis. A Countywide promotional process will enable Correctional Officers to apply for this promotional opportunity.  Candidates will be required to take and pass the P.O.S.T. Pellet-B examination with a score of 50.0 or higher and take and pass the physical agility test (PAT).  In addition, if a candidate passes the </w:t>
      </w:r>
      <w:r w:rsidR="00F459BC">
        <w:rPr>
          <w:rFonts w:cs="Times New Roman"/>
          <w:b w:val="0"/>
          <w:szCs w:val="24"/>
          <w:u w:val="none"/>
        </w:rPr>
        <w:t>aforementioned</w:t>
      </w:r>
      <w:r>
        <w:rPr>
          <w:rFonts w:cs="Times New Roman"/>
          <w:b w:val="0"/>
          <w:szCs w:val="24"/>
          <w:u w:val="none"/>
        </w:rPr>
        <w:t xml:space="preserve"> examinations, they will also be required to participate in and pass an oral panel examination with the Sheriff’s Department. </w:t>
      </w:r>
    </w:p>
    <w:p w:rsidR="00DC755B" w:rsidRPr="00641BC8" w:rsidRDefault="00DC755B" w:rsidP="00DC755B">
      <w:pPr>
        <w:pStyle w:val="Heading5"/>
        <w:ind w:left="1620"/>
        <w:rPr>
          <w:rFonts w:cs="Times New Roman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 </w:t>
      </w:r>
    </w:p>
    <w:p w:rsidR="00DC755B" w:rsidRPr="000C37FA" w:rsidRDefault="00DC755B" w:rsidP="00DC755B">
      <w:pPr>
        <w:pStyle w:val="Heading5"/>
        <w:numPr>
          <w:ilvl w:val="2"/>
          <w:numId w:val="9"/>
        </w:numPr>
        <w:ind w:left="900"/>
        <w:rPr>
          <w:rFonts w:cs="Times New Roman"/>
          <w:szCs w:val="24"/>
          <w:u w:val="none"/>
        </w:rPr>
      </w:pPr>
      <w:r>
        <w:rPr>
          <w:rFonts w:cs="Times New Roman"/>
          <w:b w:val="0"/>
          <w:szCs w:val="24"/>
          <w:u w:val="none"/>
        </w:rPr>
        <w:t xml:space="preserve">In order to qualify for this opportunity to the Sheriff’s Department, the employee </w:t>
      </w:r>
      <w:proofErr w:type="gramStart"/>
      <w:r>
        <w:rPr>
          <w:rFonts w:cs="Times New Roman"/>
          <w:b w:val="0"/>
          <w:szCs w:val="24"/>
          <w:u w:val="none"/>
        </w:rPr>
        <w:t>must  have</w:t>
      </w:r>
      <w:proofErr w:type="gramEnd"/>
      <w:r>
        <w:rPr>
          <w:rFonts w:cs="Times New Roman"/>
          <w:b w:val="0"/>
          <w:szCs w:val="24"/>
          <w:u w:val="none"/>
        </w:rPr>
        <w:t xml:space="preserve"> at least three (3) years of service in the Department of Corrections for Napa County as a Correctional Officer. The candidate must be meeting standards at the time of their last performance evaluation.</w:t>
      </w:r>
    </w:p>
    <w:p w:rsidR="00DC755B" w:rsidRDefault="00DC755B" w:rsidP="00DC755B">
      <w:pPr>
        <w:tabs>
          <w:tab w:val="left" w:pos="-3240"/>
        </w:tabs>
        <w:rPr>
          <w:rFonts w:cs="Times New Roman"/>
          <w:szCs w:val="24"/>
        </w:rPr>
      </w:pPr>
    </w:p>
    <w:p w:rsidR="00DC755B" w:rsidRPr="000C37FA" w:rsidRDefault="00DC755B" w:rsidP="00DC755B">
      <w:pPr>
        <w:ind w:left="720" w:hanging="72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Attac</w:t>
      </w:r>
      <w:r w:rsidRPr="000C37FA">
        <w:rPr>
          <w:rFonts w:cs="Times New Roman"/>
          <w:b/>
          <w:szCs w:val="24"/>
          <w:u w:val="single"/>
        </w:rPr>
        <w:t>hment A</w:t>
      </w:r>
    </w:p>
    <w:p w:rsidR="00DC755B" w:rsidRPr="000C37FA" w:rsidRDefault="00DC755B" w:rsidP="00DC755B">
      <w:pPr>
        <w:ind w:left="720" w:hanging="720"/>
        <w:rPr>
          <w:rFonts w:cs="Times New Roman"/>
          <w:b/>
          <w:szCs w:val="24"/>
          <w:u w:val="single"/>
        </w:rPr>
      </w:pPr>
    </w:p>
    <w:p w:rsidR="00DC755B" w:rsidRPr="000C37FA" w:rsidRDefault="00DC755B" w:rsidP="00DC755B">
      <w:pPr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>The followi</w:t>
      </w:r>
      <w:r>
        <w:rPr>
          <w:rFonts w:cs="Times New Roman"/>
          <w:szCs w:val="24"/>
        </w:rPr>
        <w:t xml:space="preserve">ng positions </w:t>
      </w:r>
      <w:proofErr w:type="gramStart"/>
      <w:r>
        <w:rPr>
          <w:rFonts w:cs="Times New Roman"/>
          <w:szCs w:val="24"/>
        </w:rPr>
        <w:t>are designated</w:t>
      </w:r>
      <w:proofErr w:type="gramEnd"/>
      <w:r>
        <w:rPr>
          <w:rFonts w:cs="Times New Roman"/>
          <w:szCs w:val="24"/>
        </w:rPr>
        <w:t xml:space="preserve"> as </w:t>
      </w:r>
      <w:r w:rsidRPr="000C37FA">
        <w:rPr>
          <w:rFonts w:cs="Times New Roman"/>
          <w:szCs w:val="24"/>
        </w:rPr>
        <w:t>hard-to-fill for the purposes of th</w:t>
      </w:r>
      <w:r>
        <w:rPr>
          <w:rFonts w:cs="Times New Roman"/>
          <w:szCs w:val="24"/>
        </w:rPr>
        <w:t>e Hiring Incentive Pilot Program Policy</w:t>
      </w:r>
      <w:r w:rsidRPr="000C37FA">
        <w:rPr>
          <w:rFonts w:cs="Times New Roman"/>
          <w:szCs w:val="24"/>
        </w:rPr>
        <w:t>:</w:t>
      </w:r>
    </w:p>
    <w:p w:rsidR="00DC755B" w:rsidRPr="000C37FA" w:rsidRDefault="00DC755B" w:rsidP="00DC755B">
      <w:pPr>
        <w:rPr>
          <w:rFonts w:cs="Times New Roman"/>
          <w:szCs w:val="24"/>
        </w:rPr>
      </w:pPr>
    </w:p>
    <w:p w:rsidR="00DC755B" w:rsidRPr="000C37FA" w:rsidRDefault="00DC755B" w:rsidP="00DC755B">
      <w:pPr>
        <w:numPr>
          <w:ilvl w:val="0"/>
          <w:numId w:val="8"/>
        </w:numPr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>Staff Psychiatrist</w:t>
      </w:r>
    </w:p>
    <w:p w:rsidR="00DC755B" w:rsidRPr="000C37FA" w:rsidRDefault="00DC755B" w:rsidP="00DC755B">
      <w:pPr>
        <w:numPr>
          <w:ilvl w:val="0"/>
          <w:numId w:val="8"/>
        </w:numPr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>Deputy Sheriff</w:t>
      </w:r>
      <w:r>
        <w:rPr>
          <w:rFonts w:cs="Times New Roman"/>
          <w:szCs w:val="24"/>
        </w:rPr>
        <w:t xml:space="preserve"> Trainee/I/II/Senior</w:t>
      </w:r>
    </w:p>
    <w:p w:rsidR="00DC755B" w:rsidRPr="000C37FA" w:rsidRDefault="00DC755B" w:rsidP="00DC755B">
      <w:pPr>
        <w:numPr>
          <w:ilvl w:val="0"/>
          <w:numId w:val="8"/>
        </w:numPr>
        <w:rPr>
          <w:rFonts w:cs="Times New Roman"/>
          <w:szCs w:val="24"/>
        </w:rPr>
      </w:pPr>
      <w:r w:rsidRPr="000C37FA">
        <w:rPr>
          <w:rFonts w:cs="Times New Roman"/>
          <w:szCs w:val="24"/>
        </w:rPr>
        <w:t xml:space="preserve">Correctional Officer </w:t>
      </w:r>
      <w:r>
        <w:rPr>
          <w:rFonts w:cs="Times New Roman"/>
          <w:szCs w:val="24"/>
        </w:rPr>
        <w:t>I/II</w:t>
      </w:r>
    </w:p>
    <w:p w:rsidR="00DA3267" w:rsidRPr="00DA3267" w:rsidRDefault="00DA3267" w:rsidP="00DA3267">
      <w:pPr>
        <w:rPr>
          <w:szCs w:val="24"/>
        </w:rPr>
      </w:pPr>
    </w:p>
    <w:sectPr w:rsidR="00DA3267" w:rsidRPr="00DA3267" w:rsidSect="00D354CF">
      <w:headerReference w:type="default" r:id="rId9"/>
      <w:footerReference w:type="default" r:id="rId10"/>
      <w:type w:val="continuous"/>
      <w:pgSz w:w="12240" w:h="15840" w:code="1"/>
      <w:pgMar w:top="1800" w:right="1296" w:bottom="1440" w:left="1440" w:header="720" w:footer="720" w:gutter="0"/>
      <w:paperSrc w:first="270" w:other="270"/>
      <w:pgNumType w:start="1"/>
      <w:cols w:space="720"/>
      <w:docGrid w:linePitch="6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BD" w:rsidRDefault="002B06BD">
      <w:r>
        <w:separator/>
      </w:r>
    </w:p>
  </w:endnote>
  <w:endnote w:type="continuationSeparator" w:id="0">
    <w:p w:rsidR="002B06BD" w:rsidRDefault="002B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YJV K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B9" w:rsidRDefault="005B0577">
    <w:pPr>
      <w:pStyle w:val="Footer"/>
      <w:tabs>
        <w:tab w:val="clear" w:pos="8640"/>
      </w:tabs>
      <w:rPr>
        <w:smallCaps/>
        <w:sz w:val="18"/>
      </w:rPr>
    </w:pPr>
    <w:r>
      <w:rPr>
        <w:smallCaps/>
        <w:noProof/>
      </w:rPr>
      <w:drawing>
        <wp:anchor distT="0" distB="0" distL="114300" distR="114300" simplePos="0" relativeHeight="251656704" behindDoc="0" locked="0" layoutInCell="1" allowOverlap="1" wp14:anchorId="197218B1" wp14:editId="197218B2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2B9" w:rsidRDefault="005B0577">
    <w:pPr>
      <w:pStyle w:val="Footer"/>
      <w:tabs>
        <w:tab w:val="clear" w:pos="4320"/>
        <w:tab w:val="clear" w:pos="8640"/>
        <w:tab w:val="left" w:pos="0"/>
        <w:tab w:val="left" w:pos="8616"/>
      </w:tabs>
      <w:rPr>
        <w:b/>
        <w:bCs/>
      </w:rPr>
    </w:pPr>
    <w:r>
      <w:rPr>
        <w:b/>
        <w:bCs/>
        <w:smallCaps/>
      </w:rPr>
      <w:t>Napa County Policy Manual</w:t>
    </w:r>
    <w:r>
      <w:rPr>
        <w:b/>
        <w:bCs/>
      </w:rPr>
      <w:t xml:space="preserve">                                      </w:t>
    </w:r>
    <w:r w:rsidR="00DA3267">
      <w:rPr>
        <w:b/>
        <w:bCs/>
      </w:rPr>
      <w:t xml:space="preserve">                               </w:t>
    </w:r>
    <w:r w:rsidR="00DA3267">
      <w:rPr>
        <w:b/>
        <w:bCs/>
        <w:smallCaps/>
      </w:rPr>
      <w:t xml:space="preserve">Section </w:t>
    </w:r>
    <w:proofErr w:type="gramStart"/>
    <w:r w:rsidR="00DA3267">
      <w:rPr>
        <w:b/>
        <w:bCs/>
        <w:smallCaps/>
      </w:rPr>
      <w:t>6C</w:t>
    </w:r>
    <w:r>
      <w:rPr>
        <w:b/>
        <w:bCs/>
        <w:smallCaps/>
      </w:rPr>
      <w:t xml:space="preserve">  -</w:t>
    </w:r>
    <w:proofErr w:type="gramEnd"/>
    <w:r>
      <w:rPr>
        <w:b/>
        <w:bCs/>
        <w:smallCaps/>
      </w:rPr>
      <w:t xml:space="preserve"> </w:t>
    </w:r>
    <w:r w:rsidR="00DA3267">
      <w:rPr>
        <w:b/>
        <w:bCs/>
      </w:rPr>
      <w:t>Page</w:t>
    </w:r>
    <w:r>
      <w:rPr>
        <w:b/>
        <w:bCs/>
      </w:rPr>
      <w:t xml:space="preserve"> </w:t>
    </w:r>
    <w:r w:rsidR="00D354CF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D354CF">
      <w:rPr>
        <w:rStyle w:val="PageNumber"/>
        <w:b/>
        <w:bCs/>
      </w:rPr>
      <w:fldChar w:fldCharType="separate"/>
    </w:r>
    <w:r w:rsidR="007E0405">
      <w:rPr>
        <w:rStyle w:val="PageNumber"/>
        <w:b/>
        <w:bCs/>
        <w:noProof/>
      </w:rPr>
      <w:t>5</w:t>
    </w:r>
    <w:r w:rsidR="00D354CF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BD" w:rsidRDefault="002B06BD">
      <w:r>
        <w:separator/>
      </w:r>
    </w:p>
  </w:footnote>
  <w:footnote w:type="continuationSeparator" w:id="0">
    <w:p w:rsidR="002B06BD" w:rsidRDefault="002B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B9" w:rsidRDefault="005B0577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197218AD" wp14:editId="197218AE">
          <wp:simplePos x="0" y="0"/>
          <wp:positionH relativeFrom="column">
            <wp:posOffset>-30480</wp:posOffset>
          </wp:positionH>
          <wp:positionV relativeFrom="paragraph">
            <wp:posOffset>0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52B9" w:rsidRDefault="007E0405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</w:rPr>
      <w:t xml:space="preserve">PART I:  SECTION </w:t>
    </w:r>
    <w:r w:rsidR="00DC755B">
      <w:rPr>
        <w:rFonts w:cs="Times New Roman"/>
        <w:b/>
        <w:bCs/>
      </w:rPr>
      <w:t>37BB</w:t>
    </w:r>
  </w:p>
  <w:p w:rsidR="000852B9" w:rsidRDefault="005B0577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</w:rPr>
      <w:drawing>
        <wp:anchor distT="0" distB="0" distL="114300" distR="114300" simplePos="0" relativeHeight="251657728" behindDoc="0" locked="0" layoutInCell="1" allowOverlap="1" wp14:anchorId="197218AF" wp14:editId="197218B0">
          <wp:simplePos x="0" y="0"/>
          <wp:positionH relativeFrom="column">
            <wp:posOffset>-15240</wp:posOffset>
          </wp:positionH>
          <wp:positionV relativeFrom="paragraph">
            <wp:posOffset>20955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2" name="Picture 2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7ED"/>
    <w:multiLevelType w:val="hybridMultilevel"/>
    <w:tmpl w:val="FE1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2627"/>
    <w:multiLevelType w:val="hybridMultilevel"/>
    <w:tmpl w:val="59208512"/>
    <w:lvl w:ilvl="0" w:tplc="9FEE13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200008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FD"/>
    <w:multiLevelType w:val="hybridMultilevel"/>
    <w:tmpl w:val="A6B60D7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22D"/>
    <w:multiLevelType w:val="hybridMultilevel"/>
    <w:tmpl w:val="CDE8B98E"/>
    <w:lvl w:ilvl="0" w:tplc="1AB61EC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A04DA"/>
    <w:multiLevelType w:val="hybridMultilevel"/>
    <w:tmpl w:val="9F0C2C98"/>
    <w:lvl w:ilvl="0" w:tplc="247AB3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D1875"/>
    <w:multiLevelType w:val="hybridMultilevel"/>
    <w:tmpl w:val="F628E29E"/>
    <w:lvl w:ilvl="0" w:tplc="841C8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F5E9DA6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Arial"/>
        <w:b w:val="0"/>
      </w:rPr>
    </w:lvl>
    <w:lvl w:ilvl="2" w:tplc="94EC8E8A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Arial"/>
        <w:b w:val="0"/>
      </w:rPr>
    </w:lvl>
    <w:lvl w:ilvl="3" w:tplc="2A8A5698">
      <w:start w:val="1"/>
      <w:numFmt w:val="lowerRoman"/>
      <w:lvlText w:val="%4."/>
      <w:lvlJc w:val="left"/>
      <w:pPr>
        <w:ind w:left="2520" w:hanging="360"/>
      </w:pPr>
      <w:rPr>
        <w:rFonts w:ascii="Times New Roman" w:eastAsia="Times New Roman" w:hAnsi="Times New Roman" w:cs="Arial"/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E6261"/>
    <w:multiLevelType w:val="hybridMultilevel"/>
    <w:tmpl w:val="D098F97A"/>
    <w:lvl w:ilvl="0" w:tplc="0D8C2A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B5E59"/>
    <w:multiLevelType w:val="hybridMultilevel"/>
    <w:tmpl w:val="0DB6455C"/>
    <w:lvl w:ilvl="0" w:tplc="AF2EE7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F5E9DA6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Arial"/>
        <w:b w:val="0"/>
      </w:rPr>
    </w:lvl>
    <w:lvl w:ilvl="2" w:tplc="94EC8E8A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Arial"/>
        <w:b w:val="0"/>
      </w:rPr>
    </w:lvl>
    <w:lvl w:ilvl="3" w:tplc="2A8A5698">
      <w:start w:val="1"/>
      <w:numFmt w:val="lowerRoman"/>
      <w:lvlText w:val="%4."/>
      <w:lvlJc w:val="left"/>
      <w:pPr>
        <w:ind w:left="2520" w:hanging="360"/>
      </w:pPr>
      <w:rPr>
        <w:rFonts w:ascii="Times New Roman" w:eastAsia="Times New Roman" w:hAnsi="Times New Roman" w:cs="Arial"/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34FB1"/>
    <w:multiLevelType w:val="hybridMultilevel"/>
    <w:tmpl w:val="58B460C8"/>
    <w:lvl w:ilvl="0" w:tplc="7BDAD27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7108AA0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877B2"/>
    <w:multiLevelType w:val="hybridMultilevel"/>
    <w:tmpl w:val="6180DB42"/>
    <w:lvl w:ilvl="0" w:tplc="1C1A6886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67A9E"/>
    <w:multiLevelType w:val="hybridMultilevel"/>
    <w:tmpl w:val="FAF8C89E"/>
    <w:lvl w:ilvl="0" w:tplc="AF2EE7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8F5E9DA6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Arial"/>
        <w:b w:val="0"/>
      </w:rPr>
    </w:lvl>
    <w:lvl w:ilvl="2" w:tplc="94EC8E8A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Arial"/>
        <w:b w:val="0"/>
      </w:rPr>
    </w:lvl>
    <w:lvl w:ilvl="3" w:tplc="2A8A5698">
      <w:start w:val="1"/>
      <w:numFmt w:val="lowerRoman"/>
      <w:lvlText w:val="%4."/>
      <w:lvlJc w:val="left"/>
      <w:pPr>
        <w:ind w:left="2520" w:hanging="360"/>
      </w:pPr>
      <w:rPr>
        <w:rFonts w:ascii="Times New Roman" w:eastAsia="Times New Roman" w:hAnsi="Times New Roman" w:cs="Arial"/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B9"/>
    <w:rsid w:val="000177A5"/>
    <w:rsid w:val="000303E0"/>
    <w:rsid w:val="0004528D"/>
    <w:rsid w:val="000852B9"/>
    <w:rsid w:val="00094173"/>
    <w:rsid w:val="00096B2C"/>
    <w:rsid w:val="000C20FC"/>
    <w:rsid w:val="00107A40"/>
    <w:rsid w:val="0014459E"/>
    <w:rsid w:val="001568E8"/>
    <w:rsid w:val="002829AC"/>
    <w:rsid w:val="002B06BD"/>
    <w:rsid w:val="002B0898"/>
    <w:rsid w:val="002E5662"/>
    <w:rsid w:val="00463DDB"/>
    <w:rsid w:val="00477085"/>
    <w:rsid w:val="004828B5"/>
    <w:rsid w:val="0048395B"/>
    <w:rsid w:val="00497F7E"/>
    <w:rsid w:val="004A24F4"/>
    <w:rsid w:val="00521386"/>
    <w:rsid w:val="005B0577"/>
    <w:rsid w:val="005F7B90"/>
    <w:rsid w:val="0068539F"/>
    <w:rsid w:val="00724AAE"/>
    <w:rsid w:val="007E0405"/>
    <w:rsid w:val="00926C42"/>
    <w:rsid w:val="00A200E4"/>
    <w:rsid w:val="00A51D6A"/>
    <w:rsid w:val="00A90B9F"/>
    <w:rsid w:val="00AE168A"/>
    <w:rsid w:val="00B44197"/>
    <w:rsid w:val="00B675E7"/>
    <w:rsid w:val="00B808C9"/>
    <w:rsid w:val="00B93431"/>
    <w:rsid w:val="00BA42C5"/>
    <w:rsid w:val="00BD5A44"/>
    <w:rsid w:val="00C05416"/>
    <w:rsid w:val="00C455C6"/>
    <w:rsid w:val="00CA6679"/>
    <w:rsid w:val="00CF213D"/>
    <w:rsid w:val="00D354CF"/>
    <w:rsid w:val="00D70EA8"/>
    <w:rsid w:val="00D83D72"/>
    <w:rsid w:val="00DA258B"/>
    <w:rsid w:val="00DA3267"/>
    <w:rsid w:val="00DB7377"/>
    <w:rsid w:val="00DC755B"/>
    <w:rsid w:val="00DF3FE8"/>
    <w:rsid w:val="00DF5AA7"/>
    <w:rsid w:val="00EC28AA"/>
    <w:rsid w:val="00EE4202"/>
    <w:rsid w:val="00F459BC"/>
    <w:rsid w:val="00F572A9"/>
    <w:rsid w:val="00F97CC0"/>
    <w:rsid w:val="00FA5BA8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C6D28A"/>
  <w15:docId w15:val="{D9AA60CE-4F94-47C4-93FD-F8626AF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CF"/>
    <w:rPr>
      <w:rFonts w:cs="Arial"/>
      <w:sz w:val="24"/>
    </w:rPr>
  </w:style>
  <w:style w:type="paragraph" w:styleId="Heading1">
    <w:name w:val="heading 1"/>
    <w:basedOn w:val="Normal"/>
    <w:next w:val="Normal"/>
    <w:qFormat/>
    <w:rsid w:val="00D354CF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outlineLvl w:val="0"/>
    </w:pPr>
    <w:rPr>
      <w:rFonts w:cs="Times New Roman"/>
      <w:b/>
      <w:caps/>
      <w:sz w:val="28"/>
    </w:rPr>
  </w:style>
  <w:style w:type="paragraph" w:styleId="Heading2">
    <w:name w:val="heading 2"/>
    <w:basedOn w:val="Normal"/>
    <w:next w:val="Normal"/>
    <w:qFormat/>
    <w:rsid w:val="00D354CF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354C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3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5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354CF"/>
  </w:style>
  <w:style w:type="paragraph" w:customStyle="1" w:styleId="ManualBodyText">
    <w:name w:val="Manual Body Text"/>
    <w:basedOn w:val="Normal"/>
    <w:rsid w:val="00D354CF"/>
  </w:style>
  <w:style w:type="paragraph" w:customStyle="1" w:styleId="Style3">
    <w:name w:val="Style3"/>
    <w:basedOn w:val="Normal"/>
    <w:rsid w:val="00D354CF"/>
    <w:pPr>
      <w:ind w:left="720"/>
    </w:pPr>
    <w:rPr>
      <w:rFonts w:cs="Times New Roman"/>
      <w:b/>
    </w:rPr>
  </w:style>
  <w:style w:type="paragraph" w:customStyle="1" w:styleId="Style4">
    <w:name w:val="Style4"/>
    <w:basedOn w:val="Heading2"/>
    <w:rsid w:val="00D354CF"/>
    <w:rPr>
      <w:b w:val="0"/>
      <w:caps w:val="0"/>
    </w:rPr>
  </w:style>
  <w:style w:type="paragraph" w:customStyle="1" w:styleId="Style5">
    <w:name w:val="Style5"/>
    <w:basedOn w:val="Style4"/>
    <w:rsid w:val="00D354CF"/>
    <w:pPr>
      <w:ind w:firstLine="720"/>
    </w:pPr>
    <w:rPr>
      <w:rFonts w:eastAsia="MS Mincho"/>
    </w:rPr>
  </w:style>
  <w:style w:type="paragraph" w:styleId="BodyTextIndent2">
    <w:name w:val="Body Text Indent 2"/>
    <w:basedOn w:val="Normal"/>
    <w:semiHidden/>
    <w:rsid w:val="00D354CF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3600" w:hanging="3600"/>
      <w:jc w:val="both"/>
    </w:pPr>
    <w:rPr>
      <w:rFonts w:cs="Times New Roman"/>
    </w:rPr>
  </w:style>
  <w:style w:type="paragraph" w:styleId="DocumentMap">
    <w:name w:val="Document Map"/>
    <w:basedOn w:val="Normal"/>
    <w:semiHidden/>
    <w:rsid w:val="00D354CF"/>
    <w:pPr>
      <w:shd w:val="clear" w:color="auto" w:fill="000080"/>
    </w:pPr>
    <w:rPr>
      <w:rFonts w:ascii="Tahoma" w:hAnsi="Tahoma" w:cs="Tahom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A3267"/>
    <w:pPr>
      <w:tabs>
        <w:tab w:val="left" w:pos="900"/>
        <w:tab w:val="right" w:leader="dot" w:pos="9580"/>
      </w:tabs>
    </w:pPr>
    <w:rPr>
      <w:rFonts w:ascii="Times New Roman Bold" w:hAnsi="Times New Roman Bold"/>
      <w:b/>
    </w:rPr>
  </w:style>
  <w:style w:type="paragraph" w:styleId="ListParagraph">
    <w:name w:val="List Paragraph"/>
    <w:basedOn w:val="Normal"/>
    <w:uiPriority w:val="34"/>
    <w:qFormat/>
    <w:rsid w:val="00DA3267"/>
    <w:pPr>
      <w:ind w:left="720"/>
    </w:pPr>
    <w:rPr>
      <w:rFonts w:cs="Times New Roman"/>
      <w:sz w:val="20"/>
    </w:rPr>
  </w:style>
  <w:style w:type="paragraph" w:customStyle="1" w:styleId="Heading4">
    <w:name w:val="Heading4"/>
    <w:basedOn w:val="Normal"/>
    <w:rsid w:val="00DC755B"/>
    <w:rPr>
      <w:b/>
    </w:rPr>
  </w:style>
  <w:style w:type="paragraph" w:customStyle="1" w:styleId="Heading5">
    <w:name w:val="Heading5"/>
    <w:basedOn w:val="Normal"/>
    <w:rsid w:val="00DC755B"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A8"/>
    <w:rPr>
      <w:rFonts w:ascii="Segoe UI" w:hAnsi="Segoe UI" w:cs="Segoe UI"/>
      <w:sz w:val="18"/>
      <w:szCs w:val="18"/>
    </w:rPr>
  </w:style>
  <w:style w:type="paragraph" w:customStyle="1" w:styleId="CM8">
    <w:name w:val="CM8"/>
    <w:basedOn w:val="Normal"/>
    <w:next w:val="Normal"/>
    <w:uiPriority w:val="99"/>
    <w:rsid w:val="0068539F"/>
    <w:pPr>
      <w:autoSpaceDE w:val="0"/>
      <w:autoSpaceDN w:val="0"/>
      <w:adjustRightInd w:val="0"/>
    </w:pPr>
    <w:rPr>
      <w:rFonts w:ascii="IRYJV K+ Times New Roman," w:eastAsia="Calibri" w:hAnsi="IRYJV K+ Times New Roman,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8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8E8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8E8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E166-BBC9-40FF-81F5-47AE2998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AGRICULTURAL COMMISSION</vt:lpstr>
      <vt:lpstr>    Hiring AND PROMOTIONAL Incentive Pilot program POLICY</vt:lpstr>
    </vt:vector>
  </TitlesOfParts>
  <Company>County of Napa</Company>
  <LinksUpToDate>false</LinksUpToDate>
  <CharactersWithSpaces>10371</CharactersWithSpaces>
  <SharedDoc>false</SharedDoc>
  <HLinks>
    <vt:vector size="18" baseType="variant">
      <vt:variant>
        <vt:i4>3735659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Files\Common Files\Microsoft Shared\Clipart\themes1\lines\bd15155_.gif</vt:lpwstr>
      </vt:variant>
      <vt:variant>
        <vt:lpwstr/>
      </vt:variant>
      <vt:variant>
        <vt:i4>3735659</vt:i4>
      </vt:variant>
      <vt:variant>
        <vt:i4>-1</vt:i4>
      </vt:variant>
      <vt:variant>
        <vt:i4>2050</vt:i4>
      </vt:variant>
      <vt:variant>
        <vt:i4>1</vt:i4>
      </vt:variant>
      <vt:variant>
        <vt:lpwstr>C:\Program Files\Common Files\Microsoft Shared\Clipart\themes1\lines\bd15155_.gif</vt:lpwstr>
      </vt:variant>
      <vt:variant>
        <vt:lpwstr/>
      </vt:variant>
      <vt:variant>
        <vt:i4>3735659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Files\Common Files\Microsoft Shared\Clipart\themes1\lines\bd15155_.gif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COMMISSION</dc:title>
  <dc:creator>nwilloug</dc:creator>
  <cp:lastModifiedBy>Morgan, Greg</cp:lastModifiedBy>
  <cp:revision>10</cp:revision>
  <cp:lastPrinted>2018-10-16T16:39:00Z</cp:lastPrinted>
  <dcterms:created xsi:type="dcterms:W3CDTF">2018-10-01T20:16:00Z</dcterms:created>
  <dcterms:modified xsi:type="dcterms:W3CDTF">2018-10-16T16:39:00Z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BFultz</vt:lpwstr>
  </property>
  <property fmtid="{D5CDD505-2E9C-101B-9397-08002B2CF9AE}" pid="3" name="SPSDescription">
    <vt:lpwstr>Hiring and Promotional Incentive Pilot Program, Effective October 1, 2017</vt:lpwstr>
  </property>
  <property fmtid="{D5CDD505-2E9C-101B-9397-08002B2CF9AE}" pid="4" name="Status">
    <vt:lpwstr>Final</vt:lpwstr>
  </property>
</Properties>
</file>