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4B02" w14:textId="52185947" w:rsidR="00B913CB" w:rsidRDefault="0044299A" w:rsidP="0044299A">
      <w:pPr>
        <w:jc w:val="center"/>
        <w:rPr>
          <w:sz w:val="56"/>
          <w:szCs w:val="56"/>
        </w:rPr>
      </w:pPr>
      <w:r w:rsidRPr="0044299A">
        <w:rPr>
          <w:noProof/>
          <w:sz w:val="56"/>
          <w:szCs w:val="56"/>
        </w:rPr>
        <mc:AlternateContent>
          <mc:Choice Requires="wps">
            <w:drawing>
              <wp:anchor distT="45720" distB="45720" distL="114300" distR="114300" simplePos="0" relativeHeight="251661312" behindDoc="0" locked="0" layoutInCell="1" allowOverlap="1" wp14:anchorId="766CBF33" wp14:editId="73F98920">
                <wp:simplePos x="0" y="0"/>
                <wp:positionH relativeFrom="column">
                  <wp:posOffset>4533900</wp:posOffset>
                </wp:positionH>
                <wp:positionV relativeFrom="paragraph">
                  <wp:posOffset>113030</wp:posOffset>
                </wp:positionV>
                <wp:extent cx="2105025" cy="400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00050"/>
                        </a:xfrm>
                        <a:prstGeom prst="rect">
                          <a:avLst/>
                        </a:prstGeom>
                        <a:solidFill>
                          <a:srgbClr val="FFFFFF"/>
                        </a:solidFill>
                        <a:ln w="9525">
                          <a:solidFill>
                            <a:srgbClr val="000000"/>
                          </a:solidFill>
                          <a:miter lim="800000"/>
                          <a:headEnd/>
                          <a:tailEnd/>
                        </a:ln>
                      </wps:spPr>
                      <wps:txbx>
                        <w:txbxContent>
                          <w:p w14:paraId="7757DBBE" w14:textId="6D90291A" w:rsidR="0044299A" w:rsidRPr="00B913CB" w:rsidRDefault="00B913CB">
                            <w:pPr>
                              <w:rPr>
                                <w:sz w:val="28"/>
                                <w:szCs w:val="28"/>
                              </w:rPr>
                            </w:pPr>
                            <w:r w:rsidRPr="00B913CB">
                              <w:rPr>
                                <w:sz w:val="28"/>
                                <w:szCs w:val="28"/>
                              </w:rPr>
                              <w:t xml:space="preserve">Attachment </w:t>
                            </w:r>
                            <w:r w:rsidR="00B575AE">
                              <w:rPr>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CBF33" id="_x0000_t202" coordsize="21600,21600" o:spt="202" path="m,l,21600r21600,l21600,xe">
                <v:stroke joinstyle="miter"/>
                <v:path gradientshapeok="t" o:connecttype="rect"/>
              </v:shapetype>
              <v:shape id="Text Box 2" o:spid="_x0000_s1026" type="#_x0000_t202" style="position:absolute;left:0;text-align:left;margin-left:357pt;margin-top:8.9pt;width:165.7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">
                <v:textbox>
                  <w:txbxContent>
                    <w:p w14:paraId="7757DBBE" w14:textId="6D90291A" w:rsidR="0044299A" w:rsidRPr="00B913CB" w:rsidRDefault="00B913CB">
                      <w:pPr>
                        <w:rPr>
                          <w:sz w:val="28"/>
                          <w:szCs w:val="28"/>
                        </w:rPr>
                      </w:pPr>
                      <w:r w:rsidRPr="00B913CB">
                        <w:rPr>
                          <w:sz w:val="28"/>
                          <w:szCs w:val="28"/>
                        </w:rPr>
                        <w:t xml:space="preserve">Attachment </w:t>
                      </w:r>
                      <w:r w:rsidR="00B575AE">
                        <w:rPr>
                          <w:sz w:val="28"/>
                          <w:szCs w:val="28"/>
                        </w:rPr>
                        <w:t>A</w:t>
                      </w:r>
                    </w:p>
                  </w:txbxContent>
                </v:textbox>
                <w10:wrap type="square"/>
              </v:shape>
            </w:pict>
          </mc:Fallback>
        </mc:AlternateContent>
      </w:r>
    </w:p>
    <w:p w14:paraId="450B82A7" w14:textId="77777777" w:rsidR="00B913CB" w:rsidRDefault="00B913CB" w:rsidP="0044299A">
      <w:pPr>
        <w:jc w:val="center"/>
        <w:rPr>
          <w:sz w:val="56"/>
          <w:szCs w:val="56"/>
        </w:rPr>
      </w:pPr>
    </w:p>
    <w:p w14:paraId="26BDF0B9" w14:textId="0B25D290" w:rsidR="0044299A" w:rsidRDefault="00903FFA" w:rsidP="0044299A">
      <w:pPr>
        <w:jc w:val="center"/>
        <w:rPr>
          <w:sz w:val="56"/>
          <w:szCs w:val="56"/>
        </w:rPr>
      </w:pPr>
      <w:r w:rsidRPr="00903FFA">
        <w:rPr>
          <w:sz w:val="56"/>
          <w:szCs w:val="56"/>
        </w:rPr>
        <w:t>Napa and Solano County</w:t>
      </w:r>
    </w:p>
    <w:p w14:paraId="690FDA35" w14:textId="63253DBA" w:rsidR="00903FFA" w:rsidRPr="00903FFA" w:rsidRDefault="00AE0418" w:rsidP="0044299A">
      <w:pPr>
        <w:jc w:val="center"/>
        <w:rPr>
          <w:sz w:val="56"/>
          <w:szCs w:val="56"/>
        </w:rPr>
      </w:pPr>
      <w:r>
        <w:rPr>
          <w:sz w:val="56"/>
          <w:szCs w:val="56"/>
        </w:rPr>
        <w:t>Joint P</w:t>
      </w:r>
      <w:r w:rsidR="00903FFA" w:rsidRPr="00903FFA">
        <w:rPr>
          <w:sz w:val="56"/>
          <w:szCs w:val="56"/>
        </w:rPr>
        <w:t>roposal to California Department of Aging</w:t>
      </w:r>
    </w:p>
    <w:p w14:paraId="2033050A" w14:textId="77777777" w:rsidR="00903FFA" w:rsidRDefault="00903FFA" w:rsidP="0044299A">
      <w:pPr>
        <w:jc w:val="center"/>
      </w:pPr>
      <w:r w:rsidRPr="00903FFA">
        <w:rPr>
          <w:sz w:val="56"/>
          <w:szCs w:val="56"/>
        </w:rPr>
        <w:t xml:space="preserve">Seeking Designation as the Area Agency on Aging for the Planning and Service </w:t>
      </w:r>
      <w:r>
        <w:rPr>
          <w:sz w:val="56"/>
          <w:szCs w:val="56"/>
        </w:rPr>
        <w:t>Area for Napa and Solano (PSA 28)</w:t>
      </w:r>
    </w:p>
    <w:p w14:paraId="38C7D521" w14:textId="77777777" w:rsidR="00903FFA" w:rsidRDefault="00903FFA" w:rsidP="00903FFA">
      <w:pPr>
        <w:jc w:val="center"/>
      </w:pPr>
    </w:p>
    <w:p w14:paraId="6548228F" w14:textId="0C79414D" w:rsidR="00903FFA" w:rsidRDefault="004F181E" w:rsidP="00903FFA">
      <w:pPr>
        <w:jc w:val="center"/>
      </w:pPr>
      <w:r>
        <w:rPr>
          <w:noProof/>
        </w:rPr>
        <w:drawing>
          <wp:inline distT="0" distB="0" distL="0" distR="0" wp14:anchorId="2ED115BD" wp14:editId="0750DB95">
            <wp:extent cx="4457700" cy="2804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0305" cy="2818829"/>
                    </a:xfrm>
                    <a:prstGeom prst="rect">
                      <a:avLst/>
                    </a:prstGeom>
                    <a:noFill/>
                    <a:ln>
                      <a:noFill/>
                    </a:ln>
                  </pic:spPr>
                </pic:pic>
              </a:graphicData>
            </a:graphic>
          </wp:inline>
        </w:drawing>
      </w:r>
    </w:p>
    <w:p w14:paraId="6C450586" w14:textId="6DB3CFE8" w:rsidR="00903FFA" w:rsidRDefault="0044299A" w:rsidP="00903FFA">
      <w:pPr>
        <w:jc w:val="center"/>
      </w:pPr>
      <w:r>
        <w:t>A</w:t>
      </w:r>
      <w:r w:rsidR="00903FFA">
        <w:t>pproved by Napa County Board of Supervisors August 1</w:t>
      </w:r>
      <w:r w:rsidR="002229E3">
        <w:t>4</w:t>
      </w:r>
      <w:r w:rsidR="00903FFA">
        <w:t>, 2018</w:t>
      </w:r>
    </w:p>
    <w:p w14:paraId="2EF1D420" w14:textId="5ECDAD5B" w:rsidR="00903FFA" w:rsidRDefault="00903FFA" w:rsidP="00903FFA">
      <w:pPr>
        <w:jc w:val="center"/>
      </w:pPr>
      <w:r>
        <w:t>Approved by Solano County Board of Supervisors August 1</w:t>
      </w:r>
      <w:r w:rsidR="002229E3">
        <w:t>4</w:t>
      </w:r>
      <w:r>
        <w:t>, 2018</w:t>
      </w:r>
    </w:p>
    <w:p w14:paraId="0E639F94" w14:textId="77777777" w:rsidR="00903FFA" w:rsidRDefault="00903FFA">
      <w:r>
        <w:br w:type="page"/>
      </w:r>
    </w:p>
    <w:p w14:paraId="1EED9CFA" w14:textId="77777777" w:rsidR="001131BB" w:rsidRDefault="001131BB" w:rsidP="00257A74">
      <w:pPr>
        <w:jc w:val="both"/>
        <w:rPr>
          <w:b/>
        </w:rPr>
      </w:pPr>
      <w:r>
        <w:rPr>
          <w:b/>
        </w:rPr>
        <w:lastRenderedPageBreak/>
        <w:t>INTRODUCTION:</w:t>
      </w:r>
    </w:p>
    <w:p w14:paraId="1CABDCBE" w14:textId="7CA78F7C" w:rsidR="00903FFA" w:rsidRDefault="00903FFA" w:rsidP="00257A74">
      <w:pPr>
        <w:jc w:val="both"/>
      </w:pPr>
      <w:r>
        <w:t xml:space="preserve">In April 2018, </w:t>
      </w:r>
      <w:r w:rsidR="001131BB">
        <w:t>the Area Agency on Aging for Napa and Solano, a non-profit organization, notified the State of California Department of Aging (CDA) that</w:t>
      </w:r>
      <w:r w:rsidR="001E7100">
        <w:t xml:space="preserve"> it</w:t>
      </w:r>
      <w:r w:rsidR="001131BB">
        <w:t xml:space="preserve"> would be relinquishing </w:t>
      </w:r>
      <w:r w:rsidR="001E7100">
        <w:t xml:space="preserve">its </w:t>
      </w:r>
      <w:r w:rsidR="001131BB">
        <w:t xml:space="preserve">designation as the Area Agency on Aging (AAA) for the Planning and Service Area for Napa and Solano (PSA 28), effective June </w:t>
      </w:r>
      <w:r w:rsidR="001E7100">
        <w:t>3</w:t>
      </w:r>
      <w:r w:rsidR="001131BB">
        <w:t>0, 2018.  Both counties submitted letter</w:t>
      </w:r>
      <w:r w:rsidR="001E7100">
        <w:t>s</w:t>
      </w:r>
      <w:r w:rsidR="001131BB">
        <w:t xml:space="preserve"> </w:t>
      </w:r>
      <w:r w:rsidR="002229E3">
        <w:t>of intent</w:t>
      </w:r>
      <w:r w:rsidR="001131BB">
        <w:t xml:space="preserve"> to</w:t>
      </w:r>
      <w:r w:rsidR="000A7130">
        <w:t xml:space="preserve"> CDA to</w:t>
      </w:r>
      <w:r w:rsidR="001131BB">
        <w:t xml:space="preserve"> seek the designation and this proposal is to continue the designation process by demonstrating both entities</w:t>
      </w:r>
      <w:r w:rsidR="001E7100">
        <w:t>’</w:t>
      </w:r>
      <w:r w:rsidR="001131BB">
        <w:t xml:space="preserve"> abilities to fulfill the federally mandated requirements.  </w:t>
      </w:r>
    </w:p>
    <w:p w14:paraId="0840282A" w14:textId="77777777" w:rsidR="001131BB" w:rsidRPr="00653DFD" w:rsidRDefault="00860A11" w:rsidP="00257A74">
      <w:pPr>
        <w:jc w:val="both"/>
        <w:rPr>
          <w:b/>
        </w:rPr>
      </w:pPr>
      <w:r w:rsidRPr="00653DFD">
        <w:rPr>
          <w:b/>
        </w:rPr>
        <w:t>FINANCIAL RECORDS</w:t>
      </w:r>
    </w:p>
    <w:p w14:paraId="20517D25" w14:textId="77777777" w:rsidR="00860A11" w:rsidRPr="00653DFD" w:rsidRDefault="00860A11" w:rsidP="00257A74">
      <w:pPr>
        <w:jc w:val="both"/>
        <w:rPr>
          <w:u w:val="single"/>
        </w:rPr>
      </w:pPr>
      <w:r w:rsidRPr="00653DFD">
        <w:rPr>
          <w:u w:val="single"/>
        </w:rPr>
        <w:t>Single Audit:</w:t>
      </w:r>
    </w:p>
    <w:p w14:paraId="713ABC85" w14:textId="77777777" w:rsidR="00772B11" w:rsidRPr="00653DFD" w:rsidRDefault="00860A11" w:rsidP="00257A74">
      <w:pPr>
        <w:jc w:val="both"/>
      </w:pPr>
      <w:r w:rsidRPr="00653DFD">
        <w:t xml:space="preserve">The most recent Single Audit for Napa County is attached as </w:t>
      </w:r>
      <w:r w:rsidR="002229E3" w:rsidRPr="00653DFD">
        <w:t>E</w:t>
      </w:r>
      <w:r w:rsidRPr="00653DFD">
        <w:t xml:space="preserve">xhibit A, and can be found here: </w:t>
      </w:r>
      <w:hyperlink r:id="rId9" w:history="1">
        <w:r w:rsidR="00772B11" w:rsidRPr="00653DFD">
          <w:rPr>
            <w:rStyle w:val="Hyperlink"/>
            <w:color w:val="auto"/>
          </w:rPr>
          <w:t>http://ca-napacounty.civicplus.com/ArchiveCenter/ViewFile/Item/511</w:t>
        </w:r>
      </w:hyperlink>
    </w:p>
    <w:p w14:paraId="755F307A" w14:textId="4941681B" w:rsidR="00860A11" w:rsidRPr="00653DFD" w:rsidRDefault="00860A11" w:rsidP="00257A74">
      <w:pPr>
        <w:jc w:val="both"/>
      </w:pPr>
      <w:r w:rsidRPr="00653DFD">
        <w:t xml:space="preserve">The most recent Single Audit for Solano County is attached as </w:t>
      </w:r>
      <w:r w:rsidR="002229E3" w:rsidRPr="00653DFD">
        <w:t>E</w:t>
      </w:r>
      <w:r w:rsidRPr="00653DFD">
        <w:t xml:space="preserve">xhibit B, and can be found here: </w:t>
      </w:r>
      <w:hyperlink r:id="rId10" w:history="1">
        <w:r w:rsidR="00772B11" w:rsidRPr="00653DFD">
          <w:rPr>
            <w:rStyle w:val="Hyperlink"/>
            <w:color w:val="auto"/>
          </w:rPr>
          <w:t>https://www.solanocounty.com/civicax/filebank/blobdload.aspx?BlobID=27957</w:t>
        </w:r>
      </w:hyperlink>
    </w:p>
    <w:p w14:paraId="5FD3A364" w14:textId="77777777" w:rsidR="00860A11" w:rsidRPr="00653DFD" w:rsidRDefault="00860A11" w:rsidP="00257A74">
      <w:pPr>
        <w:jc w:val="both"/>
        <w:rPr>
          <w:u w:val="single"/>
        </w:rPr>
      </w:pPr>
      <w:r w:rsidRPr="00653DFD">
        <w:rPr>
          <w:u w:val="single"/>
        </w:rPr>
        <w:t>County Budget Summary:</w:t>
      </w:r>
    </w:p>
    <w:p w14:paraId="4BFB9804" w14:textId="77777777" w:rsidR="00257A74" w:rsidRPr="00653DFD" w:rsidRDefault="00860A11" w:rsidP="00257A74">
      <w:pPr>
        <w:jc w:val="both"/>
      </w:pPr>
      <w:r w:rsidRPr="00653DFD">
        <w:t>The FY 2018</w:t>
      </w:r>
      <w:r w:rsidR="002229E3" w:rsidRPr="00653DFD">
        <w:t>/</w:t>
      </w:r>
      <w:r w:rsidRPr="00653DFD">
        <w:t xml:space="preserve">19 Napa County Budget was adopted by the Board of Supervisors on June 19, 2018.  The adopted budget is $480 million, with the General Fund portion being $195 million.  The recommended budget can be accessed </w:t>
      </w:r>
      <w:r w:rsidR="00257A74" w:rsidRPr="00653DFD">
        <w:t>below:</w:t>
      </w:r>
    </w:p>
    <w:p w14:paraId="553022E5" w14:textId="07C5D7FC" w:rsidR="00860A11" w:rsidRPr="00653DFD" w:rsidRDefault="007572E1" w:rsidP="00257A74">
      <w:pPr>
        <w:jc w:val="both"/>
      </w:pPr>
      <w:hyperlink r:id="rId11" w:history="1">
        <w:r w:rsidR="00772B11" w:rsidRPr="00653DFD">
          <w:rPr>
            <w:rStyle w:val="Hyperlink"/>
            <w:color w:val="auto"/>
          </w:rPr>
          <w:t>https://www.countyofnapa.org/DocumentCenter/View/8678/2018-2019-FY-Recommended-Budget?bidId</w:t>
        </w:r>
      </w:hyperlink>
    </w:p>
    <w:p w14:paraId="0260F0B0" w14:textId="09628A59" w:rsidR="00257A74" w:rsidRPr="00653DFD" w:rsidRDefault="00860A11" w:rsidP="00257A74">
      <w:pPr>
        <w:jc w:val="both"/>
      </w:pPr>
      <w:r w:rsidRPr="00653DFD">
        <w:t>The FY 2018</w:t>
      </w:r>
      <w:r w:rsidR="002229E3" w:rsidRPr="00653DFD">
        <w:t>/</w:t>
      </w:r>
      <w:r w:rsidRPr="00653DFD">
        <w:t xml:space="preserve">19 Solano County Budget was adopted by the Board of Supervisors on June </w:t>
      </w:r>
      <w:r w:rsidR="00134961" w:rsidRPr="00653DFD">
        <w:t>19</w:t>
      </w:r>
      <w:r w:rsidRPr="00653DFD">
        <w:t>, 2018.  The adopted budget is $</w:t>
      </w:r>
      <w:r w:rsidR="00A72054" w:rsidRPr="00653DFD">
        <w:t>1.07 billion</w:t>
      </w:r>
      <w:r w:rsidRPr="00653DFD">
        <w:t>, with the General Fund portion being $</w:t>
      </w:r>
      <w:r w:rsidR="00A72054" w:rsidRPr="00653DFD">
        <w:t xml:space="preserve">290 </w:t>
      </w:r>
      <w:r w:rsidRPr="00653DFD">
        <w:t>million.  The recommended b</w:t>
      </w:r>
      <w:r w:rsidR="00257A74" w:rsidRPr="00653DFD">
        <w:t>udget can be accessed below:</w:t>
      </w:r>
    </w:p>
    <w:p w14:paraId="32B796CA" w14:textId="670336C3" w:rsidR="00860A11" w:rsidRPr="00653DFD" w:rsidRDefault="007572E1" w:rsidP="00257A74">
      <w:pPr>
        <w:jc w:val="both"/>
      </w:pPr>
      <w:hyperlink r:id="rId12" w:history="1">
        <w:r w:rsidR="00257A74" w:rsidRPr="00653DFD">
          <w:rPr>
            <w:rStyle w:val="Hyperlink"/>
            <w:color w:val="auto"/>
          </w:rPr>
          <w:t>https://www.solanocounty.com/civicax/filebank/blobdload.aspx?BlobID=28604</w:t>
        </w:r>
      </w:hyperlink>
    </w:p>
    <w:p w14:paraId="482096ED" w14:textId="77777777" w:rsidR="00860A11" w:rsidRPr="00653DFD" w:rsidRDefault="00860A11" w:rsidP="00257A74">
      <w:pPr>
        <w:jc w:val="both"/>
        <w:rPr>
          <w:u w:val="single"/>
        </w:rPr>
      </w:pPr>
      <w:r w:rsidRPr="00653DFD">
        <w:rPr>
          <w:u w:val="single"/>
        </w:rPr>
        <w:t>Proposed budget for AAA:</w:t>
      </w:r>
    </w:p>
    <w:p w14:paraId="254AF03F" w14:textId="609A7A73" w:rsidR="00860A11" w:rsidRDefault="00EB074B" w:rsidP="00224FFB">
      <w:r>
        <w:t>See Exhibit C</w:t>
      </w:r>
      <w:r w:rsidR="00224FFB">
        <w:t xml:space="preserve"> for the total funding available from CDA and Exhibit D for the proposed administrative budget</w:t>
      </w:r>
      <w:r>
        <w:t>.</w:t>
      </w:r>
      <w:r w:rsidR="00224FFB">
        <w:t xml:space="preserve">  The match requirements for the administrative budget are based on the current population figures from CDA, found here: </w:t>
      </w:r>
      <w:hyperlink r:id="rId13" w:history="1">
        <w:r w:rsidR="00224FFB" w:rsidRPr="002A6BF5">
          <w:rPr>
            <w:rStyle w:val="Hyperlink"/>
          </w:rPr>
          <w:t>https://cda.ca.gov/docs/DataAndStatistics/Statistics/IFF/2018%20Population%20Demographic%20Projections.pdf</w:t>
        </w:r>
      </w:hyperlink>
    </w:p>
    <w:p w14:paraId="46EF54D0" w14:textId="77777777" w:rsidR="00860A11" w:rsidRPr="00257A74" w:rsidRDefault="00860A11" w:rsidP="00257A74">
      <w:pPr>
        <w:jc w:val="both"/>
      </w:pPr>
      <w:r w:rsidRPr="00257A74">
        <w:rPr>
          <w:b/>
        </w:rPr>
        <w:t>ORGANIZATIONAL STRUCTURE</w:t>
      </w:r>
    </w:p>
    <w:p w14:paraId="2B336AA2" w14:textId="1724039B" w:rsidR="00860A11" w:rsidRPr="00257A74" w:rsidRDefault="00410AF7" w:rsidP="00257A74">
      <w:pPr>
        <w:jc w:val="both"/>
      </w:pPr>
      <w:r w:rsidRPr="00257A74">
        <w:t xml:space="preserve">Exhibit </w:t>
      </w:r>
      <w:r w:rsidR="00224FFB">
        <w:t>E</w:t>
      </w:r>
      <w:r w:rsidRPr="00257A74">
        <w:t xml:space="preserve"> shows the </w:t>
      </w:r>
      <w:r w:rsidR="005230AD">
        <w:t>new organizational structure.</w:t>
      </w:r>
    </w:p>
    <w:p w14:paraId="6E8EA5D6" w14:textId="5251FC97" w:rsidR="00860A11" w:rsidRPr="00257A74" w:rsidRDefault="00257A74" w:rsidP="00257A74">
      <w:pPr>
        <w:jc w:val="both"/>
        <w:rPr>
          <w:u w:val="single"/>
        </w:rPr>
      </w:pPr>
      <w:r>
        <w:rPr>
          <w:u w:val="single"/>
        </w:rPr>
        <w:t>Oversight/</w:t>
      </w:r>
      <w:r w:rsidR="00860A11" w:rsidRPr="00257A74">
        <w:rPr>
          <w:u w:val="single"/>
        </w:rPr>
        <w:t>Governing Board:</w:t>
      </w:r>
      <w:r w:rsidR="00706A53" w:rsidRPr="00257A74">
        <w:rPr>
          <w:u w:val="single"/>
        </w:rPr>
        <w:t xml:space="preserve"> </w:t>
      </w:r>
    </w:p>
    <w:p w14:paraId="717CEC8A" w14:textId="11EF3767" w:rsidR="00706A53" w:rsidRPr="00257A74" w:rsidRDefault="00706A53" w:rsidP="00257A74">
      <w:pPr>
        <w:jc w:val="both"/>
      </w:pPr>
      <w:r w:rsidRPr="00257A74">
        <w:t xml:space="preserve">The </w:t>
      </w:r>
      <w:r w:rsidR="00257A74">
        <w:t>Oversight/</w:t>
      </w:r>
      <w:r w:rsidRPr="00257A74">
        <w:t>Governing Board will consist of 7 members, as follows:</w:t>
      </w:r>
    </w:p>
    <w:p w14:paraId="608B5641" w14:textId="77777777" w:rsidR="00706A53" w:rsidRPr="00257A74" w:rsidRDefault="00706A53" w:rsidP="00257A74">
      <w:pPr>
        <w:pStyle w:val="ListParagraph"/>
        <w:numPr>
          <w:ilvl w:val="0"/>
          <w:numId w:val="3"/>
        </w:numPr>
        <w:jc w:val="both"/>
      </w:pPr>
      <w:r w:rsidRPr="00257A74">
        <w:t>1 member of the Board of Supervisors of each county, appointed by the respective Board of Supervisors.</w:t>
      </w:r>
    </w:p>
    <w:p w14:paraId="5C78D9A6" w14:textId="77777777" w:rsidR="00706A53" w:rsidRPr="00257A74" w:rsidRDefault="00706A53" w:rsidP="00257A74">
      <w:pPr>
        <w:pStyle w:val="ListParagraph"/>
        <w:numPr>
          <w:ilvl w:val="0"/>
          <w:numId w:val="3"/>
        </w:numPr>
        <w:jc w:val="both"/>
      </w:pPr>
      <w:r w:rsidRPr="00257A74">
        <w:lastRenderedPageBreak/>
        <w:t>1 member of a city council from each county, appointed using existing joint appointment processes.</w:t>
      </w:r>
    </w:p>
    <w:p w14:paraId="23428D93" w14:textId="77777777" w:rsidR="00706A53" w:rsidRPr="00257A74" w:rsidRDefault="00706A53" w:rsidP="00257A74">
      <w:pPr>
        <w:pStyle w:val="ListParagraph"/>
        <w:numPr>
          <w:ilvl w:val="0"/>
          <w:numId w:val="3"/>
        </w:numPr>
        <w:jc w:val="both"/>
      </w:pPr>
      <w:r w:rsidRPr="00257A74">
        <w:t>1 resident over the age of 60 from each county, appointed by the respective Board of Supervisors.</w:t>
      </w:r>
    </w:p>
    <w:p w14:paraId="4B3DF2D4" w14:textId="77777777" w:rsidR="00706A53" w:rsidRPr="00257A74" w:rsidRDefault="00706A53" w:rsidP="00257A74">
      <w:pPr>
        <w:pStyle w:val="ListParagraph"/>
        <w:numPr>
          <w:ilvl w:val="0"/>
          <w:numId w:val="3"/>
        </w:numPr>
        <w:jc w:val="both"/>
      </w:pPr>
      <w:r w:rsidRPr="00257A74">
        <w:t>1 representative of senior service providers, appointed jointly by both Boards of Supervisors.</w:t>
      </w:r>
    </w:p>
    <w:p w14:paraId="22999239" w14:textId="77777777" w:rsidR="00260C9F" w:rsidRPr="00257A74" w:rsidRDefault="00860A11" w:rsidP="00257A74">
      <w:pPr>
        <w:jc w:val="both"/>
      </w:pPr>
      <w:r w:rsidRPr="00257A74">
        <w:rPr>
          <w:u w:val="single"/>
        </w:rPr>
        <w:t>Advisory Council:</w:t>
      </w:r>
      <w:r w:rsidRPr="00257A74">
        <w:t xml:space="preserve">  </w:t>
      </w:r>
    </w:p>
    <w:p w14:paraId="5B158455" w14:textId="1B8B2D92" w:rsidR="00260C9F" w:rsidRPr="00257A74" w:rsidRDefault="00260C9F" w:rsidP="00257A74">
      <w:pPr>
        <w:jc w:val="both"/>
      </w:pPr>
      <w:r w:rsidRPr="00257A74">
        <w:t xml:space="preserve">The Advisory Council will be made up of 16 members, with the Board of Supervisors in each County responsible for appointing 8.  Advisory Council members will serve </w:t>
      </w:r>
      <w:r w:rsidR="00257A74" w:rsidRPr="00257A74">
        <w:t>4</w:t>
      </w:r>
      <w:r w:rsidR="00257A74">
        <w:t xml:space="preserve"> </w:t>
      </w:r>
      <w:r w:rsidR="00257A74" w:rsidRPr="00257A74">
        <w:t>year</w:t>
      </w:r>
      <w:r w:rsidRPr="00257A74">
        <w:t xml:space="preserve"> terms.  A majority of the Advisory Council members must be over the age of 60, and </w:t>
      </w:r>
      <w:r w:rsidR="002539EC" w:rsidRPr="00257A74">
        <w:t xml:space="preserve">the Advisory Council </w:t>
      </w:r>
      <w:r w:rsidRPr="00257A74">
        <w:t xml:space="preserve">should reflect the </w:t>
      </w:r>
      <w:r w:rsidR="002539EC" w:rsidRPr="00257A74">
        <w:t xml:space="preserve">racial and </w:t>
      </w:r>
      <w:r w:rsidRPr="00257A74">
        <w:t xml:space="preserve">ethnic </w:t>
      </w:r>
      <w:r w:rsidR="002539EC" w:rsidRPr="00257A74">
        <w:t xml:space="preserve">diversity </w:t>
      </w:r>
      <w:r w:rsidRPr="00257A74">
        <w:t>of the</w:t>
      </w:r>
      <w:r w:rsidR="002539EC" w:rsidRPr="00257A74">
        <w:t xml:space="preserve"> target</w:t>
      </w:r>
      <w:r w:rsidRPr="00257A74">
        <w:t xml:space="preserve"> population in Napa and Solano Counties</w:t>
      </w:r>
      <w:r w:rsidR="00224FFB">
        <w:t xml:space="preserve"> as shown below (from t</w:t>
      </w:r>
      <w:r w:rsidR="002539EC" w:rsidRPr="00257A74">
        <w:t>he Area Plan for PSA 28 2017, which has been approved by CDA</w:t>
      </w:r>
      <w:r w:rsidR="00224FFB">
        <w:t>)</w:t>
      </w:r>
    </w:p>
    <w:tbl>
      <w:tblPr>
        <w:tblStyle w:val="TableGrid"/>
        <w:tblW w:w="0" w:type="auto"/>
        <w:tblLayout w:type="fixed"/>
        <w:tblLook w:val="04A0" w:firstRow="1" w:lastRow="0" w:firstColumn="1" w:lastColumn="0" w:noHBand="0" w:noVBand="1"/>
      </w:tblPr>
      <w:tblGrid>
        <w:gridCol w:w="1191"/>
        <w:gridCol w:w="1189"/>
        <w:gridCol w:w="953"/>
        <w:gridCol w:w="979"/>
        <w:gridCol w:w="857"/>
        <w:gridCol w:w="857"/>
        <w:gridCol w:w="1102"/>
        <w:gridCol w:w="1260"/>
        <w:gridCol w:w="1188"/>
      </w:tblGrid>
      <w:tr w:rsidR="00257A74" w:rsidRPr="00257A74" w14:paraId="1F743B04" w14:textId="77777777" w:rsidTr="00B92115">
        <w:tc>
          <w:tcPr>
            <w:tcW w:w="1191" w:type="dxa"/>
          </w:tcPr>
          <w:p w14:paraId="63829B80" w14:textId="77777777" w:rsidR="002539EC" w:rsidRPr="00257A74" w:rsidRDefault="002539EC" w:rsidP="00257A74">
            <w:pPr>
              <w:jc w:val="both"/>
            </w:pPr>
            <w:r w:rsidRPr="00257A74">
              <w:t>County</w:t>
            </w:r>
          </w:p>
        </w:tc>
        <w:tc>
          <w:tcPr>
            <w:tcW w:w="1189" w:type="dxa"/>
          </w:tcPr>
          <w:p w14:paraId="2494698C" w14:textId="77777777" w:rsidR="002539EC" w:rsidRPr="00257A74" w:rsidRDefault="002539EC" w:rsidP="00257A74">
            <w:pPr>
              <w:jc w:val="both"/>
            </w:pPr>
            <w:r w:rsidRPr="00257A74">
              <w:t>Total Population</w:t>
            </w:r>
          </w:p>
        </w:tc>
        <w:tc>
          <w:tcPr>
            <w:tcW w:w="953" w:type="dxa"/>
          </w:tcPr>
          <w:p w14:paraId="6CA1F6D9" w14:textId="77777777" w:rsidR="002539EC" w:rsidRPr="00257A74" w:rsidRDefault="002539EC" w:rsidP="00257A74">
            <w:pPr>
              <w:jc w:val="both"/>
            </w:pPr>
            <w:r w:rsidRPr="00257A74">
              <w:t>White</w:t>
            </w:r>
          </w:p>
        </w:tc>
        <w:tc>
          <w:tcPr>
            <w:tcW w:w="979" w:type="dxa"/>
          </w:tcPr>
          <w:p w14:paraId="1C87DE9E" w14:textId="77777777" w:rsidR="002539EC" w:rsidRPr="00257A74" w:rsidRDefault="002539EC" w:rsidP="00257A74">
            <w:pPr>
              <w:jc w:val="both"/>
            </w:pPr>
            <w:r w:rsidRPr="00257A74">
              <w:t>Hispanic</w:t>
            </w:r>
          </w:p>
        </w:tc>
        <w:tc>
          <w:tcPr>
            <w:tcW w:w="857" w:type="dxa"/>
          </w:tcPr>
          <w:p w14:paraId="23740993" w14:textId="77777777" w:rsidR="002539EC" w:rsidRPr="00257A74" w:rsidRDefault="002539EC" w:rsidP="00257A74">
            <w:pPr>
              <w:jc w:val="both"/>
            </w:pPr>
            <w:r w:rsidRPr="00257A74">
              <w:t>Asian</w:t>
            </w:r>
          </w:p>
        </w:tc>
        <w:tc>
          <w:tcPr>
            <w:tcW w:w="857" w:type="dxa"/>
          </w:tcPr>
          <w:p w14:paraId="35A00C64" w14:textId="77777777" w:rsidR="002539EC" w:rsidRPr="00257A74" w:rsidRDefault="002539EC" w:rsidP="00257A74">
            <w:pPr>
              <w:jc w:val="both"/>
            </w:pPr>
            <w:r w:rsidRPr="00257A74">
              <w:t>Black</w:t>
            </w:r>
          </w:p>
        </w:tc>
        <w:tc>
          <w:tcPr>
            <w:tcW w:w="1102" w:type="dxa"/>
          </w:tcPr>
          <w:p w14:paraId="580836D0" w14:textId="77777777" w:rsidR="002539EC" w:rsidRPr="00257A74" w:rsidRDefault="002539EC" w:rsidP="00257A74">
            <w:pPr>
              <w:jc w:val="both"/>
            </w:pPr>
            <w:r w:rsidRPr="00257A74">
              <w:t>Native Hawaiian/Pacific Islander</w:t>
            </w:r>
          </w:p>
        </w:tc>
        <w:tc>
          <w:tcPr>
            <w:tcW w:w="1260" w:type="dxa"/>
          </w:tcPr>
          <w:p w14:paraId="4E2BA546" w14:textId="77777777" w:rsidR="002539EC" w:rsidRPr="00257A74" w:rsidRDefault="002539EC" w:rsidP="00257A74">
            <w:pPr>
              <w:jc w:val="both"/>
            </w:pPr>
            <w:r w:rsidRPr="00257A74">
              <w:t>American Indian</w:t>
            </w:r>
          </w:p>
        </w:tc>
        <w:tc>
          <w:tcPr>
            <w:tcW w:w="1188" w:type="dxa"/>
          </w:tcPr>
          <w:p w14:paraId="7B7054DA" w14:textId="77777777" w:rsidR="002539EC" w:rsidRPr="00257A74" w:rsidRDefault="002539EC" w:rsidP="00257A74">
            <w:pPr>
              <w:jc w:val="both"/>
            </w:pPr>
            <w:r w:rsidRPr="00257A74">
              <w:t>Other</w:t>
            </w:r>
          </w:p>
        </w:tc>
      </w:tr>
      <w:tr w:rsidR="00257A74" w:rsidRPr="00257A74" w14:paraId="62220DB6" w14:textId="77777777" w:rsidTr="00B92115">
        <w:tc>
          <w:tcPr>
            <w:tcW w:w="1191" w:type="dxa"/>
          </w:tcPr>
          <w:p w14:paraId="4908B9D5" w14:textId="77777777" w:rsidR="002539EC" w:rsidRPr="00257A74" w:rsidRDefault="002539EC" w:rsidP="00257A74">
            <w:pPr>
              <w:jc w:val="both"/>
            </w:pPr>
            <w:r w:rsidRPr="00257A74">
              <w:t>Napa</w:t>
            </w:r>
          </w:p>
        </w:tc>
        <w:tc>
          <w:tcPr>
            <w:tcW w:w="1189" w:type="dxa"/>
          </w:tcPr>
          <w:p w14:paraId="6ECDEEC0" w14:textId="77777777" w:rsidR="002539EC" w:rsidRPr="00257A74" w:rsidRDefault="002539EC" w:rsidP="00257A74">
            <w:pPr>
              <w:jc w:val="both"/>
            </w:pPr>
            <w:r w:rsidRPr="00257A74">
              <w:t>141,624</w:t>
            </w:r>
          </w:p>
        </w:tc>
        <w:tc>
          <w:tcPr>
            <w:tcW w:w="953" w:type="dxa"/>
          </w:tcPr>
          <w:p w14:paraId="6D4D3BCD" w14:textId="77777777" w:rsidR="002539EC" w:rsidRPr="00257A74" w:rsidRDefault="002539EC" w:rsidP="00257A74">
            <w:pPr>
              <w:jc w:val="both"/>
            </w:pPr>
            <w:r w:rsidRPr="00257A74">
              <w:t>74,069</w:t>
            </w:r>
          </w:p>
        </w:tc>
        <w:tc>
          <w:tcPr>
            <w:tcW w:w="979" w:type="dxa"/>
          </w:tcPr>
          <w:p w14:paraId="46FC11A5" w14:textId="77777777" w:rsidR="002539EC" w:rsidRPr="00257A74" w:rsidRDefault="002539EC" w:rsidP="00257A74">
            <w:pPr>
              <w:jc w:val="both"/>
            </w:pPr>
            <w:r w:rsidRPr="00257A74">
              <w:t>50,481</w:t>
            </w:r>
          </w:p>
        </w:tc>
        <w:tc>
          <w:tcPr>
            <w:tcW w:w="857" w:type="dxa"/>
          </w:tcPr>
          <w:p w14:paraId="4F3DCF9E" w14:textId="77777777" w:rsidR="002539EC" w:rsidRPr="00257A74" w:rsidRDefault="002539EC" w:rsidP="00257A74">
            <w:pPr>
              <w:jc w:val="both"/>
            </w:pPr>
            <w:r w:rsidRPr="00257A74">
              <w:t>10,713</w:t>
            </w:r>
          </w:p>
        </w:tc>
        <w:tc>
          <w:tcPr>
            <w:tcW w:w="857" w:type="dxa"/>
          </w:tcPr>
          <w:p w14:paraId="1152B0BA" w14:textId="77777777" w:rsidR="002539EC" w:rsidRPr="00257A74" w:rsidRDefault="002539EC" w:rsidP="00257A74">
            <w:pPr>
              <w:jc w:val="both"/>
            </w:pPr>
            <w:r w:rsidRPr="00257A74">
              <w:t>2,627</w:t>
            </w:r>
          </w:p>
        </w:tc>
        <w:tc>
          <w:tcPr>
            <w:tcW w:w="1102" w:type="dxa"/>
          </w:tcPr>
          <w:p w14:paraId="2C527842" w14:textId="77777777" w:rsidR="002539EC" w:rsidRPr="00257A74" w:rsidRDefault="002539EC" w:rsidP="00257A74">
            <w:pPr>
              <w:jc w:val="both"/>
            </w:pPr>
            <w:r w:rsidRPr="00257A74">
              <w:t>252</w:t>
            </w:r>
          </w:p>
        </w:tc>
        <w:tc>
          <w:tcPr>
            <w:tcW w:w="1260" w:type="dxa"/>
          </w:tcPr>
          <w:p w14:paraId="72DC47A7" w14:textId="77777777" w:rsidR="002539EC" w:rsidRPr="00257A74" w:rsidRDefault="002539EC" w:rsidP="00257A74">
            <w:pPr>
              <w:jc w:val="both"/>
            </w:pPr>
            <w:r w:rsidRPr="00257A74">
              <w:t>484</w:t>
            </w:r>
          </w:p>
        </w:tc>
        <w:tc>
          <w:tcPr>
            <w:tcW w:w="1188" w:type="dxa"/>
          </w:tcPr>
          <w:p w14:paraId="07B5BD0B" w14:textId="77777777" w:rsidR="002539EC" w:rsidRPr="00257A74" w:rsidRDefault="002539EC" w:rsidP="00257A74">
            <w:pPr>
              <w:jc w:val="both"/>
            </w:pPr>
            <w:r w:rsidRPr="00257A74">
              <w:t>2,998</w:t>
            </w:r>
          </w:p>
        </w:tc>
      </w:tr>
      <w:tr w:rsidR="00257A74" w:rsidRPr="00257A74" w14:paraId="1C495309" w14:textId="77777777" w:rsidTr="00B92115">
        <w:tc>
          <w:tcPr>
            <w:tcW w:w="1191" w:type="dxa"/>
          </w:tcPr>
          <w:p w14:paraId="4F74DA3B" w14:textId="77777777" w:rsidR="002539EC" w:rsidRPr="00257A74" w:rsidRDefault="002539EC" w:rsidP="00257A74">
            <w:pPr>
              <w:jc w:val="both"/>
            </w:pPr>
            <w:r w:rsidRPr="00257A74">
              <w:t>Solano</w:t>
            </w:r>
          </w:p>
        </w:tc>
        <w:tc>
          <w:tcPr>
            <w:tcW w:w="1189" w:type="dxa"/>
          </w:tcPr>
          <w:p w14:paraId="50E4DE7A" w14:textId="77777777" w:rsidR="002539EC" w:rsidRPr="00257A74" w:rsidRDefault="002539EC" w:rsidP="00257A74">
            <w:pPr>
              <w:jc w:val="both"/>
            </w:pPr>
            <w:r w:rsidRPr="00257A74">
              <w:t>437,309</w:t>
            </w:r>
          </w:p>
        </w:tc>
        <w:tc>
          <w:tcPr>
            <w:tcW w:w="953" w:type="dxa"/>
          </w:tcPr>
          <w:p w14:paraId="7737CE60" w14:textId="77777777" w:rsidR="002539EC" w:rsidRPr="00257A74" w:rsidRDefault="002539EC" w:rsidP="00257A74">
            <w:pPr>
              <w:jc w:val="both"/>
            </w:pPr>
            <w:r w:rsidRPr="00257A74">
              <w:t>167,214</w:t>
            </w:r>
          </w:p>
        </w:tc>
        <w:tc>
          <w:tcPr>
            <w:tcW w:w="979" w:type="dxa"/>
          </w:tcPr>
          <w:p w14:paraId="32F533D5" w14:textId="77777777" w:rsidR="002539EC" w:rsidRPr="00257A74" w:rsidRDefault="002539EC" w:rsidP="00257A74">
            <w:pPr>
              <w:jc w:val="both"/>
            </w:pPr>
            <w:r w:rsidRPr="00257A74">
              <w:t>116,062</w:t>
            </w:r>
          </w:p>
        </w:tc>
        <w:tc>
          <w:tcPr>
            <w:tcW w:w="857" w:type="dxa"/>
          </w:tcPr>
          <w:p w14:paraId="03D24F12" w14:textId="77777777" w:rsidR="002539EC" w:rsidRPr="00257A74" w:rsidRDefault="002539EC" w:rsidP="00257A74">
            <w:pPr>
              <w:jc w:val="both"/>
            </w:pPr>
            <w:r w:rsidRPr="00257A74">
              <w:t>62,481</w:t>
            </w:r>
          </w:p>
        </w:tc>
        <w:tc>
          <w:tcPr>
            <w:tcW w:w="857" w:type="dxa"/>
          </w:tcPr>
          <w:p w14:paraId="36300D1A" w14:textId="77777777" w:rsidR="002539EC" w:rsidRPr="00257A74" w:rsidRDefault="002539EC" w:rsidP="00257A74">
            <w:pPr>
              <w:jc w:val="both"/>
            </w:pPr>
            <w:r w:rsidRPr="00257A74">
              <w:t>62,315</w:t>
            </w:r>
          </w:p>
        </w:tc>
        <w:tc>
          <w:tcPr>
            <w:tcW w:w="1102" w:type="dxa"/>
          </w:tcPr>
          <w:p w14:paraId="6C7374AF" w14:textId="77777777" w:rsidR="002539EC" w:rsidRPr="00257A74" w:rsidRDefault="002539EC" w:rsidP="00257A74">
            <w:pPr>
              <w:jc w:val="both"/>
            </w:pPr>
            <w:r w:rsidRPr="00257A74">
              <w:t>3,495</w:t>
            </w:r>
          </w:p>
        </w:tc>
        <w:tc>
          <w:tcPr>
            <w:tcW w:w="1260" w:type="dxa"/>
          </w:tcPr>
          <w:p w14:paraId="24506067" w14:textId="77777777" w:rsidR="002539EC" w:rsidRPr="00257A74" w:rsidRDefault="002539EC" w:rsidP="00257A74">
            <w:pPr>
              <w:jc w:val="both"/>
            </w:pPr>
            <w:r w:rsidRPr="00257A74">
              <w:t>1,869</w:t>
            </w:r>
          </w:p>
        </w:tc>
        <w:tc>
          <w:tcPr>
            <w:tcW w:w="1188" w:type="dxa"/>
          </w:tcPr>
          <w:p w14:paraId="3A8F0897" w14:textId="77777777" w:rsidR="002539EC" w:rsidRPr="00257A74" w:rsidRDefault="002539EC" w:rsidP="00257A74">
            <w:pPr>
              <w:jc w:val="both"/>
            </w:pPr>
            <w:r w:rsidRPr="00257A74">
              <w:t>23,873</w:t>
            </w:r>
          </w:p>
        </w:tc>
      </w:tr>
      <w:tr w:rsidR="00257A74" w:rsidRPr="00257A74" w14:paraId="7630118F" w14:textId="77777777" w:rsidTr="00B92115">
        <w:tc>
          <w:tcPr>
            <w:tcW w:w="1191" w:type="dxa"/>
          </w:tcPr>
          <w:p w14:paraId="4403535D" w14:textId="77777777" w:rsidR="002539EC" w:rsidRPr="00257A74" w:rsidRDefault="002539EC" w:rsidP="00257A74">
            <w:pPr>
              <w:jc w:val="both"/>
            </w:pPr>
            <w:r w:rsidRPr="00257A74">
              <w:t>PSA 28 Total</w:t>
            </w:r>
          </w:p>
        </w:tc>
        <w:tc>
          <w:tcPr>
            <w:tcW w:w="1189" w:type="dxa"/>
          </w:tcPr>
          <w:p w14:paraId="4EA2017C" w14:textId="77777777" w:rsidR="002539EC" w:rsidRPr="00257A74" w:rsidRDefault="002539EC" w:rsidP="00257A74">
            <w:pPr>
              <w:jc w:val="both"/>
            </w:pPr>
            <w:r w:rsidRPr="00257A74">
              <w:t>578,933</w:t>
            </w:r>
          </w:p>
        </w:tc>
        <w:tc>
          <w:tcPr>
            <w:tcW w:w="953" w:type="dxa"/>
          </w:tcPr>
          <w:p w14:paraId="381FBEB3" w14:textId="77777777" w:rsidR="002539EC" w:rsidRPr="00257A74" w:rsidRDefault="002539EC" w:rsidP="00257A74">
            <w:pPr>
              <w:jc w:val="both"/>
            </w:pPr>
            <w:r w:rsidRPr="00257A74">
              <w:t>241,283</w:t>
            </w:r>
          </w:p>
        </w:tc>
        <w:tc>
          <w:tcPr>
            <w:tcW w:w="979" w:type="dxa"/>
          </w:tcPr>
          <w:p w14:paraId="34E3ABE6" w14:textId="77777777" w:rsidR="002539EC" w:rsidRPr="00257A74" w:rsidRDefault="002539EC" w:rsidP="00257A74">
            <w:pPr>
              <w:jc w:val="both"/>
            </w:pPr>
            <w:r w:rsidRPr="00257A74">
              <w:t>166,543</w:t>
            </w:r>
          </w:p>
        </w:tc>
        <w:tc>
          <w:tcPr>
            <w:tcW w:w="857" w:type="dxa"/>
          </w:tcPr>
          <w:p w14:paraId="1D466C5A" w14:textId="77777777" w:rsidR="002539EC" w:rsidRPr="00257A74" w:rsidRDefault="002539EC" w:rsidP="00257A74">
            <w:pPr>
              <w:jc w:val="both"/>
            </w:pPr>
            <w:r w:rsidRPr="00257A74">
              <w:t>73,194</w:t>
            </w:r>
          </w:p>
        </w:tc>
        <w:tc>
          <w:tcPr>
            <w:tcW w:w="857" w:type="dxa"/>
          </w:tcPr>
          <w:p w14:paraId="31B76B59" w14:textId="77777777" w:rsidR="002539EC" w:rsidRPr="00257A74" w:rsidRDefault="002539EC" w:rsidP="00257A74">
            <w:pPr>
              <w:jc w:val="both"/>
            </w:pPr>
            <w:r w:rsidRPr="00257A74">
              <w:t>64,942</w:t>
            </w:r>
          </w:p>
        </w:tc>
        <w:tc>
          <w:tcPr>
            <w:tcW w:w="1102" w:type="dxa"/>
          </w:tcPr>
          <w:p w14:paraId="649E0714" w14:textId="77777777" w:rsidR="002539EC" w:rsidRPr="00257A74" w:rsidRDefault="002539EC" w:rsidP="00257A74">
            <w:pPr>
              <w:jc w:val="both"/>
            </w:pPr>
            <w:r w:rsidRPr="00257A74">
              <w:t>3,747</w:t>
            </w:r>
          </w:p>
        </w:tc>
        <w:tc>
          <w:tcPr>
            <w:tcW w:w="1260" w:type="dxa"/>
          </w:tcPr>
          <w:p w14:paraId="1D826AA0" w14:textId="77777777" w:rsidR="002539EC" w:rsidRPr="00257A74" w:rsidRDefault="002539EC" w:rsidP="00257A74">
            <w:pPr>
              <w:jc w:val="both"/>
            </w:pPr>
            <w:r w:rsidRPr="00257A74">
              <w:t>2,353</w:t>
            </w:r>
          </w:p>
        </w:tc>
        <w:tc>
          <w:tcPr>
            <w:tcW w:w="1188" w:type="dxa"/>
          </w:tcPr>
          <w:p w14:paraId="2F41463B" w14:textId="77777777" w:rsidR="002539EC" w:rsidRPr="00257A74" w:rsidRDefault="002539EC" w:rsidP="00257A74">
            <w:pPr>
              <w:jc w:val="both"/>
            </w:pPr>
            <w:r w:rsidRPr="00257A74">
              <w:t>26,871</w:t>
            </w:r>
          </w:p>
        </w:tc>
      </w:tr>
      <w:tr w:rsidR="002539EC" w:rsidRPr="00257A74" w14:paraId="7AAE1920" w14:textId="77777777" w:rsidTr="00B92115">
        <w:tc>
          <w:tcPr>
            <w:tcW w:w="1191" w:type="dxa"/>
          </w:tcPr>
          <w:p w14:paraId="2D1E89C5" w14:textId="77777777" w:rsidR="002539EC" w:rsidRPr="00257A74" w:rsidRDefault="002539EC" w:rsidP="00257A74">
            <w:pPr>
              <w:jc w:val="both"/>
            </w:pPr>
            <w:r w:rsidRPr="00257A74">
              <w:t>% of total population</w:t>
            </w:r>
          </w:p>
        </w:tc>
        <w:tc>
          <w:tcPr>
            <w:tcW w:w="1189" w:type="dxa"/>
          </w:tcPr>
          <w:p w14:paraId="079816EC" w14:textId="77777777" w:rsidR="002539EC" w:rsidRPr="00257A74" w:rsidRDefault="002539EC" w:rsidP="00257A74">
            <w:pPr>
              <w:jc w:val="both"/>
            </w:pPr>
            <w:r w:rsidRPr="00257A74">
              <w:t>100%</w:t>
            </w:r>
          </w:p>
        </w:tc>
        <w:tc>
          <w:tcPr>
            <w:tcW w:w="953" w:type="dxa"/>
          </w:tcPr>
          <w:p w14:paraId="70B412BB" w14:textId="77777777" w:rsidR="002539EC" w:rsidRPr="00257A74" w:rsidRDefault="002539EC" w:rsidP="00257A74">
            <w:pPr>
              <w:jc w:val="both"/>
            </w:pPr>
            <w:r w:rsidRPr="00257A74">
              <w:t>42%</w:t>
            </w:r>
          </w:p>
        </w:tc>
        <w:tc>
          <w:tcPr>
            <w:tcW w:w="979" w:type="dxa"/>
          </w:tcPr>
          <w:p w14:paraId="473F7636" w14:textId="77777777" w:rsidR="002539EC" w:rsidRPr="00257A74" w:rsidRDefault="002539EC" w:rsidP="00257A74">
            <w:pPr>
              <w:jc w:val="both"/>
            </w:pPr>
            <w:r w:rsidRPr="00257A74">
              <w:t>29%</w:t>
            </w:r>
          </w:p>
        </w:tc>
        <w:tc>
          <w:tcPr>
            <w:tcW w:w="857" w:type="dxa"/>
          </w:tcPr>
          <w:p w14:paraId="68A6CD35" w14:textId="77777777" w:rsidR="002539EC" w:rsidRPr="00257A74" w:rsidRDefault="002539EC" w:rsidP="00257A74">
            <w:pPr>
              <w:jc w:val="both"/>
            </w:pPr>
            <w:r w:rsidRPr="00257A74">
              <w:t>13%</w:t>
            </w:r>
          </w:p>
        </w:tc>
        <w:tc>
          <w:tcPr>
            <w:tcW w:w="857" w:type="dxa"/>
          </w:tcPr>
          <w:p w14:paraId="621B510E" w14:textId="77777777" w:rsidR="002539EC" w:rsidRPr="00257A74" w:rsidRDefault="002539EC" w:rsidP="00257A74">
            <w:pPr>
              <w:jc w:val="both"/>
            </w:pPr>
            <w:r w:rsidRPr="00257A74">
              <w:t>11%</w:t>
            </w:r>
          </w:p>
        </w:tc>
        <w:tc>
          <w:tcPr>
            <w:tcW w:w="1102" w:type="dxa"/>
          </w:tcPr>
          <w:p w14:paraId="4D016804" w14:textId="77777777" w:rsidR="002539EC" w:rsidRPr="00257A74" w:rsidRDefault="002539EC" w:rsidP="00257A74">
            <w:pPr>
              <w:jc w:val="both"/>
            </w:pPr>
            <w:r w:rsidRPr="00257A74">
              <w:t>0.6%</w:t>
            </w:r>
          </w:p>
        </w:tc>
        <w:tc>
          <w:tcPr>
            <w:tcW w:w="1260" w:type="dxa"/>
          </w:tcPr>
          <w:p w14:paraId="4A004ACD" w14:textId="77777777" w:rsidR="002539EC" w:rsidRPr="00257A74" w:rsidRDefault="002539EC" w:rsidP="00257A74">
            <w:pPr>
              <w:jc w:val="both"/>
            </w:pPr>
            <w:r w:rsidRPr="00257A74">
              <w:t>0.4%</w:t>
            </w:r>
          </w:p>
        </w:tc>
        <w:tc>
          <w:tcPr>
            <w:tcW w:w="1188" w:type="dxa"/>
          </w:tcPr>
          <w:p w14:paraId="08428327" w14:textId="77777777" w:rsidR="002539EC" w:rsidRPr="00257A74" w:rsidRDefault="002539EC" w:rsidP="00257A74">
            <w:pPr>
              <w:jc w:val="both"/>
            </w:pPr>
            <w:r w:rsidRPr="00257A74">
              <w:t>5%</w:t>
            </w:r>
          </w:p>
        </w:tc>
      </w:tr>
    </w:tbl>
    <w:p w14:paraId="0406D60B" w14:textId="77777777" w:rsidR="002539EC" w:rsidRPr="00257A74" w:rsidRDefault="002539EC" w:rsidP="00257A74">
      <w:pPr>
        <w:jc w:val="both"/>
      </w:pPr>
    </w:p>
    <w:p w14:paraId="154E0963" w14:textId="3CE1F34A" w:rsidR="00260C9F" w:rsidRPr="00257A74" w:rsidRDefault="00C04FB2" w:rsidP="00257A74">
      <w:pPr>
        <w:jc w:val="both"/>
      </w:pPr>
      <w:r w:rsidRPr="00257A74">
        <w:t xml:space="preserve">In addition, efforts </w:t>
      </w:r>
      <w:r w:rsidR="002539EC" w:rsidRPr="00257A74">
        <w:t xml:space="preserve">will </w:t>
      </w:r>
      <w:r w:rsidRPr="00257A74">
        <w:t>be made to include the following:</w:t>
      </w:r>
    </w:p>
    <w:p w14:paraId="6DCAE6F1" w14:textId="77777777" w:rsidR="00C04FB2" w:rsidRPr="00257A74" w:rsidRDefault="00C04FB2" w:rsidP="00257A74">
      <w:pPr>
        <w:pStyle w:val="ListParagraph"/>
        <w:numPr>
          <w:ilvl w:val="0"/>
          <w:numId w:val="2"/>
        </w:numPr>
        <w:jc w:val="both"/>
      </w:pPr>
      <w:r w:rsidRPr="00257A74">
        <w:t>Low income representative</w:t>
      </w:r>
    </w:p>
    <w:p w14:paraId="1C0A8C70" w14:textId="77777777" w:rsidR="00C04FB2" w:rsidRPr="00257A74" w:rsidRDefault="00C04FB2" w:rsidP="00257A74">
      <w:pPr>
        <w:pStyle w:val="ListParagraph"/>
        <w:numPr>
          <w:ilvl w:val="0"/>
          <w:numId w:val="2"/>
        </w:numPr>
        <w:jc w:val="both"/>
      </w:pPr>
      <w:r w:rsidRPr="00257A74">
        <w:t>Disabled representative</w:t>
      </w:r>
    </w:p>
    <w:p w14:paraId="5BBA52EB" w14:textId="77777777" w:rsidR="00C04FB2" w:rsidRPr="00257A74" w:rsidRDefault="00C04FB2" w:rsidP="00257A74">
      <w:pPr>
        <w:pStyle w:val="ListParagraph"/>
        <w:numPr>
          <w:ilvl w:val="0"/>
          <w:numId w:val="2"/>
        </w:numPr>
        <w:jc w:val="both"/>
      </w:pPr>
      <w:r w:rsidRPr="00257A74">
        <w:t>Supportive services provider representative</w:t>
      </w:r>
    </w:p>
    <w:p w14:paraId="160BDDFC" w14:textId="77777777" w:rsidR="00C04FB2" w:rsidRPr="00257A74" w:rsidRDefault="00C04FB2" w:rsidP="00257A74">
      <w:pPr>
        <w:pStyle w:val="ListParagraph"/>
        <w:numPr>
          <w:ilvl w:val="0"/>
          <w:numId w:val="2"/>
        </w:numPr>
        <w:jc w:val="both"/>
      </w:pPr>
      <w:r w:rsidRPr="00257A74">
        <w:t>Health care provider representative</w:t>
      </w:r>
    </w:p>
    <w:p w14:paraId="604FD381" w14:textId="77777777" w:rsidR="00C04FB2" w:rsidRPr="00257A74" w:rsidRDefault="00C04FB2" w:rsidP="00257A74">
      <w:pPr>
        <w:pStyle w:val="ListParagraph"/>
        <w:numPr>
          <w:ilvl w:val="0"/>
          <w:numId w:val="2"/>
        </w:numPr>
        <w:jc w:val="both"/>
      </w:pPr>
      <w:r w:rsidRPr="00257A74">
        <w:t>Local elected officials</w:t>
      </w:r>
    </w:p>
    <w:p w14:paraId="7171D639" w14:textId="77777777" w:rsidR="00C04FB2" w:rsidRPr="00257A74" w:rsidRDefault="00C04FB2" w:rsidP="00257A74">
      <w:pPr>
        <w:pStyle w:val="ListParagraph"/>
        <w:numPr>
          <w:ilvl w:val="0"/>
          <w:numId w:val="2"/>
        </w:numPr>
        <w:jc w:val="both"/>
      </w:pPr>
      <w:r w:rsidRPr="00257A74">
        <w:t>Persons with leadership experience in the private and voluntary sectors</w:t>
      </w:r>
    </w:p>
    <w:p w14:paraId="37344B28" w14:textId="1F442604" w:rsidR="00C04FB2" w:rsidRPr="00257A74" w:rsidRDefault="005230AD" w:rsidP="00257A74">
      <w:pPr>
        <w:jc w:val="both"/>
      </w:pPr>
      <w:r>
        <w:t>By-laws have been drafted for the Advisory Council, and w</w:t>
      </w:r>
      <w:r w:rsidR="000F65A4">
        <w:t>ill be finalized by staff and approved by the newly-created Governing Board.</w:t>
      </w:r>
    </w:p>
    <w:p w14:paraId="6C342082" w14:textId="37E60FE4" w:rsidR="00742675" w:rsidRPr="00257A74" w:rsidRDefault="008E536C" w:rsidP="00257A74">
      <w:pPr>
        <w:jc w:val="both"/>
      </w:pPr>
      <w:r w:rsidRPr="00257A74">
        <w:t xml:space="preserve">The AAA services will be administered through the Comprehensive Services for Older Adults division of the Napa County Health and Human Services Agency.  </w:t>
      </w:r>
      <w:r w:rsidR="00742675" w:rsidRPr="00257A74">
        <w:t xml:space="preserve">The Napa Comprehensive Adult Services for Older Adults division and the Solano County </w:t>
      </w:r>
      <w:r w:rsidR="004A4661" w:rsidRPr="00257A74">
        <w:t>Health and Social Services</w:t>
      </w:r>
      <w:r w:rsidR="00BB0D73" w:rsidRPr="00257A74">
        <w:t xml:space="preserve"> Department</w:t>
      </w:r>
      <w:r w:rsidR="004A4661" w:rsidRPr="00257A74">
        <w:t xml:space="preserve">, Public Health </w:t>
      </w:r>
      <w:r w:rsidR="00BB0D73" w:rsidRPr="00257A74">
        <w:t>D</w:t>
      </w:r>
      <w:r w:rsidR="004A4661" w:rsidRPr="00257A74">
        <w:t xml:space="preserve">ivision, </w:t>
      </w:r>
      <w:r w:rsidR="00742675" w:rsidRPr="00257A74">
        <w:t xml:space="preserve">Older &amp; Disabled Adults Services </w:t>
      </w:r>
      <w:r w:rsidR="00BB0D73" w:rsidRPr="00257A74">
        <w:t>B</w:t>
      </w:r>
      <w:r w:rsidR="00742675" w:rsidRPr="00257A74">
        <w:t xml:space="preserve">ureau </w:t>
      </w:r>
      <w:r w:rsidR="00921EAB" w:rsidRPr="00257A74">
        <w:t xml:space="preserve">will coordinate AAA activities and services through a Joint Exercise of Powers Agreement </w:t>
      </w:r>
      <w:r w:rsidR="00257A74">
        <w:t xml:space="preserve">(Exhibit </w:t>
      </w:r>
      <w:r w:rsidR="007572E1">
        <w:t>F</w:t>
      </w:r>
      <w:r w:rsidR="00257A74">
        <w:t xml:space="preserve">) </w:t>
      </w:r>
      <w:r w:rsidR="00921EAB" w:rsidRPr="00257A74">
        <w:t>and respective program-level staff of both counties will communicate as needed to assure optimum service delivery</w:t>
      </w:r>
      <w:r w:rsidR="00742675" w:rsidRPr="00257A74">
        <w:t xml:space="preserve"> </w:t>
      </w:r>
    </w:p>
    <w:p w14:paraId="186B8021" w14:textId="77777777" w:rsidR="008E536C" w:rsidRPr="00257A74" w:rsidRDefault="008E536C" w:rsidP="00257A74">
      <w:pPr>
        <w:jc w:val="both"/>
      </w:pPr>
      <w:r w:rsidRPr="00257A74">
        <w:rPr>
          <w:b/>
        </w:rPr>
        <w:t>FACILITY</w:t>
      </w:r>
    </w:p>
    <w:p w14:paraId="6F1F2131" w14:textId="77777777" w:rsidR="008E536C" w:rsidRPr="00257A74" w:rsidRDefault="008E536C" w:rsidP="00257A74">
      <w:pPr>
        <w:jc w:val="both"/>
      </w:pPr>
      <w:r w:rsidRPr="00257A74">
        <w:t>Both Napa County and Solano County are subject to the Americans with Disabilities Act</w:t>
      </w:r>
      <w:r w:rsidR="00A96116" w:rsidRPr="00257A74">
        <w:t xml:space="preserve"> (ADA)</w:t>
      </w:r>
      <w:r w:rsidRPr="00257A74">
        <w:t xml:space="preserve">, and are currently housed in locations that are accessible to all.  In addition to taking such regulatory requirements </w:t>
      </w:r>
      <w:r w:rsidRPr="00257A74">
        <w:lastRenderedPageBreak/>
        <w:t>into consideration for site selection, we also consider access to transit and locations that are convenient for the individuals accessing the services.</w:t>
      </w:r>
    </w:p>
    <w:p w14:paraId="18493F47" w14:textId="77777777" w:rsidR="008E536C" w:rsidRPr="007A3407" w:rsidRDefault="008E536C" w:rsidP="00257A74">
      <w:pPr>
        <w:jc w:val="both"/>
      </w:pPr>
      <w:r w:rsidRPr="00257A74">
        <w:t>It is anticipated that most of the services bein</w:t>
      </w:r>
      <w:r w:rsidR="00A96116" w:rsidRPr="00257A74">
        <w:t xml:space="preserve">g provided by the AAA will be contracted out through Napa </w:t>
      </w:r>
      <w:r w:rsidR="00A96116" w:rsidRPr="007A3407">
        <w:t>County.  Napa County will include appropriate language in the procurement and contract documents to ensure compliance with the ADA, as well as ensuring access for the population served.</w:t>
      </w:r>
    </w:p>
    <w:p w14:paraId="1027F33E" w14:textId="77777777" w:rsidR="00A96116" w:rsidRPr="007A3407" w:rsidRDefault="00A96116" w:rsidP="00257A74">
      <w:pPr>
        <w:jc w:val="both"/>
      </w:pPr>
      <w:r w:rsidRPr="007A3407">
        <w:rPr>
          <w:b/>
        </w:rPr>
        <w:t>NUMBER AND QUALIFICATIONS OF AAA STAFF</w:t>
      </w:r>
    </w:p>
    <w:p w14:paraId="67AB3BB5" w14:textId="77777777" w:rsidR="00A96116" w:rsidRPr="007A3407" w:rsidRDefault="00A96116" w:rsidP="00257A74">
      <w:pPr>
        <w:jc w:val="both"/>
      </w:pPr>
      <w:r w:rsidRPr="007A3407">
        <w:t>The AAA will have the following staff administering these programs.  These assumptions break down the on-going staffing needs from the start-up staffing (through June 30, 2020) anticipated to implement this new program in a timely and efficient manner, to ensure continuity of services.</w:t>
      </w:r>
    </w:p>
    <w:p w14:paraId="2F1E72B6" w14:textId="16A1F098" w:rsidR="00A96116" w:rsidRPr="007A3407" w:rsidRDefault="00A96116" w:rsidP="00257A74">
      <w:pPr>
        <w:jc w:val="both"/>
      </w:pPr>
      <w:r w:rsidRPr="007A3407">
        <w:rPr>
          <w:u w:val="single"/>
        </w:rPr>
        <w:t>AAA Director</w:t>
      </w:r>
      <w:r w:rsidRPr="007A3407">
        <w:t xml:space="preserve">: these duties will be combined with the </w:t>
      </w:r>
      <w:r w:rsidR="00320717" w:rsidRPr="007A3407">
        <w:t>Deputy Director of HHSA- Aging and Disability Services</w:t>
      </w:r>
      <w:r w:rsidR="004B37A5" w:rsidRPr="007A3407">
        <w:t xml:space="preserve"> (Comprehensive Services for Older Adults Division</w:t>
      </w:r>
      <w:r w:rsidR="00257A74" w:rsidRPr="007A3407">
        <w:t>)</w:t>
      </w:r>
      <w:r w:rsidRPr="007A3407">
        <w:t xml:space="preserve">.  </w:t>
      </w:r>
      <w:r w:rsidR="00257A74" w:rsidRPr="007A3407">
        <w:t>S</w:t>
      </w:r>
      <w:r w:rsidRPr="007A3407">
        <w:t>tart-up:</w:t>
      </w:r>
      <w:r w:rsidR="00320717" w:rsidRPr="007A3407">
        <w:t xml:space="preserve"> </w:t>
      </w:r>
      <w:r w:rsidR="00257A74" w:rsidRPr="007A3407">
        <w:t>.</w:t>
      </w:r>
      <w:r w:rsidR="009B7BE5" w:rsidRPr="007A3407">
        <w:t>3</w:t>
      </w:r>
      <w:r w:rsidR="00257A74" w:rsidRPr="007A3407">
        <w:t>0</w:t>
      </w:r>
      <w:r w:rsidR="00320717" w:rsidRPr="007A3407">
        <w:t xml:space="preserve"> </w:t>
      </w:r>
      <w:r w:rsidRPr="007A3407">
        <w:t>FTE</w:t>
      </w:r>
      <w:r w:rsidR="00257A74" w:rsidRPr="007A3407">
        <w:t>; Ongoing: .20 FTE</w:t>
      </w:r>
      <w:r w:rsidR="009B7BE5" w:rsidRPr="007A3407">
        <w:t>.</w:t>
      </w:r>
    </w:p>
    <w:p w14:paraId="3E236F6F" w14:textId="433F575C" w:rsidR="00D83CD9" w:rsidRPr="007A3407" w:rsidRDefault="009B7BE5" w:rsidP="00257A74">
      <w:pPr>
        <w:jc w:val="both"/>
        <w:rPr>
          <w:u w:val="single"/>
        </w:rPr>
      </w:pPr>
      <w:r w:rsidRPr="007A3407">
        <w:rPr>
          <w:u w:val="single"/>
        </w:rPr>
        <w:t>Program Coordinator</w:t>
      </w:r>
      <w:r w:rsidR="00D83CD9" w:rsidRPr="007A3407">
        <w:rPr>
          <w:u w:val="single"/>
        </w:rPr>
        <w:t>:</w:t>
      </w:r>
      <w:r w:rsidR="00257A74" w:rsidRPr="007A3407">
        <w:t xml:space="preserve"> </w:t>
      </w:r>
      <w:r w:rsidR="00320717" w:rsidRPr="007A3407">
        <w:t>these duties will be combined with the Supervising Staff Services Analyst</w:t>
      </w:r>
      <w:r w:rsidRPr="007A3407">
        <w:t xml:space="preserve"> in HHSA to provide supervision for planning and program monitoring activities, as well as over-all program coordination</w:t>
      </w:r>
      <w:r w:rsidR="00320717" w:rsidRPr="007A3407">
        <w:t xml:space="preserve">.  </w:t>
      </w:r>
      <w:r w:rsidRPr="007A3407">
        <w:t>Start-up: .3</w:t>
      </w:r>
      <w:r w:rsidR="00257A74" w:rsidRPr="007A3407">
        <w:t xml:space="preserve">0 FTE; </w:t>
      </w:r>
      <w:r w:rsidR="00320717" w:rsidRPr="007A3407">
        <w:t>Ongoing .20 FTE</w:t>
      </w:r>
      <w:r w:rsidRPr="007A3407">
        <w:t>.</w:t>
      </w:r>
    </w:p>
    <w:p w14:paraId="7076BB74" w14:textId="59A83586" w:rsidR="00D83CD9" w:rsidRPr="007A3407" w:rsidRDefault="00320717" w:rsidP="00257A74">
      <w:pPr>
        <w:jc w:val="both"/>
      </w:pPr>
      <w:r w:rsidRPr="007A3407">
        <w:rPr>
          <w:u w:val="single"/>
        </w:rPr>
        <w:t xml:space="preserve">Fiscal </w:t>
      </w:r>
      <w:r w:rsidR="00D83CD9" w:rsidRPr="007A3407">
        <w:rPr>
          <w:u w:val="single"/>
        </w:rPr>
        <w:t>Staff Services Analyst:</w:t>
      </w:r>
      <w:r w:rsidRPr="007A3407">
        <w:rPr>
          <w:u w:val="single"/>
        </w:rPr>
        <w:t xml:space="preserve"> </w:t>
      </w:r>
      <w:r w:rsidR="009B7BE5" w:rsidRPr="007A3407">
        <w:t>a new Staff Services Analyst I/II will process State claiming, coordinate submission of invoices with contractors, review contractor invoices for accuracy, prepare the fiscal section of contract worksheets and agenda items, perform fiscal contract monitoring, establish and review project costing codes for Napa County staff assigned to the AAA, and prepare the AAA county budget.  Start-up: 1.0 FTE; Ongoing .80 FTE.</w:t>
      </w:r>
    </w:p>
    <w:p w14:paraId="251A40D4" w14:textId="605CA87A" w:rsidR="009B7BE5" w:rsidRPr="007A3407" w:rsidRDefault="009B7BE5" w:rsidP="00257A74">
      <w:pPr>
        <w:jc w:val="both"/>
      </w:pPr>
      <w:r w:rsidRPr="007A3407">
        <w:rPr>
          <w:u w:val="single"/>
        </w:rPr>
        <w:t>Fiscal Officer:</w:t>
      </w:r>
      <w:r w:rsidRPr="007A3407">
        <w:t xml:space="preserve"> these duties will be combined with the Deputy Chief Fiscal Officer of HHSA to provide supervision and oversight for fiscal activities related to these programs.  Start-up and Ongoing .20 FTE.</w:t>
      </w:r>
    </w:p>
    <w:p w14:paraId="5DB837F2" w14:textId="6B21587B" w:rsidR="009B7BE5" w:rsidRPr="007A3407" w:rsidRDefault="009B7BE5" w:rsidP="00257A74">
      <w:pPr>
        <w:jc w:val="both"/>
      </w:pPr>
      <w:r w:rsidRPr="007A3407">
        <w:rPr>
          <w:u w:val="single"/>
        </w:rPr>
        <w:t>Senior Office Assistant:</w:t>
      </w:r>
      <w:r w:rsidRPr="007A3407">
        <w:t xml:space="preserve"> these duties will be combined with an existing position in HHSA to administrative support, including agendas and minutes for the Governing Board and Advisory Council.  Start-up: .30 FTE;  Ongoing .20 FTE.</w:t>
      </w:r>
    </w:p>
    <w:p w14:paraId="160251F2" w14:textId="0D53CD8E" w:rsidR="00320717" w:rsidRPr="007A3407" w:rsidRDefault="005230AD" w:rsidP="00257A74">
      <w:pPr>
        <w:jc w:val="both"/>
      </w:pPr>
      <w:r>
        <w:rPr>
          <w:u w:val="single"/>
        </w:rPr>
        <w:t xml:space="preserve">Staff Services Analyst for </w:t>
      </w:r>
      <w:r w:rsidR="00320717" w:rsidRPr="007A3407">
        <w:rPr>
          <w:u w:val="single"/>
        </w:rPr>
        <w:t>Planner/Contract development/Program monitor:</w:t>
      </w:r>
      <w:r w:rsidR="00257A74" w:rsidRPr="007A3407">
        <w:t xml:space="preserve"> </w:t>
      </w:r>
      <w:r w:rsidR="007A3407" w:rsidRPr="007A3407">
        <w:t xml:space="preserve">a new </w:t>
      </w:r>
      <w:r w:rsidR="00320717" w:rsidRPr="007A3407">
        <w:t xml:space="preserve">Staff Services Analyst II will </w:t>
      </w:r>
      <w:r w:rsidR="00365338" w:rsidRPr="007A3407">
        <w:t>coordinate development of</w:t>
      </w:r>
      <w:r w:rsidR="00320717" w:rsidRPr="007A3407">
        <w:t xml:space="preserve"> the Area Plan, contract</w:t>
      </w:r>
      <w:r w:rsidR="00365338" w:rsidRPr="007A3407">
        <w:t xml:space="preserve"> management</w:t>
      </w:r>
      <w:r w:rsidR="00320717" w:rsidRPr="007A3407">
        <w:t>, and program monitoring</w:t>
      </w:r>
      <w:r w:rsidR="004B37A5" w:rsidRPr="007A3407">
        <w:t>.</w:t>
      </w:r>
      <w:r w:rsidR="007A3407" w:rsidRPr="007A3407">
        <w:t xml:space="preserve"> Start-up and Ongoing 1.0 FTE.</w:t>
      </w:r>
    </w:p>
    <w:p w14:paraId="00620341" w14:textId="5D97B7BB" w:rsidR="009B7BE5" w:rsidRDefault="009B7BE5" w:rsidP="00257A74">
      <w:pPr>
        <w:jc w:val="both"/>
      </w:pPr>
      <w:r w:rsidRPr="007A3407">
        <w:rPr>
          <w:u w:val="single"/>
        </w:rPr>
        <w:t>Accountant/Auditor:</w:t>
      </w:r>
      <w:r w:rsidRPr="007A3407">
        <w:t xml:space="preserve"> this position within the Auditor/Controller’s office will provide external audit review and monitoring for the program.  Start-up and Ongoing .50 FTE.</w:t>
      </w:r>
    </w:p>
    <w:p w14:paraId="207069D6" w14:textId="3B02DCFB" w:rsidR="00224FFB" w:rsidRPr="00257A74" w:rsidRDefault="00224FFB" w:rsidP="00257A74">
      <w:pPr>
        <w:jc w:val="both"/>
      </w:pPr>
      <w:r>
        <w:t xml:space="preserve">See Exhibits </w:t>
      </w:r>
      <w:r w:rsidR="007572E1">
        <w:t>G</w:t>
      </w:r>
      <w:r>
        <w:t>-</w:t>
      </w:r>
      <w:r w:rsidR="007572E1">
        <w:t>M</w:t>
      </w:r>
      <w:r>
        <w:t xml:space="preserve"> for full job descriptions</w:t>
      </w:r>
      <w:r w:rsidR="00CA2232">
        <w:t>.</w:t>
      </w:r>
    </w:p>
    <w:p w14:paraId="2E9291F7" w14:textId="77777777" w:rsidR="00AE0418" w:rsidRPr="00257A74" w:rsidRDefault="00AE0418" w:rsidP="00257A74">
      <w:pPr>
        <w:jc w:val="both"/>
        <w:rPr>
          <w:b/>
        </w:rPr>
      </w:pPr>
      <w:r w:rsidRPr="00257A74">
        <w:rPr>
          <w:b/>
        </w:rPr>
        <w:t>FEDERAL ASSURANCES</w:t>
      </w:r>
    </w:p>
    <w:p w14:paraId="47F67DFB" w14:textId="77777777" w:rsidR="00883D9A" w:rsidRPr="00257A74" w:rsidRDefault="007046FB" w:rsidP="00257A74">
      <w:pPr>
        <w:jc w:val="both"/>
      </w:pPr>
      <w:r w:rsidRPr="00257A74">
        <w:t xml:space="preserve">Both Napa and Solano County currently provide services and have contracts through various state departments for Federal and State funding to support these services.  As such, both Counties have agreed to these standard conditions in other contracts.  </w:t>
      </w:r>
    </w:p>
    <w:p w14:paraId="08FFDAB4" w14:textId="77777777" w:rsidR="00CA2232" w:rsidRDefault="00CA2232" w:rsidP="00257A74">
      <w:pPr>
        <w:jc w:val="both"/>
        <w:rPr>
          <w:b/>
        </w:rPr>
      </w:pPr>
    </w:p>
    <w:p w14:paraId="796C1FDE" w14:textId="77777777" w:rsidR="00CA2232" w:rsidRDefault="00CA2232" w:rsidP="00257A74">
      <w:pPr>
        <w:jc w:val="both"/>
        <w:rPr>
          <w:b/>
        </w:rPr>
      </w:pPr>
    </w:p>
    <w:p w14:paraId="396DA5E0" w14:textId="5A75EF59" w:rsidR="00883D9A" w:rsidRPr="00257A74" w:rsidRDefault="00883D9A" w:rsidP="00257A74">
      <w:pPr>
        <w:jc w:val="both"/>
        <w:rPr>
          <w:b/>
        </w:rPr>
      </w:pPr>
      <w:r w:rsidRPr="00257A74">
        <w:rPr>
          <w:b/>
        </w:rPr>
        <w:lastRenderedPageBreak/>
        <w:t>ORGANIZATIONAL AUTONOMY</w:t>
      </w:r>
    </w:p>
    <w:p w14:paraId="3E815E63" w14:textId="545E3C4C" w:rsidR="00883D9A" w:rsidRPr="00257A74" w:rsidRDefault="003B4B5B" w:rsidP="00257A74">
      <w:pPr>
        <w:jc w:val="both"/>
      </w:pPr>
      <w:r w:rsidRPr="00257A74">
        <w:t xml:space="preserve">The Mello-Granlund Older Californians Act (Welfare and Institutions Code Section 9400, </w:t>
      </w:r>
      <w:r w:rsidR="001C6D5C">
        <w:t>et seq) requires that each AAA</w:t>
      </w:r>
      <w:r w:rsidRPr="00257A74">
        <w:t xml:space="preserve"> area plan include developing home-and community-based systems of care that maintain individuals in their own homes or least restrictive environment, providing better access to these services through information and referral, outreach, and transportation, and advocating for the elderly on local, state, and national levels.</w:t>
      </w:r>
      <w:r w:rsidR="00346C3C" w:rsidRPr="00257A74">
        <w:t xml:space="preserve">  In addition, W&amp;I Code Section 9400(g)(10) states that the AAA shall “be directed by leaders in the community who have the respect, capacity, and authority necessary to convene all interested persons to assess needs, design solutions, track overall success, stimulate change, and plan community responses for the present and for the future.</w:t>
      </w:r>
      <w:r w:rsidR="001C6D5C">
        <w:t>”</w:t>
      </w:r>
    </w:p>
    <w:p w14:paraId="040ED7E8" w14:textId="391B9CD3" w:rsidR="00FE6372" w:rsidRPr="00257A74" w:rsidRDefault="00921EAB" w:rsidP="00257A74">
      <w:pPr>
        <w:jc w:val="both"/>
      </w:pPr>
      <w:r w:rsidRPr="00257A74">
        <w:t>For</w:t>
      </w:r>
      <w:r w:rsidR="00FE6372" w:rsidRPr="00257A74">
        <w:t xml:space="preserve"> planning and advocacy as</w:t>
      </w:r>
      <w:r w:rsidR="00365338">
        <w:t xml:space="preserve"> </w:t>
      </w:r>
      <w:r w:rsidRPr="00257A74">
        <w:t>they</w:t>
      </w:r>
      <w:r w:rsidR="00FE6372" w:rsidRPr="00257A74">
        <w:t xml:space="preserve"> relate to the local service delivery system, t</w:t>
      </w:r>
      <w:r w:rsidR="00BF6742" w:rsidRPr="00257A74">
        <w:t xml:space="preserve">he AAA Director will be </w:t>
      </w:r>
      <w:r w:rsidR="001C6D5C">
        <w:t xml:space="preserve">incorporated into the duties of the </w:t>
      </w:r>
      <w:r w:rsidR="00BF6742" w:rsidRPr="00257A74">
        <w:t xml:space="preserve">Deputy Director for </w:t>
      </w:r>
      <w:r w:rsidR="001C6D5C">
        <w:t xml:space="preserve">Napa County </w:t>
      </w:r>
      <w:r w:rsidR="00BF6742" w:rsidRPr="00257A74">
        <w:t>Health and Human Services, Comprehensive Services for Older Adults Division position.  This position requires education and experience in provid</w:t>
      </w:r>
      <w:r w:rsidR="00FE6372" w:rsidRPr="00257A74">
        <w:t xml:space="preserve">ing services to older adults and must be experienced in advocating for the service needs of this population.  In addition, the AAA Director will work collaboratively with program staff in </w:t>
      </w:r>
      <w:r w:rsidR="001C6D5C">
        <w:t xml:space="preserve">Napa and </w:t>
      </w:r>
      <w:r w:rsidR="00FE6372" w:rsidRPr="00257A74">
        <w:t>Solano County to ensure a comprehensive understanding of the needs of the senior population</w:t>
      </w:r>
      <w:r w:rsidR="001C6D5C">
        <w:t xml:space="preserve"> in the service region</w:t>
      </w:r>
      <w:r w:rsidR="00FE6372" w:rsidRPr="00257A74">
        <w:t>.</w:t>
      </w:r>
    </w:p>
    <w:p w14:paraId="487D8DE3" w14:textId="055984B1" w:rsidR="00BF6742" w:rsidRPr="00257A74" w:rsidRDefault="00921EAB" w:rsidP="00257A74">
      <w:pPr>
        <w:jc w:val="both"/>
      </w:pPr>
      <w:r w:rsidRPr="00257A74">
        <w:t>With</w:t>
      </w:r>
      <w:r w:rsidR="00FE6372" w:rsidRPr="00257A74">
        <w:t xml:space="preserve"> respect to policy advocacy, a</w:t>
      </w:r>
      <w:r w:rsidR="00BF6742" w:rsidRPr="00257A74">
        <w:t xml:space="preserve">nnually, </w:t>
      </w:r>
      <w:r w:rsidRPr="00257A74">
        <w:t xml:space="preserve">both </w:t>
      </w:r>
      <w:r w:rsidR="00BF6742" w:rsidRPr="00257A74">
        <w:t>the Napa</w:t>
      </w:r>
      <w:r w:rsidRPr="00257A74">
        <w:t xml:space="preserve"> and </w:t>
      </w:r>
      <w:r w:rsidR="00365338" w:rsidRPr="00257A74">
        <w:t>Solano County</w:t>
      </w:r>
      <w:r w:rsidR="00BF6742" w:rsidRPr="00257A74">
        <w:t xml:space="preserve"> Board</w:t>
      </w:r>
      <w:r w:rsidRPr="00257A74">
        <w:t>s</w:t>
      </w:r>
      <w:r w:rsidR="00BF6742" w:rsidRPr="00257A74">
        <w:t xml:space="preserve"> of Supervisors adopt a legislative platform in a public meeting, which provides staff with the guidance necessary for legislative advocacy efforts throughout the year.  In addition,</w:t>
      </w:r>
      <w:r w:rsidRPr="00257A74">
        <w:t xml:space="preserve"> in each county</w:t>
      </w:r>
      <w:r w:rsidR="00BF6742" w:rsidRPr="00257A74">
        <w:t xml:space="preserve"> </w:t>
      </w:r>
      <w:r w:rsidR="001C6D5C">
        <w:t xml:space="preserve">has </w:t>
      </w:r>
      <w:r w:rsidR="00BF6742" w:rsidRPr="00257A74">
        <w:t xml:space="preserve">a Legislative Subcommittee, which consists of 2 Board members, holds bi-weekly public meetings to address issues as they arise.  Staff in the </w:t>
      </w:r>
      <w:r w:rsidRPr="00257A74">
        <w:t xml:space="preserve">Napa County </w:t>
      </w:r>
      <w:r w:rsidR="00BF6742" w:rsidRPr="00257A74">
        <w:t xml:space="preserve">Health and Human Services </w:t>
      </w:r>
      <w:r w:rsidR="00365338" w:rsidRPr="00257A74">
        <w:t>Agency and</w:t>
      </w:r>
      <w:r w:rsidRPr="00257A74">
        <w:t xml:space="preserve"> the Solano County Department of Health and Social Services </w:t>
      </w:r>
      <w:r w:rsidR="00BF6742" w:rsidRPr="00257A74">
        <w:t>already work with staff in the Intergovernmental Affairs Division of</w:t>
      </w:r>
      <w:r w:rsidRPr="00257A74">
        <w:t xml:space="preserve"> each county’s</w:t>
      </w:r>
      <w:r w:rsidR="00BF6742" w:rsidRPr="00257A74">
        <w:t xml:space="preserve"> County Executive</w:t>
      </w:r>
      <w:r w:rsidR="00365338">
        <w:t>/Administrative</w:t>
      </w:r>
      <w:r w:rsidR="00BF6742" w:rsidRPr="00257A74">
        <w:t xml:space="preserve"> Office and will continue to do so to ensure that the advocacy needs of the seniors in the area are met.</w:t>
      </w:r>
    </w:p>
    <w:p w14:paraId="3EA31E4D" w14:textId="77777777" w:rsidR="00AE0418" w:rsidRPr="00257A74" w:rsidRDefault="00AE0418" w:rsidP="00257A74">
      <w:pPr>
        <w:jc w:val="both"/>
      </w:pPr>
    </w:p>
    <w:p w14:paraId="12CE4C36" w14:textId="77777777" w:rsidR="00D83CD9" w:rsidRPr="00257A74" w:rsidRDefault="00D83CD9" w:rsidP="00257A74">
      <w:pPr>
        <w:jc w:val="both"/>
        <w:rPr>
          <w:u w:val="single"/>
        </w:rPr>
      </w:pPr>
    </w:p>
    <w:p w14:paraId="0F4E7E19" w14:textId="77777777" w:rsidR="00860A11" w:rsidRPr="00257A74" w:rsidRDefault="00860A11" w:rsidP="00257A74">
      <w:pPr>
        <w:jc w:val="both"/>
      </w:pPr>
    </w:p>
    <w:p w14:paraId="51484DB0" w14:textId="77777777" w:rsidR="00860A11" w:rsidRPr="00257A74" w:rsidRDefault="00860A11" w:rsidP="00257A74">
      <w:pPr>
        <w:jc w:val="both"/>
      </w:pPr>
    </w:p>
    <w:p w14:paraId="5DD93326" w14:textId="77777777" w:rsidR="00860A11" w:rsidRPr="00257A74" w:rsidRDefault="00860A11" w:rsidP="00257A74">
      <w:pPr>
        <w:jc w:val="both"/>
      </w:pPr>
    </w:p>
    <w:sectPr w:rsidR="00860A11" w:rsidRPr="00257A74" w:rsidSect="007572E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77E43" w16cid:durableId="1F159B7A"/>
  <w16cid:commentId w16cid:paraId="5F3D50D6" w16cid:durableId="1F159AC0"/>
  <w16cid:commentId w16cid:paraId="2E925FF1" w16cid:durableId="1F159B99"/>
  <w16cid:commentId w16cid:paraId="2F8FFFE7" w16cid:durableId="1F159AE1"/>
  <w16cid:commentId w16cid:paraId="7C8A4855" w16cid:durableId="1F159A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CB0D" w14:textId="77777777" w:rsidR="00FA0003" w:rsidRDefault="00FA0003" w:rsidP="005A707D">
      <w:pPr>
        <w:spacing w:after="0" w:line="240" w:lineRule="auto"/>
      </w:pPr>
      <w:r>
        <w:separator/>
      </w:r>
    </w:p>
  </w:endnote>
  <w:endnote w:type="continuationSeparator" w:id="0">
    <w:p w14:paraId="6E266053" w14:textId="77777777" w:rsidR="00FA0003" w:rsidRDefault="00FA0003" w:rsidP="005A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7B58" w14:textId="77777777" w:rsidR="007572E1" w:rsidRDefault="00757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621402"/>
      <w:docPartObj>
        <w:docPartGallery w:val="Page Numbers (Bottom of Page)"/>
        <w:docPartUnique/>
      </w:docPartObj>
    </w:sdtPr>
    <w:sdtEndPr>
      <w:rPr>
        <w:color w:val="7F7F7F" w:themeColor="background1" w:themeShade="7F"/>
        <w:spacing w:val="60"/>
      </w:rPr>
    </w:sdtEndPr>
    <w:sdtContent>
      <w:p w14:paraId="51180694" w14:textId="30F978BC" w:rsidR="007572E1" w:rsidRDefault="007572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CD0212" w14:textId="77777777" w:rsidR="007572E1" w:rsidRDefault="00757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147E" w14:textId="77777777" w:rsidR="007572E1" w:rsidRDefault="00757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035C6" w14:textId="77777777" w:rsidR="00FA0003" w:rsidRDefault="00FA0003" w:rsidP="005A707D">
      <w:pPr>
        <w:spacing w:after="0" w:line="240" w:lineRule="auto"/>
      </w:pPr>
      <w:r>
        <w:separator/>
      </w:r>
    </w:p>
  </w:footnote>
  <w:footnote w:type="continuationSeparator" w:id="0">
    <w:p w14:paraId="62A96A7B" w14:textId="77777777" w:rsidR="00FA0003" w:rsidRDefault="00FA0003" w:rsidP="005A7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C71E" w14:textId="77777777" w:rsidR="007572E1" w:rsidRDefault="00757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32195"/>
      <w:docPartObj>
        <w:docPartGallery w:val="Watermarks"/>
        <w:docPartUnique/>
      </w:docPartObj>
    </w:sdtPr>
    <w:sdtEndPr/>
    <w:sdtContent>
      <w:bookmarkStart w:id="0" w:name="_GoBack" w:displacedByCustomXml="prev"/>
      <w:p w14:paraId="19B6736B" w14:textId="6C94EDFA" w:rsidR="00257A74" w:rsidRDefault="007572E1">
        <w:pPr>
          <w:pStyle w:val="Header"/>
        </w:pPr>
        <w:r>
          <w:rPr>
            <w:noProof/>
          </w:rPr>
          <w:pict w14:anchorId="2014F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bookmarkEnd w:id="0"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CC39" w14:textId="77777777" w:rsidR="007572E1" w:rsidRDefault="0075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C5CA1"/>
    <w:multiLevelType w:val="hybridMultilevel"/>
    <w:tmpl w:val="9434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B3397"/>
    <w:multiLevelType w:val="hybridMultilevel"/>
    <w:tmpl w:val="BAD8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26C69"/>
    <w:multiLevelType w:val="hybridMultilevel"/>
    <w:tmpl w:val="ABE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FA"/>
    <w:rsid w:val="00005173"/>
    <w:rsid w:val="000756EA"/>
    <w:rsid w:val="000A7130"/>
    <w:rsid w:val="000F65A4"/>
    <w:rsid w:val="001131BB"/>
    <w:rsid w:val="00134961"/>
    <w:rsid w:val="001C6D5C"/>
    <w:rsid w:val="001E7100"/>
    <w:rsid w:val="002229E3"/>
    <w:rsid w:val="00224FFB"/>
    <w:rsid w:val="002539EC"/>
    <w:rsid w:val="00257A74"/>
    <w:rsid w:val="00260C9F"/>
    <w:rsid w:val="00282575"/>
    <w:rsid w:val="002D3373"/>
    <w:rsid w:val="0031318B"/>
    <w:rsid w:val="00320717"/>
    <w:rsid w:val="00332718"/>
    <w:rsid w:val="00346C3C"/>
    <w:rsid w:val="00365338"/>
    <w:rsid w:val="003B4B5B"/>
    <w:rsid w:val="00410AF7"/>
    <w:rsid w:val="0044299A"/>
    <w:rsid w:val="004A4661"/>
    <w:rsid w:val="004B25AC"/>
    <w:rsid w:val="004B37A5"/>
    <w:rsid w:val="004F181E"/>
    <w:rsid w:val="005230AD"/>
    <w:rsid w:val="00586D8B"/>
    <w:rsid w:val="00592FD5"/>
    <w:rsid w:val="005A2565"/>
    <w:rsid w:val="005A707D"/>
    <w:rsid w:val="005B1215"/>
    <w:rsid w:val="00653DFD"/>
    <w:rsid w:val="0068565C"/>
    <w:rsid w:val="006E36FC"/>
    <w:rsid w:val="006F1824"/>
    <w:rsid w:val="007046FB"/>
    <w:rsid w:val="00705B63"/>
    <w:rsid w:val="00706A53"/>
    <w:rsid w:val="00742675"/>
    <w:rsid w:val="007572E1"/>
    <w:rsid w:val="0076380A"/>
    <w:rsid w:val="00772B11"/>
    <w:rsid w:val="0078095C"/>
    <w:rsid w:val="00793A2C"/>
    <w:rsid w:val="007A3407"/>
    <w:rsid w:val="007E2C11"/>
    <w:rsid w:val="00826C6D"/>
    <w:rsid w:val="00860A11"/>
    <w:rsid w:val="00883D9A"/>
    <w:rsid w:val="008E536C"/>
    <w:rsid w:val="00903FFA"/>
    <w:rsid w:val="00921EAB"/>
    <w:rsid w:val="009A2353"/>
    <w:rsid w:val="009B7BE5"/>
    <w:rsid w:val="00A01F4A"/>
    <w:rsid w:val="00A35050"/>
    <w:rsid w:val="00A72054"/>
    <w:rsid w:val="00A96116"/>
    <w:rsid w:val="00AE0418"/>
    <w:rsid w:val="00AE3FDB"/>
    <w:rsid w:val="00B575AE"/>
    <w:rsid w:val="00B913CB"/>
    <w:rsid w:val="00B91C8E"/>
    <w:rsid w:val="00BB0D73"/>
    <w:rsid w:val="00BF6742"/>
    <w:rsid w:val="00C04FB2"/>
    <w:rsid w:val="00C86AC6"/>
    <w:rsid w:val="00CA2232"/>
    <w:rsid w:val="00D83CD9"/>
    <w:rsid w:val="00DA31F1"/>
    <w:rsid w:val="00EB074B"/>
    <w:rsid w:val="00FA0003"/>
    <w:rsid w:val="00FC10DF"/>
    <w:rsid w:val="00FE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FF706B"/>
  <w15:chartTrackingRefBased/>
  <w15:docId w15:val="{011AE7AB-F9E9-48E2-B9D4-C69D2244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11"/>
    <w:pPr>
      <w:ind w:left="720"/>
      <w:contextualSpacing/>
    </w:pPr>
  </w:style>
  <w:style w:type="character" w:styleId="CommentReference">
    <w:name w:val="annotation reference"/>
    <w:basedOn w:val="DefaultParagraphFont"/>
    <w:uiPriority w:val="99"/>
    <w:semiHidden/>
    <w:unhideWhenUsed/>
    <w:rsid w:val="008E536C"/>
    <w:rPr>
      <w:sz w:val="16"/>
      <w:szCs w:val="16"/>
    </w:rPr>
  </w:style>
  <w:style w:type="paragraph" w:styleId="CommentText">
    <w:name w:val="annotation text"/>
    <w:basedOn w:val="Normal"/>
    <w:link w:val="CommentTextChar"/>
    <w:uiPriority w:val="99"/>
    <w:semiHidden/>
    <w:unhideWhenUsed/>
    <w:rsid w:val="008E536C"/>
    <w:pPr>
      <w:spacing w:line="240" w:lineRule="auto"/>
    </w:pPr>
    <w:rPr>
      <w:sz w:val="20"/>
      <w:szCs w:val="20"/>
    </w:rPr>
  </w:style>
  <w:style w:type="character" w:customStyle="1" w:styleId="CommentTextChar">
    <w:name w:val="Comment Text Char"/>
    <w:basedOn w:val="DefaultParagraphFont"/>
    <w:link w:val="CommentText"/>
    <w:uiPriority w:val="99"/>
    <w:semiHidden/>
    <w:rsid w:val="008E536C"/>
    <w:rPr>
      <w:sz w:val="20"/>
      <w:szCs w:val="20"/>
    </w:rPr>
  </w:style>
  <w:style w:type="paragraph" w:styleId="CommentSubject">
    <w:name w:val="annotation subject"/>
    <w:basedOn w:val="CommentText"/>
    <w:next w:val="CommentText"/>
    <w:link w:val="CommentSubjectChar"/>
    <w:uiPriority w:val="99"/>
    <w:semiHidden/>
    <w:unhideWhenUsed/>
    <w:rsid w:val="008E536C"/>
    <w:rPr>
      <w:b/>
      <w:bCs/>
    </w:rPr>
  </w:style>
  <w:style w:type="character" w:customStyle="1" w:styleId="CommentSubjectChar">
    <w:name w:val="Comment Subject Char"/>
    <w:basedOn w:val="CommentTextChar"/>
    <w:link w:val="CommentSubject"/>
    <w:uiPriority w:val="99"/>
    <w:semiHidden/>
    <w:rsid w:val="008E536C"/>
    <w:rPr>
      <w:b/>
      <w:bCs/>
      <w:sz w:val="20"/>
      <w:szCs w:val="20"/>
    </w:rPr>
  </w:style>
  <w:style w:type="paragraph" w:styleId="BalloonText">
    <w:name w:val="Balloon Text"/>
    <w:basedOn w:val="Normal"/>
    <w:link w:val="BalloonTextChar"/>
    <w:uiPriority w:val="99"/>
    <w:semiHidden/>
    <w:unhideWhenUsed/>
    <w:rsid w:val="008E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6C"/>
    <w:rPr>
      <w:rFonts w:ascii="Segoe UI" w:hAnsi="Segoe UI" w:cs="Segoe UI"/>
      <w:sz w:val="18"/>
      <w:szCs w:val="18"/>
    </w:rPr>
  </w:style>
  <w:style w:type="table" w:styleId="TableGrid">
    <w:name w:val="Table Grid"/>
    <w:basedOn w:val="TableNormal"/>
    <w:uiPriority w:val="39"/>
    <w:rsid w:val="0026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B11"/>
    <w:rPr>
      <w:color w:val="0563C1" w:themeColor="hyperlink"/>
      <w:u w:val="single"/>
    </w:rPr>
  </w:style>
  <w:style w:type="character" w:styleId="FollowedHyperlink">
    <w:name w:val="FollowedHyperlink"/>
    <w:basedOn w:val="DefaultParagraphFont"/>
    <w:uiPriority w:val="99"/>
    <w:semiHidden/>
    <w:unhideWhenUsed/>
    <w:rsid w:val="00772B11"/>
    <w:rPr>
      <w:color w:val="954F72" w:themeColor="followedHyperlink"/>
      <w:u w:val="single"/>
    </w:rPr>
  </w:style>
  <w:style w:type="paragraph" w:styleId="EndnoteText">
    <w:name w:val="endnote text"/>
    <w:basedOn w:val="Normal"/>
    <w:link w:val="EndnoteTextChar"/>
    <w:uiPriority w:val="99"/>
    <w:semiHidden/>
    <w:unhideWhenUsed/>
    <w:rsid w:val="005A70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07D"/>
    <w:rPr>
      <w:sz w:val="20"/>
      <w:szCs w:val="20"/>
    </w:rPr>
  </w:style>
  <w:style w:type="character" w:styleId="EndnoteReference">
    <w:name w:val="endnote reference"/>
    <w:basedOn w:val="DefaultParagraphFont"/>
    <w:uiPriority w:val="99"/>
    <w:semiHidden/>
    <w:unhideWhenUsed/>
    <w:rsid w:val="005A707D"/>
    <w:rPr>
      <w:vertAlign w:val="superscript"/>
    </w:rPr>
  </w:style>
  <w:style w:type="paragraph" w:styleId="Revision">
    <w:name w:val="Revision"/>
    <w:hidden/>
    <w:uiPriority w:val="99"/>
    <w:semiHidden/>
    <w:rsid w:val="001E7100"/>
    <w:pPr>
      <w:spacing w:after="0" w:line="240" w:lineRule="auto"/>
    </w:pPr>
  </w:style>
  <w:style w:type="paragraph" w:styleId="Header">
    <w:name w:val="header"/>
    <w:basedOn w:val="Normal"/>
    <w:link w:val="HeaderChar"/>
    <w:uiPriority w:val="99"/>
    <w:unhideWhenUsed/>
    <w:rsid w:val="0025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74"/>
  </w:style>
  <w:style w:type="paragraph" w:styleId="Footer">
    <w:name w:val="footer"/>
    <w:basedOn w:val="Normal"/>
    <w:link w:val="FooterChar"/>
    <w:uiPriority w:val="99"/>
    <w:unhideWhenUsed/>
    <w:rsid w:val="0025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74"/>
  </w:style>
  <w:style w:type="character" w:customStyle="1" w:styleId="UnresolvedMention">
    <w:name w:val="Unresolved Mention"/>
    <w:basedOn w:val="DefaultParagraphFont"/>
    <w:uiPriority w:val="99"/>
    <w:semiHidden/>
    <w:unhideWhenUsed/>
    <w:rsid w:val="0025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38127">
      <w:bodyDiv w:val="1"/>
      <w:marLeft w:val="0"/>
      <w:marRight w:val="0"/>
      <w:marTop w:val="0"/>
      <w:marBottom w:val="0"/>
      <w:divBdr>
        <w:top w:val="none" w:sz="0" w:space="0" w:color="auto"/>
        <w:left w:val="none" w:sz="0" w:space="0" w:color="auto"/>
        <w:bottom w:val="none" w:sz="0" w:space="0" w:color="auto"/>
        <w:right w:val="none" w:sz="0" w:space="0" w:color="auto"/>
      </w:divBdr>
    </w:div>
    <w:div w:id="1416585790">
      <w:bodyDiv w:val="1"/>
      <w:marLeft w:val="0"/>
      <w:marRight w:val="0"/>
      <w:marTop w:val="0"/>
      <w:marBottom w:val="0"/>
      <w:divBdr>
        <w:top w:val="none" w:sz="0" w:space="0" w:color="auto"/>
        <w:left w:val="none" w:sz="0" w:space="0" w:color="auto"/>
        <w:bottom w:val="none" w:sz="0" w:space="0" w:color="auto"/>
        <w:right w:val="none" w:sz="0" w:space="0" w:color="auto"/>
      </w:divBdr>
    </w:div>
    <w:div w:id="1558935966">
      <w:bodyDiv w:val="1"/>
      <w:marLeft w:val="0"/>
      <w:marRight w:val="0"/>
      <w:marTop w:val="0"/>
      <w:marBottom w:val="0"/>
      <w:divBdr>
        <w:top w:val="none" w:sz="0" w:space="0" w:color="auto"/>
        <w:left w:val="none" w:sz="0" w:space="0" w:color="auto"/>
        <w:bottom w:val="none" w:sz="0" w:space="0" w:color="auto"/>
        <w:right w:val="none" w:sz="0" w:space="0" w:color="auto"/>
      </w:divBdr>
    </w:div>
    <w:div w:id="17960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a.ca.gov/docs/DataAndStatistics/Statistics/IFF/2018%20Population%20Demographic%20Projection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lanocounty.com/civicax/filebank/blobdload.aspx?BlobID=286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tyofnapa.org/DocumentCenter/View/8678/2018-2019-FY-Recommended-Budget?bid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olanocounty.com/civicax/filebank/blobdload.aspx?BlobID=2795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a-napacounty.civicplus.com/ArchiveCenter/ViewFile/Item/511"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B997C-AB65-45BC-9C1E-A0CB9B81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Mary</dc:creator>
  <cp:keywords/>
  <dc:description/>
  <cp:lastModifiedBy>Booher, Mary</cp:lastModifiedBy>
  <cp:revision>8</cp:revision>
  <cp:lastPrinted>2018-08-09T00:12:00Z</cp:lastPrinted>
  <dcterms:created xsi:type="dcterms:W3CDTF">2018-08-09T00:38:00Z</dcterms:created>
  <dcterms:modified xsi:type="dcterms:W3CDTF">2018-08-09T18:06:00Z</dcterms:modified>
</cp:coreProperties>
</file>