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777A" w14:textId="77777777" w:rsidR="00E550F2" w:rsidRDefault="00ED35D6">
      <w:pPr>
        <w:rPr>
          <w:sz w:val="16"/>
          <w:szCs w:val="16"/>
        </w:rPr>
      </w:pPr>
      <w:r w:rsidRPr="00625DF3">
        <w:rPr>
          <w:sz w:val="16"/>
          <w:szCs w:val="16"/>
        </w:rPr>
        <w:t>Revised</w:t>
      </w:r>
      <w:r w:rsidR="00C954C3">
        <w:rPr>
          <w:sz w:val="16"/>
          <w:szCs w:val="16"/>
        </w:rPr>
        <w:t xml:space="preserve">: </w:t>
      </w:r>
      <w:r w:rsidR="005C2508">
        <w:rPr>
          <w:sz w:val="16"/>
          <w:szCs w:val="16"/>
        </w:rPr>
        <w:t>6-2</w:t>
      </w:r>
      <w:r w:rsidR="00C954C3">
        <w:rPr>
          <w:sz w:val="16"/>
          <w:szCs w:val="16"/>
        </w:rPr>
        <w:t>1</w:t>
      </w:r>
      <w:r w:rsidR="005C2508">
        <w:rPr>
          <w:sz w:val="16"/>
          <w:szCs w:val="16"/>
        </w:rPr>
        <w:t>-05</w:t>
      </w:r>
      <w:r w:rsidR="00C954C3">
        <w:rPr>
          <w:sz w:val="16"/>
          <w:szCs w:val="16"/>
        </w:rPr>
        <w:t xml:space="preserve"> Resolution 05-99</w:t>
      </w:r>
    </w:p>
    <w:p w14:paraId="023B777B" w14:textId="77777777" w:rsidR="00230769" w:rsidRPr="00F37B65" w:rsidRDefault="00230769">
      <w:pPr>
        <w:rPr>
          <w:sz w:val="16"/>
          <w:szCs w:val="16"/>
        </w:rPr>
      </w:pPr>
      <w:r w:rsidRPr="00F37B65">
        <w:rPr>
          <w:sz w:val="16"/>
          <w:szCs w:val="16"/>
        </w:rPr>
        <w:t>Revised: 10-28-08; Resolution 08-168</w:t>
      </w:r>
    </w:p>
    <w:p w14:paraId="023B777C" w14:textId="28598115" w:rsidR="00E96116" w:rsidRPr="00B956F1" w:rsidRDefault="005C795C">
      <w:pPr>
        <w:rPr>
          <w:sz w:val="16"/>
          <w:szCs w:val="16"/>
        </w:rPr>
      </w:pPr>
      <w:r w:rsidRPr="00B956F1">
        <w:rPr>
          <w:sz w:val="16"/>
          <w:szCs w:val="16"/>
        </w:rPr>
        <w:t>Revised 08-14-2012; Resolution</w:t>
      </w:r>
      <w:r w:rsidR="00F37B65" w:rsidRPr="00B956F1">
        <w:rPr>
          <w:sz w:val="16"/>
          <w:szCs w:val="16"/>
        </w:rPr>
        <w:t xml:space="preserve"> 12-123 (Eff. 10-13-</w:t>
      </w:r>
      <w:r w:rsidRPr="00B956F1">
        <w:rPr>
          <w:sz w:val="16"/>
          <w:szCs w:val="16"/>
        </w:rPr>
        <w:t>12)</w:t>
      </w:r>
    </w:p>
    <w:p w14:paraId="43548BE8" w14:textId="3E97FB8D" w:rsidR="002D16AD" w:rsidRDefault="002D16AD" w:rsidP="002D16AD">
      <w:pPr>
        <w:rPr>
          <w:b/>
          <w:sz w:val="16"/>
          <w:szCs w:val="16"/>
        </w:rPr>
      </w:pPr>
      <w:r>
        <w:rPr>
          <w:b/>
          <w:sz w:val="16"/>
          <w:szCs w:val="16"/>
        </w:rPr>
        <w:t>Revised 07-31-2018; Resolution 2018-</w:t>
      </w:r>
      <w:r w:rsidR="0074396A">
        <w:rPr>
          <w:b/>
          <w:sz w:val="16"/>
          <w:szCs w:val="16"/>
        </w:rPr>
        <w:t>102</w:t>
      </w:r>
      <w:bookmarkStart w:id="0" w:name="_GoBack"/>
      <w:bookmarkEnd w:id="0"/>
      <w:r>
        <w:rPr>
          <w:b/>
          <w:sz w:val="16"/>
          <w:szCs w:val="16"/>
        </w:rPr>
        <w:t xml:space="preserve"> (Eff. 08-01-2018)</w:t>
      </w:r>
    </w:p>
    <w:p w14:paraId="023B777D" w14:textId="77777777" w:rsidR="000A1514" w:rsidRDefault="000A1514">
      <w:pPr>
        <w:rPr>
          <w:sz w:val="16"/>
          <w:szCs w:val="16"/>
        </w:rPr>
      </w:pPr>
    </w:p>
    <w:p w14:paraId="023B777E" w14:textId="77777777" w:rsidR="000A1514" w:rsidRDefault="000A1514" w:rsidP="000A1514">
      <w:pPr>
        <w:tabs>
          <w:tab w:val="center" w:pos="4680"/>
        </w:tabs>
        <w:suppressAutoHyphens/>
        <w:jc w:val="center"/>
        <w:rPr>
          <w:b/>
          <w:spacing w:val="-3"/>
        </w:rPr>
      </w:pPr>
      <w:r>
        <w:rPr>
          <w:b/>
          <w:spacing w:val="-3"/>
        </w:rPr>
        <w:t>PART 117</w:t>
      </w:r>
    </w:p>
    <w:p w14:paraId="023B777F" w14:textId="77777777" w:rsidR="000A1514" w:rsidRDefault="000A1514" w:rsidP="000A1514">
      <w:pPr>
        <w:tabs>
          <w:tab w:val="left" w:pos="462"/>
          <w:tab w:val="left" w:pos="924"/>
          <w:tab w:val="left" w:pos="2864"/>
          <w:tab w:val="left" w:pos="7946"/>
        </w:tabs>
        <w:suppressAutoHyphens/>
        <w:jc w:val="center"/>
        <w:rPr>
          <w:b/>
          <w:spacing w:val="-3"/>
        </w:rPr>
      </w:pPr>
    </w:p>
    <w:p w14:paraId="023B7780" w14:textId="77777777" w:rsidR="000A1514" w:rsidRDefault="000A1514" w:rsidP="000A1514">
      <w:pPr>
        <w:tabs>
          <w:tab w:val="center" w:pos="4680"/>
        </w:tabs>
        <w:suppressAutoHyphens/>
        <w:jc w:val="center"/>
        <w:rPr>
          <w:b/>
          <w:spacing w:val="-3"/>
        </w:rPr>
      </w:pPr>
      <w:r>
        <w:rPr>
          <w:b/>
          <w:spacing w:val="-3"/>
        </w:rPr>
        <w:t>LOCAL ENFORCEMENT AGENCY</w:t>
      </w:r>
    </w:p>
    <w:p w14:paraId="023B7781" w14:textId="77777777" w:rsidR="000A1514" w:rsidRDefault="000A1514" w:rsidP="000A1514">
      <w:pPr>
        <w:tabs>
          <w:tab w:val="left" w:pos="462"/>
          <w:tab w:val="left" w:pos="924"/>
          <w:tab w:val="left" w:pos="2864"/>
          <w:tab w:val="left" w:pos="7946"/>
        </w:tabs>
        <w:suppressAutoHyphens/>
        <w:rPr>
          <w:b/>
          <w:spacing w:val="-3"/>
        </w:rPr>
      </w:pPr>
    </w:p>
    <w:p w14:paraId="023B7782" w14:textId="77777777" w:rsidR="000A1514" w:rsidRDefault="000A1514" w:rsidP="000A1514">
      <w:pPr>
        <w:tabs>
          <w:tab w:val="left" w:pos="462"/>
          <w:tab w:val="left" w:pos="924"/>
          <w:tab w:val="left" w:pos="2864"/>
          <w:tab w:val="left" w:pos="7946"/>
        </w:tabs>
        <w:suppressAutoHyphens/>
        <w:rPr>
          <w:spacing w:val="-3"/>
        </w:rPr>
      </w:pPr>
      <w:r>
        <w:rPr>
          <w:spacing w:val="-3"/>
        </w:rPr>
        <w:t>Sec. 117.010.  General</w:t>
      </w:r>
    </w:p>
    <w:p w14:paraId="023B7783" w14:textId="77777777" w:rsidR="000A1514" w:rsidRDefault="000A1514" w:rsidP="000A1514">
      <w:pPr>
        <w:tabs>
          <w:tab w:val="left" w:pos="462"/>
          <w:tab w:val="left" w:pos="924"/>
          <w:tab w:val="left" w:pos="2864"/>
          <w:tab w:val="left" w:pos="7946"/>
        </w:tabs>
        <w:suppressAutoHyphens/>
        <w:rPr>
          <w:spacing w:val="-3"/>
        </w:rPr>
      </w:pPr>
      <w:r>
        <w:rPr>
          <w:spacing w:val="-3"/>
        </w:rPr>
        <w:t>Sec. 117.020.  Solid Waste Fees</w:t>
      </w:r>
    </w:p>
    <w:p w14:paraId="023B7784" w14:textId="77777777" w:rsidR="00E96116" w:rsidRDefault="00E96116" w:rsidP="000A1514">
      <w:pPr>
        <w:tabs>
          <w:tab w:val="left" w:pos="462"/>
          <w:tab w:val="left" w:pos="924"/>
          <w:tab w:val="left" w:pos="2864"/>
          <w:tab w:val="left" w:pos="7946"/>
        </w:tabs>
        <w:suppressAutoHyphens/>
        <w:rPr>
          <w:spacing w:val="-3"/>
        </w:rPr>
      </w:pPr>
      <w:r>
        <w:rPr>
          <w:spacing w:val="-3"/>
        </w:rPr>
        <w:t xml:space="preserve">Sec. 117.030   </w:t>
      </w:r>
      <w:r w:rsidR="00AB6772">
        <w:rPr>
          <w:spacing w:val="-3"/>
        </w:rPr>
        <w:t>Tattoo/</w:t>
      </w:r>
      <w:r>
        <w:rPr>
          <w:spacing w:val="-3"/>
        </w:rPr>
        <w:t>Body Art Fees</w:t>
      </w:r>
    </w:p>
    <w:p w14:paraId="31115284" w14:textId="494EDC1A" w:rsidR="00CF0D1A" w:rsidRDefault="00CF0D1A" w:rsidP="000A1514">
      <w:pPr>
        <w:tabs>
          <w:tab w:val="left" w:pos="462"/>
          <w:tab w:val="left" w:pos="924"/>
          <w:tab w:val="left" w:pos="2864"/>
          <w:tab w:val="left" w:pos="7946"/>
        </w:tabs>
        <w:suppressAutoHyphens/>
        <w:rPr>
          <w:spacing w:val="-3"/>
        </w:rPr>
      </w:pPr>
      <w:r>
        <w:rPr>
          <w:spacing w:val="-3"/>
        </w:rPr>
        <w:t>Sec. 117.040   Medical Waste Permit and Inspection Fees</w:t>
      </w:r>
    </w:p>
    <w:p w14:paraId="023B7785" w14:textId="77777777" w:rsidR="000A1514" w:rsidRPr="00625DF3" w:rsidRDefault="000A1514">
      <w:pPr>
        <w:rPr>
          <w:sz w:val="16"/>
          <w:szCs w:val="16"/>
        </w:rPr>
      </w:pPr>
    </w:p>
    <w:tbl>
      <w:tblPr>
        <w:tblW w:w="9540" w:type="dxa"/>
        <w:tblLayout w:type="fixed"/>
        <w:tblLook w:val="01E0" w:firstRow="1" w:lastRow="1" w:firstColumn="1" w:lastColumn="1" w:noHBand="0" w:noVBand="0"/>
      </w:tblPr>
      <w:tblGrid>
        <w:gridCol w:w="1800"/>
        <w:gridCol w:w="2088"/>
        <w:gridCol w:w="1512"/>
        <w:gridCol w:w="990"/>
        <w:gridCol w:w="900"/>
        <w:gridCol w:w="2250"/>
      </w:tblGrid>
      <w:tr w:rsidR="00C469BF" w:rsidRPr="00471C4A" w14:paraId="023B7787" w14:textId="1942A52A" w:rsidTr="00B956F1">
        <w:trPr>
          <w:trHeight w:val="294"/>
        </w:trPr>
        <w:tc>
          <w:tcPr>
            <w:tcW w:w="7290" w:type="dxa"/>
            <w:gridSpan w:val="5"/>
          </w:tcPr>
          <w:p w14:paraId="023B7786" w14:textId="77777777" w:rsidR="00C469BF" w:rsidRPr="00142DC4" w:rsidRDefault="00C469BF" w:rsidP="00142DC4">
            <w:pPr>
              <w:pStyle w:val="Style7"/>
            </w:pPr>
            <w:r>
              <w:t>Sec. 117.010. General</w:t>
            </w:r>
          </w:p>
        </w:tc>
        <w:tc>
          <w:tcPr>
            <w:tcW w:w="2250" w:type="dxa"/>
          </w:tcPr>
          <w:p w14:paraId="2CC70491" w14:textId="77777777" w:rsidR="00C469BF" w:rsidRDefault="00C469BF" w:rsidP="00142DC4">
            <w:pPr>
              <w:pStyle w:val="Style7"/>
            </w:pPr>
          </w:p>
        </w:tc>
      </w:tr>
      <w:tr w:rsidR="00C469BF" w:rsidRPr="00557C41" w14:paraId="023B778D" w14:textId="6A06ED04" w:rsidTr="00B956F1">
        <w:trPr>
          <w:trHeight w:val="291"/>
        </w:trPr>
        <w:tc>
          <w:tcPr>
            <w:tcW w:w="1800" w:type="dxa"/>
          </w:tcPr>
          <w:p w14:paraId="023B7788" w14:textId="77777777" w:rsidR="00C469BF" w:rsidRPr="00142DC4" w:rsidRDefault="00C469BF" w:rsidP="00142DC4"/>
        </w:tc>
        <w:tc>
          <w:tcPr>
            <w:tcW w:w="2088" w:type="dxa"/>
          </w:tcPr>
          <w:p w14:paraId="023B7789" w14:textId="77777777" w:rsidR="00C469BF" w:rsidRPr="00142DC4" w:rsidRDefault="00C469BF" w:rsidP="00142DC4"/>
        </w:tc>
        <w:tc>
          <w:tcPr>
            <w:tcW w:w="1512" w:type="dxa"/>
          </w:tcPr>
          <w:p w14:paraId="023B778A" w14:textId="77777777" w:rsidR="00C469BF" w:rsidRPr="00142DC4" w:rsidRDefault="00C469BF" w:rsidP="00142DC4"/>
        </w:tc>
        <w:tc>
          <w:tcPr>
            <w:tcW w:w="990" w:type="dxa"/>
          </w:tcPr>
          <w:p w14:paraId="023B778B" w14:textId="77777777" w:rsidR="00C469BF" w:rsidRPr="00142DC4" w:rsidRDefault="00C469BF" w:rsidP="00142DC4"/>
        </w:tc>
        <w:tc>
          <w:tcPr>
            <w:tcW w:w="900" w:type="dxa"/>
          </w:tcPr>
          <w:p w14:paraId="023B778C" w14:textId="77777777" w:rsidR="00C469BF" w:rsidRPr="00142DC4" w:rsidRDefault="00C469BF" w:rsidP="00142DC4"/>
        </w:tc>
        <w:tc>
          <w:tcPr>
            <w:tcW w:w="2250" w:type="dxa"/>
          </w:tcPr>
          <w:p w14:paraId="26BF9117" w14:textId="77777777" w:rsidR="00C469BF" w:rsidRPr="00142DC4" w:rsidRDefault="00C469BF" w:rsidP="00142DC4"/>
        </w:tc>
      </w:tr>
      <w:tr w:rsidR="00C469BF" w:rsidRPr="00557C41" w14:paraId="023B778F" w14:textId="1E2DE2A5" w:rsidTr="00B956F1">
        <w:trPr>
          <w:trHeight w:val="291"/>
        </w:trPr>
        <w:tc>
          <w:tcPr>
            <w:tcW w:w="7290" w:type="dxa"/>
            <w:gridSpan w:val="5"/>
          </w:tcPr>
          <w:p w14:paraId="023B778E" w14:textId="77777777" w:rsidR="00C469BF" w:rsidRPr="00142DC4" w:rsidRDefault="00C469BF" w:rsidP="00142DC4">
            <w:r w:rsidRPr="00557C41">
              <w:rPr>
                <w:spacing w:val="-3"/>
              </w:rPr>
              <w:t>The fees set forth in this Part shall be paid to the Local Enforcement Agency Officer.</w:t>
            </w:r>
          </w:p>
        </w:tc>
        <w:tc>
          <w:tcPr>
            <w:tcW w:w="2250" w:type="dxa"/>
          </w:tcPr>
          <w:p w14:paraId="615C8BC3" w14:textId="77777777" w:rsidR="00C469BF" w:rsidRPr="00557C41" w:rsidRDefault="00C469BF" w:rsidP="00142DC4">
            <w:pPr>
              <w:rPr>
                <w:spacing w:val="-3"/>
              </w:rPr>
            </w:pPr>
          </w:p>
        </w:tc>
      </w:tr>
      <w:tr w:rsidR="00C469BF" w:rsidRPr="00557C41" w14:paraId="023B7798" w14:textId="366A9E0B" w:rsidTr="00B956F1">
        <w:trPr>
          <w:trHeight w:val="291"/>
        </w:trPr>
        <w:tc>
          <w:tcPr>
            <w:tcW w:w="1800" w:type="dxa"/>
          </w:tcPr>
          <w:p w14:paraId="023B7790" w14:textId="77777777" w:rsidR="00C469BF" w:rsidRPr="00142DC4" w:rsidRDefault="00C469BF" w:rsidP="00142DC4"/>
        </w:tc>
        <w:tc>
          <w:tcPr>
            <w:tcW w:w="2088" w:type="dxa"/>
          </w:tcPr>
          <w:p w14:paraId="023B7791" w14:textId="77777777" w:rsidR="00C469BF" w:rsidRDefault="00C469BF" w:rsidP="00142DC4"/>
          <w:p w14:paraId="023B7792" w14:textId="77777777" w:rsidR="00C469BF" w:rsidRDefault="00C469BF" w:rsidP="00142DC4"/>
          <w:p w14:paraId="023B7793" w14:textId="77777777" w:rsidR="00C469BF" w:rsidRPr="00142DC4" w:rsidRDefault="00C469BF" w:rsidP="00142DC4"/>
        </w:tc>
        <w:tc>
          <w:tcPr>
            <w:tcW w:w="1512" w:type="dxa"/>
          </w:tcPr>
          <w:p w14:paraId="023B7794" w14:textId="77777777" w:rsidR="00C469BF" w:rsidRPr="00142DC4" w:rsidRDefault="00C469BF" w:rsidP="00142DC4"/>
        </w:tc>
        <w:tc>
          <w:tcPr>
            <w:tcW w:w="990" w:type="dxa"/>
          </w:tcPr>
          <w:p w14:paraId="023B7795" w14:textId="77777777" w:rsidR="00C469BF" w:rsidRPr="00142DC4" w:rsidRDefault="00C469BF" w:rsidP="00142DC4"/>
        </w:tc>
        <w:tc>
          <w:tcPr>
            <w:tcW w:w="900" w:type="dxa"/>
          </w:tcPr>
          <w:p w14:paraId="023B7796" w14:textId="77777777" w:rsidR="00C469BF" w:rsidRDefault="00C469BF" w:rsidP="00142DC4"/>
          <w:p w14:paraId="023B7797" w14:textId="77777777" w:rsidR="00C469BF" w:rsidRPr="00142DC4" w:rsidRDefault="00C469BF" w:rsidP="00142DC4"/>
        </w:tc>
        <w:tc>
          <w:tcPr>
            <w:tcW w:w="2250" w:type="dxa"/>
          </w:tcPr>
          <w:p w14:paraId="333DDC8C" w14:textId="77777777" w:rsidR="00C469BF" w:rsidRDefault="00C469BF" w:rsidP="00142DC4"/>
        </w:tc>
      </w:tr>
      <w:tr w:rsidR="00C469BF" w:rsidRPr="00557C41" w14:paraId="023B779C" w14:textId="6742A473" w:rsidTr="00B956F1">
        <w:trPr>
          <w:trHeight w:val="291"/>
        </w:trPr>
        <w:tc>
          <w:tcPr>
            <w:tcW w:w="1800" w:type="dxa"/>
          </w:tcPr>
          <w:p w14:paraId="023B7799" w14:textId="77777777" w:rsidR="00C469BF" w:rsidRPr="00142DC4" w:rsidRDefault="00C469BF" w:rsidP="00142DC4">
            <w:r>
              <w:tab/>
              <w:t>(a)</w:t>
            </w:r>
          </w:p>
        </w:tc>
        <w:tc>
          <w:tcPr>
            <w:tcW w:w="4590" w:type="dxa"/>
            <w:gridSpan w:val="3"/>
          </w:tcPr>
          <w:p w14:paraId="023B779A" w14:textId="77777777" w:rsidR="00C469BF" w:rsidRPr="00142DC4" w:rsidRDefault="00C469BF" w:rsidP="00142DC4">
            <w:r w:rsidRPr="00557C41">
              <w:rPr>
                <w:spacing w:val="-3"/>
              </w:rPr>
              <w:t>Annual Inspection Fees.</w:t>
            </w:r>
          </w:p>
        </w:tc>
        <w:tc>
          <w:tcPr>
            <w:tcW w:w="900" w:type="dxa"/>
          </w:tcPr>
          <w:p w14:paraId="023B779B" w14:textId="77777777" w:rsidR="00C469BF" w:rsidRPr="00142DC4" w:rsidRDefault="00C469BF" w:rsidP="00142DC4"/>
        </w:tc>
        <w:tc>
          <w:tcPr>
            <w:tcW w:w="2250" w:type="dxa"/>
          </w:tcPr>
          <w:p w14:paraId="02ABB576" w14:textId="77777777" w:rsidR="00C469BF" w:rsidRPr="00142DC4" w:rsidRDefault="00C469BF" w:rsidP="00142DC4"/>
        </w:tc>
      </w:tr>
      <w:tr w:rsidR="00C469BF" w:rsidRPr="00557C41" w14:paraId="023B77B0" w14:textId="3E5E92BA" w:rsidTr="00B956F1">
        <w:trPr>
          <w:trHeight w:val="291"/>
        </w:trPr>
        <w:tc>
          <w:tcPr>
            <w:tcW w:w="1800" w:type="dxa"/>
          </w:tcPr>
          <w:p w14:paraId="023B77A3" w14:textId="77777777" w:rsidR="00C469BF" w:rsidRPr="00142DC4" w:rsidRDefault="00C469BF" w:rsidP="00557C41">
            <w:pPr>
              <w:jc w:val="right"/>
            </w:pPr>
            <w:r>
              <w:t>(1)</w:t>
            </w:r>
          </w:p>
        </w:tc>
        <w:tc>
          <w:tcPr>
            <w:tcW w:w="4590" w:type="dxa"/>
            <w:gridSpan w:val="3"/>
          </w:tcPr>
          <w:p w14:paraId="023B77A4" w14:textId="77777777" w:rsidR="00C469BF" w:rsidRPr="00557C41" w:rsidRDefault="00C469BF" w:rsidP="00142DC4">
            <w:pPr>
              <w:rPr>
                <w:spacing w:val="-3"/>
              </w:rPr>
            </w:pPr>
            <w:r w:rsidRPr="00557C41">
              <w:rPr>
                <w:spacing w:val="-3"/>
              </w:rPr>
              <w:t xml:space="preserve">Permit Exempt Landfills – Have been granted exceptions pursuant to CCR Title 14, Division 7, </w:t>
            </w:r>
            <w:proofErr w:type="gramStart"/>
            <w:r w:rsidRPr="00557C41">
              <w:rPr>
                <w:spacing w:val="-3"/>
              </w:rPr>
              <w:t>Section</w:t>
            </w:r>
            <w:proofErr w:type="gramEnd"/>
            <w:r w:rsidRPr="00557C41">
              <w:rPr>
                <w:spacing w:val="-3"/>
              </w:rPr>
              <w:t xml:space="preserve"> 18215. </w:t>
            </w:r>
          </w:p>
          <w:p w14:paraId="023B77A5" w14:textId="77777777" w:rsidR="00C469BF" w:rsidRPr="00142DC4" w:rsidRDefault="00C469BF" w:rsidP="00142DC4">
            <w:r w:rsidRPr="00557C41">
              <w:rPr>
                <w:spacing w:val="-3"/>
              </w:rPr>
              <w:t xml:space="preserve">(# </w:t>
            </w:r>
            <w:proofErr w:type="gramStart"/>
            <w:r w:rsidRPr="00557C41">
              <w:rPr>
                <w:spacing w:val="-3"/>
              </w:rPr>
              <w:t>inspections</w:t>
            </w:r>
            <w:proofErr w:type="gramEnd"/>
            <w:r w:rsidRPr="00557C41">
              <w:rPr>
                <w:spacing w:val="-3"/>
              </w:rPr>
              <w:t xml:space="preserve"> annually is based on State requirements.</w:t>
            </w:r>
          </w:p>
        </w:tc>
        <w:tc>
          <w:tcPr>
            <w:tcW w:w="900" w:type="dxa"/>
          </w:tcPr>
          <w:p w14:paraId="023B77AF" w14:textId="77777777" w:rsidR="00C469BF" w:rsidRPr="00142DC4" w:rsidRDefault="00C469BF" w:rsidP="00557C41">
            <w:pPr>
              <w:jc w:val="right"/>
            </w:pPr>
          </w:p>
        </w:tc>
        <w:tc>
          <w:tcPr>
            <w:tcW w:w="2250" w:type="dxa"/>
          </w:tcPr>
          <w:p w14:paraId="3DB4FC68" w14:textId="2F15B0A2" w:rsidR="00E41F25" w:rsidRDefault="00797BCF" w:rsidP="00E41F25">
            <w:pPr>
              <w:jc w:val="right"/>
              <w:rPr>
                <w:spacing w:val="-3"/>
              </w:rPr>
            </w:pPr>
            <w:r>
              <w:rPr>
                <w:spacing w:val="-3"/>
              </w:rPr>
              <w:t>1X-annual-$398</w:t>
            </w:r>
          </w:p>
          <w:p w14:paraId="6343E464" w14:textId="12A1B471" w:rsidR="00E41F25" w:rsidRDefault="00E41F25" w:rsidP="00E41F25">
            <w:pPr>
              <w:jc w:val="right"/>
              <w:rPr>
                <w:spacing w:val="-3"/>
              </w:rPr>
            </w:pPr>
            <w:r>
              <w:rPr>
                <w:spacing w:val="-3"/>
              </w:rPr>
              <w:t>2X-annual-$</w:t>
            </w:r>
            <w:r w:rsidR="00797BCF">
              <w:rPr>
                <w:spacing w:val="-3"/>
              </w:rPr>
              <w:t>730</w:t>
            </w:r>
          </w:p>
          <w:p w14:paraId="3E9DBC86" w14:textId="19DD3BFB" w:rsidR="00E41F25" w:rsidRDefault="00E41F25" w:rsidP="00E41F25">
            <w:pPr>
              <w:jc w:val="right"/>
              <w:rPr>
                <w:spacing w:val="-3"/>
              </w:rPr>
            </w:pPr>
            <w:r>
              <w:rPr>
                <w:spacing w:val="-3"/>
              </w:rPr>
              <w:t>3X-annual</w:t>
            </w:r>
            <w:r w:rsidR="00A97FEC">
              <w:rPr>
                <w:spacing w:val="-3"/>
              </w:rPr>
              <w:t xml:space="preserve"> </w:t>
            </w:r>
            <w:r>
              <w:rPr>
                <w:spacing w:val="-3"/>
              </w:rPr>
              <w:t>$1,</w:t>
            </w:r>
            <w:r w:rsidR="00797BCF">
              <w:rPr>
                <w:spacing w:val="-3"/>
              </w:rPr>
              <w:t>593</w:t>
            </w:r>
          </w:p>
          <w:p w14:paraId="4D2FBF4A" w14:textId="77777777" w:rsidR="00C469BF" w:rsidRPr="00557C41" w:rsidRDefault="00C469BF" w:rsidP="00E41F25">
            <w:pPr>
              <w:jc w:val="right"/>
              <w:rPr>
                <w:spacing w:val="-3"/>
              </w:rPr>
            </w:pPr>
          </w:p>
        </w:tc>
      </w:tr>
      <w:tr w:rsidR="00C469BF" w:rsidRPr="00557C41" w14:paraId="023B77C7" w14:textId="6EEBD97F" w:rsidTr="00B956F1">
        <w:trPr>
          <w:trHeight w:val="291"/>
        </w:trPr>
        <w:tc>
          <w:tcPr>
            <w:tcW w:w="1800" w:type="dxa"/>
          </w:tcPr>
          <w:p w14:paraId="023B77B7" w14:textId="77777777" w:rsidR="00C469BF" w:rsidRPr="00142DC4" w:rsidRDefault="00C469BF" w:rsidP="00557C41">
            <w:pPr>
              <w:jc w:val="right"/>
            </w:pPr>
            <w:r>
              <w:t>(2)</w:t>
            </w:r>
          </w:p>
        </w:tc>
        <w:tc>
          <w:tcPr>
            <w:tcW w:w="4590" w:type="dxa"/>
            <w:gridSpan w:val="3"/>
          </w:tcPr>
          <w:p w14:paraId="023B77B8" w14:textId="77777777" w:rsidR="00C469BF" w:rsidRPr="00557C41" w:rsidRDefault="00C469BF" w:rsidP="00142DC4">
            <w:pPr>
              <w:rPr>
                <w:spacing w:val="-3"/>
              </w:rPr>
            </w:pPr>
            <w:r w:rsidRPr="00557C41">
              <w:rPr>
                <w:spacing w:val="-3"/>
              </w:rPr>
              <w:t xml:space="preserve">Enforcement Agency Notification Operations </w:t>
            </w:r>
          </w:p>
          <w:p w14:paraId="023B77B9" w14:textId="77777777" w:rsidR="00C469BF" w:rsidRPr="00142DC4" w:rsidRDefault="00C469BF" w:rsidP="00142DC4">
            <w:r w:rsidRPr="00557C41">
              <w:rPr>
                <w:spacing w:val="-3"/>
              </w:rPr>
              <w:t xml:space="preserve">(Including but not limited to, pursuant to Title 14/27, CCR – compost, chipping &amp; grinding, </w:t>
            </w:r>
            <w:proofErr w:type="spellStart"/>
            <w:r w:rsidRPr="00557C41">
              <w:rPr>
                <w:spacing w:val="-3"/>
              </w:rPr>
              <w:t>biosolids</w:t>
            </w:r>
            <w:proofErr w:type="spellEnd"/>
            <w:r w:rsidRPr="00557C41">
              <w:rPr>
                <w:spacing w:val="-3"/>
              </w:rPr>
              <w:t>, contaminated soil, and transfer processing operations)</w:t>
            </w:r>
          </w:p>
        </w:tc>
        <w:tc>
          <w:tcPr>
            <w:tcW w:w="900" w:type="dxa"/>
          </w:tcPr>
          <w:p w14:paraId="023B77C6" w14:textId="77777777" w:rsidR="00C469BF" w:rsidRPr="00142DC4" w:rsidRDefault="00C469BF" w:rsidP="00557C41">
            <w:pPr>
              <w:jc w:val="right"/>
            </w:pPr>
          </w:p>
        </w:tc>
        <w:tc>
          <w:tcPr>
            <w:tcW w:w="2250" w:type="dxa"/>
          </w:tcPr>
          <w:p w14:paraId="589800BF" w14:textId="77777777" w:rsidR="00E41F25" w:rsidRDefault="00E41F25" w:rsidP="00E41F25">
            <w:pPr>
              <w:jc w:val="right"/>
              <w:rPr>
                <w:spacing w:val="-3"/>
              </w:rPr>
            </w:pPr>
            <w:r>
              <w:rPr>
                <w:spacing w:val="-3"/>
              </w:rPr>
              <w:t>(&gt;)100,000 tons annually</w:t>
            </w:r>
          </w:p>
          <w:p w14:paraId="5A6186B6" w14:textId="045342A1" w:rsidR="00E41F25" w:rsidRDefault="00E41F25" w:rsidP="00E41F25">
            <w:pPr>
              <w:jc w:val="right"/>
              <w:rPr>
                <w:spacing w:val="-3"/>
              </w:rPr>
            </w:pPr>
            <w:r>
              <w:rPr>
                <w:spacing w:val="-3"/>
              </w:rPr>
              <w:t>$780+</w:t>
            </w:r>
            <w:r w:rsidR="00A97FEC">
              <w:rPr>
                <w:spacing w:val="-3"/>
              </w:rPr>
              <w:t>$</w:t>
            </w:r>
            <w:r>
              <w:rPr>
                <w:spacing w:val="-3"/>
              </w:rPr>
              <w:t>0.33 per ton for incoming material</w:t>
            </w:r>
          </w:p>
          <w:p w14:paraId="6A79E076" w14:textId="77777777" w:rsidR="00E41F25" w:rsidRDefault="00E41F25" w:rsidP="00E41F25">
            <w:pPr>
              <w:jc w:val="right"/>
              <w:rPr>
                <w:spacing w:val="-3"/>
              </w:rPr>
            </w:pPr>
          </w:p>
          <w:p w14:paraId="60A501BB" w14:textId="77777777" w:rsidR="00E41F25" w:rsidRDefault="00E41F25" w:rsidP="00E41F25">
            <w:pPr>
              <w:jc w:val="right"/>
              <w:rPr>
                <w:spacing w:val="-3"/>
              </w:rPr>
            </w:pPr>
            <w:r>
              <w:rPr>
                <w:spacing w:val="-3"/>
              </w:rPr>
              <w:t>(&lt;) 100,000 tons annually</w:t>
            </w:r>
          </w:p>
          <w:p w14:paraId="35404E3B" w14:textId="08F7BA2D" w:rsidR="00E41F25" w:rsidRPr="00C20EFC" w:rsidRDefault="00E41F25" w:rsidP="00E41F25">
            <w:pPr>
              <w:jc w:val="right"/>
              <w:rPr>
                <w:spacing w:val="-3"/>
              </w:rPr>
            </w:pPr>
            <w:r>
              <w:rPr>
                <w:spacing w:val="-3"/>
              </w:rPr>
              <w:t>$780+</w:t>
            </w:r>
            <w:r w:rsidR="00A97FEC">
              <w:rPr>
                <w:spacing w:val="-3"/>
              </w:rPr>
              <w:t>$</w:t>
            </w:r>
            <w:r>
              <w:rPr>
                <w:spacing w:val="-3"/>
              </w:rPr>
              <w:t>0.50</w:t>
            </w:r>
            <w:r w:rsidR="00A97FEC">
              <w:rPr>
                <w:spacing w:val="-3"/>
              </w:rPr>
              <w:t xml:space="preserve"> per ton for </w:t>
            </w:r>
            <w:r>
              <w:rPr>
                <w:spacing w:val="-3"/>
              </w:rPr>
              <w:t xml:space="preserve"> </w:t>
            </w:r>
          </w:p>
          <w:p w14:paraId="2F61F020" w14:textId="7C0B92AB" w:rsidR="008803C7" w:rsidRPr="00C20EFC" w:rsidRDefault="008803C7" w:rsidP="008803C7">
            <w:pPr>
              <w:jc w:val="right"/>
              <w:rPr>
                <w:spacing w:val="-3"/>
              </w:rPr>
            </w:pPr>
            <w:r>
              <w:rPr>
                <w:spacing w:val="-3"/>
              </w:rPr>
              <w:t xml:space="preserve">incoming material </w:t>
            </w:r>
          </w:p>
          <w:p w14:paraId="6903D120" w14:textId="77777777" w:rsidR="00C469BF" w:rsidRPr="00557C41" w:rsidRDefault="00C469BF" w:rsidP="00557C41">
            <w:pPr>
              <w:jc w:val="right"/>
              <w:rPr>
                <w:spacing w:val="-3"/>
              </w:rPr>
            </w:pPr>
          </w:p>
        </w:tc>
      </w:tr>
      <w:tr w:rsidR="00C469BF" w:rsidRPr="00557C41" w14:paraId="5B19AAD8" w14:textId="77777777" w:rsidTr="00B956F1">
        <w:trPr>
          <w:trHeight w:val="495"/>
        </w:trPr>
        <w:tc>
          <w:tcPr>
            <w:tcW w:w="1800" w:type="dxa"/>
          </w:tcPr>
          <w:p w14:paraId="1DAD81C2" w14:textId="77777777" w:rsidR="00C469BF" w:rsidRDefault="00C469BF" w:rsidP="00557C41">
            <w:pPr>
              <w:jc w:val="right"/>
            </w:pPr>
          </w:p>
        </w:tc>
        <w:tc>
          <w:tcPr>
            <w:tcW w:w="4590" w:type="dxa"/>
            <w:gridSpan w:val="3"/>
          </w:tcPr>
          <w:p w14:paraId="2457BAC8" w14:textId="77777777" w:rsidR="00C469BF" w:rsidRPr="00557C41" w:rsidRDefault="00C469BF" w:rsidP="00142DC4">
            <w:pPr>
              <w:rPr>
                <w:spacing w:val="-3"/>
              </w:rPr>
            </w:pPr>
          </w:p>
        </w:tc>
        <w:tc>
          <w:tcPr>
            <w:tcW w:w="900" w:type="dxa"/>
          </w:tcPr>
          <w:p w14:paraId="54A55330" w14:textId="77777777" w:rsidR="00C469BF" w:rsidRDefault="00C469BF" w:rsidP="00557C41">
            <w:pPr>
              <w:jc w:val="right"/>
              <w:rPr>
                <w:spacing w:val="-3"/>
              </w:rPr>
            </w:pPr>
          </w:p>
        </w:tc>
        <w:tc>
          <w:tcPr>
            <w:tcW w:w="2250" w:type="dxa"/>
          </w:tcPr>
          <w:p w14:paraId="65752BAE" w14:textId="77777777" w:rsidR="00C469BF" w:rsidRPr="00557C41" w:rsidRDefault="00C469BF" w:rsidP="00557C41">
            <w:pPr>
              <w:jc w:val="right"/>
              <w:rPr>
                <w:spacing w:val="-3"/>
              </w:rPr>
            </w:pPr>
          </w:p>
        </w:tc>
      </w:tr>
      <w:tr w:rsidR="00C469BF" w:rsidRPr="00557C41" w14:paraId="023B77E0" w14:textId="514A753F" w:rsidTr="00B956F1">
        <w:trPr>
          <w:trHeight w:val="2763"/>
        </w:trPr>
        <w:tc>
          <w:tcPr>
            <w:tcW w:w="1800" w:type="dxa"/>
          </w:tcPr>
          <w:p w14:paraId="023B77CE" w14:textId="77777777" w:rsidR="00C469BF" w:rsidRPr="00142DC4" w:rsidRDefault="00C469BF" w:rsidP="00557C41">
            <w:pPr>
              <w:jc w:val="right"/>
            </w:pPr>
            <w:r>
              <w:lastRenderedPageBreak/>
              <w:t>(3)</w:t>
            </w:r>
          </w:p>
        </w:tc>
        <w:tc>
          <w:tcPr>
            <w:tcW w:w="4590" w:type="dxa"/>
            <w:gridSpan w:val="3"/>
          </w:tcPr>
          <w:p w14:paraId="023B77CF" w14:textId="77777777" w:rsidR="00C469BF" w:rsidRPr="00557C41" w:rsidRDefault="00C469BF" w:rsidP="00557C41">
            <w:pPr>
              <w:tabs>
                <w:tab w:val="left" w:pos="0"/>
                <w:tab w:val="left" w:pos="504"/>
                <w:tab w:val="left" w:pos="1008"/>
                <w:tab w:val="left" w:pos="1512"/>
                <w:tab w:val="left" w:pos="6754"/>
                <w:tab w:val="left" w:pos="7459"/>
              </w:tabs>
              <w:suppressAutoHyphens/>
              <w:rPr>
                <w:spacing w:val="-3"/>
              </w:rPr>
            </w:pPr>
            <w:r w:rsidRPr="00557C41">
              <w:rPr>
                <w:spacing w:val="-3"/>
              </w:rPr>
              <w:t>Registration Permit</w:t>
            </w:r>
          </w:p>
          <w:p w14:paraId="023B77D0" w14:textId="77777777" w:rsidR="00C469BF" w:rsidRPr="00557C41" w:rsidRDefault="00C469BF" w:rsidP="00557C41">
            <w:pPr>
              <w:tabs>
                <w:tab w:val="left" w:pos="0"/>
                <w:tab w:val="left" w:pos="504"/>
                <w:tab w:val="left" w:pos="1008"/>
                <w:tab w:val="left" w:pos="1512"/>
                <w:tab w:val="left" w:pos="6754"/>
                <w:tab w:val="left" w:pos="7459"/>
              </w:tabs>
              <w:suppressAutoHyphens/>
              <w:rPr>
                <w:spacing w:val="-3"/>
              </w:rPr>
            </w:pPr>
            <w:r w:rsidRPr="00557C41">
              <w:rPr>
                <w:spacing w:val="-3"/>
              </w:rPr>
              <w:t>(Including but not limited to, pursuant to Title 14/2,7 CCR – chipping &amp; grinding, transfer processing, construction and demolition, and hazardous waste facility)</w:t>
            </w:r>
          </w:p>
        </w:tc>
        <w:tc>
          <w:tcPr>
            <w:tcW w:w="900" w:type="dxa"/>
          </w:tcPr>
          <w:p w14:paraId="023B77DF" w14:textId="09F2BCA9" w:rsidR="00C469BF" w:rsidRPr="00142DC4" w:rsidRDefault="00C469BF" w:rsidP="00C469BF"/>
        </w:tc>
        <w:tc>
          <w:tcPr>
            <w:tcW w:w="2250" w:type="dxa"/>
          </w:tcPr>
          <w:p w14:paraId="400EBB0B" w14:textId="77777777" w:rsidR="00E41F25" w:rsidRDefault="00E41F25" w:rsidP="00A97FEC">
            <w:pPr>
              <w:jc w:val="right"/>
              <w:rPr>
                <w:spacing w:val="-3"/>
              </w:rPr>
            </w:pPr>
            <w:r>
              <w:rPr>
                <w:spacing w:val="-3"/>
              </w:rPr>
              <w:t>(&gt;) 100,000 tons annually</w:t>
            </w:r>
          </w:p>
          <w:p w14:paraId="102A7608" w14:textId="2D95CBE7" w:rsidR="00E41F25" w:rsidRDefault="00E41F25" w:rsidP="00A97FEC">
            <w:pPr>
              <w:jc w:val="right"/>
              <w:rPr>
                <w:spacing w:val="-3"/>
              </w:rPr>
            </w:pPr>
            <w:r>
              <w:rPr>
                <w:spacing w:val="-3"/>
              </w:rPr>
              <w:t>$780+</w:t>
            </w:r>
            <w:r w:rsidR="00A97FEC">
              <w:rPr>
                <w:spacing w:val="-3"/>
              </w:rPr>
              <w:t>$</w:t>
            </w:r>
            <w:r>
              <w:rPr>
                <w:spacing w:val="-3"/>
              </w:rPr>
              <w:t>0.33 per ton for incoming material</w:t>
            </w:r>
          </w:p>
          <w:p w14:paraId="6E1750B0" w14:textId="77777777" w:rsidR="00A97FEC" w:rsidRDefault="00A97FEC" w:rsidP="00A97FEC">
            <w:pPr>
              <w:jc w:val="right"/>
              <w:rPr>
                <w:spacing w:val="-3"/>
              </w:rPr>
            </w:pPr>
          </w:p>
          <w:p w14:paraId="47FECD00" w14:textId="77777777" w:rsidR="00E41F25" w:rsidRDefault="00E41F25" w:rsidP="00A97FEC">
            <w:pPr>
              <w:jc w:val="right"/>
              <w:rPr>
                <w:spacing w:val="-3"/>
              </w:rPr>
            </w:pPr>
            <w:r>
              <w:rPr>
                <w:spacing w:val="-3"/>
              </w:rPr>
              <w:t>(&lt;) 100,000 tons annually</w:t>
            </w:r>
          </w:p>
          <w:p w14:paraId="3080E295" w14:textId="1206E542" w:rsidR="00C469BF" w:rsidRPr="00557C41" w:rsidRDefault="00E41F25" w:rsidP="00A97FEC">
            <w:pPr>
              <w:jc w:val="right"/>
              <w:rPr>
                <w:spacing w:val="-3"/>
              </w:rPr>
            </w:pPr>
            <w:r>
              <w:rPr>
                <w:spacing w:val="-3"/>
              </w:rPr>
              <w:t>$780+</w:t>
            </w:r>
            <w:r w:rsidR="00A97FEC">
              <w:rPr>
                <w:spacing w:val="-3"/>
              </w:rPr>
              <w:t>$</w:t>
            </w:r>
            <w:r>
              <w:rPr>
                <w:spacing w:val="-3"/>
              </w:rPr>
              <w:t>0.50</w:t>
            </w:r>
            <w:r w:rsidR="00A97FEC">
              <w:rPr>
                <w:spacing w:val="-3"/>
              </w:rPr>
              <w:t xml:space="preserve"> </w:t>
            </w:r>
            <w:r w:rsidR="008803C7">
              <w:rPr>
                <w:spacing w:val="-3"/>
              </w:rPr>
              <w:t>per ton of incoming material</w:t>
            </w:r>
          </w:p>
        </w:tc>
      </w:tr>
      <w:tr w:rsidR="00C469BF" w:rsidRPr="00557C41" w14:paraId="023B77F6" w14:textId="78141413" w:rsidTr="00B956F1">
        <w:trPr>
          <w:trHeight w:val="291"/>
        </w:trPr>
        <w:tc>
          <w:tcPr>
            <w:tcW w:w="1800" w:type="dxa"/>
          </w:tcPr>
          <w:p w14:paraId="023B77E7" w14:textId="77777777" w:rsidR="00C469BF" w:rsidRPr="00142DC4" w:rsidRDefault="00C469BF" w:rsidP="00557C41">
            <w:pPr>
              <w:jc w:val="right"/>
            </w:pPr>
            <w:r>
              <w:t>(4)</w:t>
            </w:r>
          </w:p>
        </w:tc>
        <w:tc>
          <w:tcPr>
            <w:tcW w:w="4590" w:type="dxa"/>
            <w:gridSpan w:val="3"/>
          </w:tcPr>
          <w:p w14:paraId="023B77E8" w14:textId="77777777" w:rsidR="00C469BF" w:rsidRPr="00557C41" w:rsidRDefault="00C469BF" w:rsidP="00142DC4">
            <w:pPr>
              <w:rPr>
                <w:spacing w:val="-3"/>
              </w:rPr>
            </w:pPr>
            <w:r w:rsidRPr="00557C41">
              <w:rPr>
                <w:spacing w:val="-3"/>
              </w:rPr>
              <w:t>Standardized Permit</w:t>
            </w:r>
          </w:p>
          <w:p w14:paraId="023B77E9" w14:textId="77777777" w:rsidR="00C469BF" w:rsidRPr="00142DC4" w:rsidRDefault="00C469BF" w:rsidP="00142DC4">
            <w:r w:rsidRPr="00557C41">
              <w:rPr>
                <w:spacing w:val="-3"/>
              </w:rPr>
              <w:t>(Including but not limited to, pursuant to Title 14/27, CCR—chipping &amp; grinding, transfer processing, construction and demolition, and hazardous waste facility)</w:t>
            </w:r>
          </w:p>
        </w:tc>
        <w:tc>
          <w:tcPr>
            <w:tcW w:w="900" w:type="dxa"/>
          </w:tcPr>
          <w:p w14:paraId="023B77F5" w14:textId="21D9A68F" w:rsidR="00C469BF" w:rsidRPr="00557C41" w:rsidRDefault="00C469BF" w:rsidP="00557C41">
            <w:pPr>
              <w:jc w:val="right"/>
              <w:rPr>
                <w:spacing w:val="-3"/>
              </w:rPr>
            </w:pPr>
          </w:p>
        </w:tc>
        <w:tc>
          <w:tcPr>
            <w:tcW w:w="2250" w:type="dxa"/>
          </w:tcPr>
          <w:p w14:paraId="593E2FD7" w14:textId="77777777" w:rsidR="00E41F25" w:rsidRDefault="00E41F25" w:rsidP="00E41F25">
            <w:pPr>
              <w:jc w:val="right"/>
              <w:rPr>
                <w:spacing w:val="-3"/>
              </w:rPr>
            </w:pPr>
            <w:r>
              <w:rPr>
                <w:spacing w:val="-3"/>
              </w:rPr>
              <w:t>(&gt;) 100,000 tons annually</w:t>
            </w:r>
          </w:p>
          <w:p w14:paraId="41BE3E45" w14:textId="77777777" w:rsidR="00E41F25" w:rsidRDefault="00E41F25" w:rsidP="00E41F25">
            <w:pPr>
              <w:jc w:val="right"/>
              <w:rPr>
                <w:spacing w:val="-3"/>
              </w:rPr>
            </w:pPr>
            <w:r>
              <w:rPr>
                <w:spacing w:val="-3"/>
              </w:rPr>
              <w:t>$780+$0.33 per ton for incoming material</w:t>
            </w:r>
          </w:p>
          <w:p w14:paraId="3A67BDE0" w14:textId="77777777" w:rsidR="00E41F25" w:rsidRDefault="00E41F25" w:rsidP="00E41F25">
            <w:pPr>
              <w:jc w:val="right"/>
              <w:rPr>
                <w:spacing w:val="-3"/>
              </w:rPr>
            </w:pPr>
          </w:p>
          <w:p w14:paraId="38EC07ED" w14:textId="77777777" w:rsidR="00E41F25" w:rsidRDefault="00E41F25" w:rsidP="00E41F25">
            <w:pPr>
              <w:jc w:val="right"/>
              <w:rPr>
                <w:spacing w:val="-3"/>
              </w:rPr>
            </w:pPr>
            <w:r>
              <w:rPr>
                <w:spacing w:val="-3"/>
              </w:rPr>
              <w:t xml:space="preserve">(&lt;) 100.000 tons annually </w:t>
            </w:r>
          </w:p>
          <w:p w14:paraId="51F8E8DC" w14:textId="77777777" w:rsidR="00E41F25" w:rsidRDefault="00E41F25" w:rsidP="00E41F25">
            <w:pPr>
              <w:jc w:val="right"/>
              <w:rPr>
                <w:spacing w:val="-3"/>
              </w:rPr>
            </w:pPr>
            <w:r>
              <w:rPr>
                <w:spacing w:val="-3"/>
              </w:rPr>
              <w:t>$780+$0.50</w:t>
            </w:r>
          </w:p>
          <w:p w14:paraId="5085DC82" w14:textId="0AC69179" w:rsidR="008803C7" w:rsidRDefault="008803C7" w:rsidP="008803C7">
            <w:pPr>
              <w:jc w:val="right"/>
              <w:rPr>
                <w:spacing w:val="-3"/>
              </w:rPr>
            </w:pPr>
            <w:r>
              <w:rPr>
                <w:spacing w:val="-3"/>
              </w:rPr>
              <w:t>per ton for incoming material</w:t>
            </w:r>
          </w:p>
          <w:p w14:paraId="35530F18" w14:textId="77777777" w:rsidR="00C469BF" w:rsidRPr="00557C41" w:rsidRDefault="00C469BF" w:rsidP="00557C41">
            <w:pPr>
              <w:jc w:val="right"/>
              <w:rPr>
                <w:spacing w:val="-3"/>
              </w:rPr>
            </w:pPr>
          </w:p>
        </w:tc>
      </w:tr>
      <w:tr w:rsidR="00C469BF" w:rsidRPr="00557C41" w14:paraId="023B780D" w14:textId="280C4F36" w:rsidTr="00B956F1">
        <w:trPr>
          <w:trHeight w:val="291"/>
        </w:trPr>
        <w:tc>
          <w:tcPr>
            <w:tcW w:w="1800" w:type="dxa"/>
          </w:tcPr>
          <w:p w14:paraId="023B77FE" w14:textId="77777777" w:rsidR="00C469BF" w:rsidRPr="00142DC4" w:rsidRDefault="00C469BF" w:rsidP="00557C41">
            <w:pPr>
              <w:jc w:val="right"/>
            </w:pPr>
            <w:r>
              <w:t>(5)</w:t>
            </w:r>
          </w:p>
        </w:tc>
        <w:tc>
          <w:tcPr>
            <w:tcW w:w="4590" w:type="dxa"/>
            <w:gridSpan w:val="3"/>
          </w:tcPr>
          <w:p w14:paraId="023B77FF" w14:textId="77777777" w:rsidR="00C469BF" w:rsidRPr="00557C41" w:rsidRDefault="00C469BF" w:rsidP="00142DC4">
            <w:pPr>
              <w:rPr>
                <w:spacing w:val="-3"/>
              </w:rPr>
            </w:pPr>
            <w:r w:rsidRPr="00557C41">
              <w:rPr>
                <w:spacing w:val="-3"/>
              </w:rPr>
              <w:t>Full Permit</w:t>
            </w:r>
          </w:p>
          <w:p w14:paraId="023B7800" w14:textId="77777777" w:rsidR="00C469BF" w:rsidRPr="00142DC4" w:rsidRDefault="00C469BF" w:rsidP="00142DC4">
            <w:r w:rsidRPr="00557C41">
              <w:rPr>
                <w:spacing w:val="-3"/>
              </w:rPr>
              <w:t xml:space="preserve">(Including but not limited to, pursuant to Title 14/27, CCR – compost, chipping &amp; grinding, </w:t>
            </w:r>
            <w:proofErr w:type="spellStart"/>
            <w:r w:rsidRPr="00557C41">
              <w:rPr>
                <w:spacing w:val="-3"/>
              </w:rPr>
              <w:t>biosolids</w:t>
            </w:r>
            <w:proofErr w:type="spellEnd"/>
            <w:r w:rsidRPr="00557C41">
              <w:rPr>
                <w:spacing w:val="-3"/>
              </w:rPr>
              <w:t>, contaminated soil, and transfer processing operations)</w:t>
            </w:r>
          </w:p>
        </w:tc>
        <w:tc>
          <w:tcPr>
            <w:tcW w:w="900" w:type="dxa"/>
          </w:tcPr>
          <w:p w14:paraId="023B780C" w14:textId="77777777" w:rsidR="00C469BF" w:rsidRPr="00142DC4" w:rsidRDefault="00C469BF" w:rsidP="00557C41">
            <w:pPr>
              <w:jc w:val="right"/>
            </w:pPr>
          </w:p>
        </w:tc>
        <w:tc>
          <w:tcPr>
            <w:tcW w:w="2250" w:type="dxa"/>
          </w:tcPr>
          <w:p w14:paraId="2EF25690" w14:textId="77777777" w:rsidR="00E41F25" w:rsidRDefault="00E41F25" w:rsidP="00E41F25">
            <w:pPr>
              <w:jc w:val="right"/>
            </w:pPr>
            <w:r>
              <w:t>(&gt;) 100,000 tons annually $780+$0.33 per ton for incoming material</w:t>
            </w:r>
          </w:p>
          <w:p w14:paraId="234F113F" w14:textId="77777777" w:rsidR="00A97FEC" w:rsidRDefault="00A97FEC" w:rsidP="00E41F25">
            <w:pPr>
              <w:jc w:val="right"/>
            </w:pPr>
          </w:p>
          <w:p w14:paraId="21EFAC87" w14:textId="77777777" w:rsidR="00E41F25" w:rsidRDefault="00E41F25" w:rsidP="00E41F25">
            <w:pPr>
              <w:jc w:val="right"/>
            </w:pPr>
            <w:r>
              <w:t xml:space="preserve">(&lt;) 100,000 tons annually </w:t>
            </w:r>
          </w:p>
          <w:p w14:paraId="02BA8532" w14:textId="2B5560E0" w:rsidR="00E41F25" w:rsidRDefault="00E41F25" w:rsidP="00E41F25">
            <w:pPr>
              <w:jc w:val="right"/>
            </w:pPr>
            <w:r>
              <w:t>$780+$0.50</w:t>
            </w:r>
            <w:r w:rsidR="00A97FEC">
              <w:t xml:space="preserve"> per ton for incoming material</w:t>
            </w:r>
          </w:p>
          <w:p w14:paraId="6ABDB210" w14:textId="69925C78" w:rsidR="008803C7" w:rsidRDefault="008803C7" w:rsidP="008803C7">
            <w:pPr>
              <w:jc w:val="right"/>
            </w:pPr>
          </w:p>
          <w:p w14:paraId="7B479CBC" w14:textId="77777777" w:rsidR="00C469BF" w:rsidRDefault="00C469BF" w:rsidP="00557C41">
            <w:pPr>
              <w:jc w:val="right"/>
            </w:pPr>
          </w:p>
        </w:tc>
      </w:tr>
      <w:tr w:rsidR="00C469BF" w:rsidRPr="00557C41" w14:paraId="023B781B" w14:textId="6BCC74DE" w:rsidTr="00B956F1">
        <w:trPr>
          <w:trHeight w:val="291"/>
        </w:trPr>
        <w:tc>
          <w:tcPr>
            <w:tcW w:w="1800" w:type="dxa"/>
          </w:tcPr>
          <w:p w14:paraId="023B7814" w14:textId="77777777" w:rsidR="00C469BF" w:rsidRPr="00142DC4" w:rsidRDefault="00C469BF" w:rsidP="00557C41">
            <w:pPr>
              <w:jc w:val="right"/>
            </w:pPr>
            <w:r>
              <w:t>(6)</w:t>
            </w:r>
          </w:p>
        </w:tc>
        <w:tc>
          <w:tcPr>
            <w:tcW w:w="4590" w:type="dxa"/>
            <w:gridSpan w:val="3"/>
          </w:tcPr>
          <w:p w14:paraId="1047A47F" w14:textId="77777777" w:rsidR="00C469BF" w:rsidRDefault="00C469BF" w:rsidP="00557C41">
            <w:pPr>
              <w:tabs>
                <w:tab w:val="left" w:pos="0"/>
                <w:tab w:val="left" w:pos="504"/>
                <w:tab w:val="left" w:pos="1008"/>
                <w:tab w:val="left" w:pos="1512"/>
                <w:tab w:val="left" w:pos="6754"/>
                <w:tab w:val="left" w:pos="7459"/>
              </w:tabs>
              <w:suppressAutoHyphens/>
              <w:rPr>
                <w:spacing w:val="-3"/>
              </w:rPr>
            </w:pPr>
            <w:r w:rsidRPr="00557C41">
              <w:rPr>
                <w:spacing w:val="-3"/>
              </w:rPr>
              <w:t>Alternative Performance Standards Inspection Fee in addition to Annual Inspection Fee (#5 above)</w:t>
            </w:r>
          </w:p>
          <w:p w14:paraId="023B7815" w14:textId="2145DD4D" w:rsidR="00C469BF" w:rsidRPr="00557C41" w:rsidRDefault="00C469BF" w:rsidP="00557C41">
            <w:pPr>
              <w:tabs>
                <w:tab w:val="left" w:pos="0"/>
                <w:tab w:val="left" w:pos="504"/>
                <w:tab w:val="left" w:pos="1008"/>
                <w:tab w:val="left" w:pos="1512"/>
                <w:tab w:val="left" w:pos="6754"/>
                <w:tab w:val="left" w:pos="7459"/>
              </w:tabs>
              <w:suppressAutoHyphens/>
              <w:rPr>
                <w:spacing w:val="-3"/>
              </w:rPr>
            </w:pPr>
          </w:p>
        </w:tc>
        <w:tc>
          <w:tcPr>
            <w:tcW w:w="900" w:type="dxa"/>
          </w:tcPr>
          <w:p w14:paraId="023B781A" w14:textId="38857EFA" w:rsidR="00C469BF" w:rsidRPr="00142DC4" w:rsidRDefault="00C469BF" w:rsidP="00557C41">
            <w:pPr>
              <w:jc w:val="right"/>
            </w:pPr>
          </w:p>
        </w:tc>
        <w:tc>
          <w:tcPr>
            <w:tcW w:w="2250" w:type="dxa"/>
          </w:tcPr>
          <w:p w14:paraId="1DAC681B" w14:textId="5E752F1F" w:rsidR="00C469BF" w:rsidRDefault="008D2F36" w:rsidP="00557C41">
            <w:pPr>
              <w:jc w:val="right"/>
            </w:pPr>
            <w:r>
              <w:t>$7363.00 per year</w:t>
            </w:r>
          </w:p>
        </w:tc>
      </w:tr>
      <w:tr w:rsidR="00C469BF" w:rsidRPr="00557C41" w14:paraId="023B782D" w14:textId="0D6EDFB9" w:rsidTr="00B956F1">
        <w:trPr>
          <w:trHeight w:val="291"/>
        </w:trPr>
        <w:tc>
          <w:tcPr>
            <w:tcW w:w="1800" w:type="dxa"/>
          </w:tcPr>
          <w:p w14:paraId="023B7824" w14:textId="77777777" w:rsidR="00C469BF" w:rsidRPr="00142DC4" w:rsidRDefault="00C469BF" w:rsidP="00557C41">
            <w:pPr>
              <w:jc w:val="right"/>
            </w:pPr>
            <w:r>
              <w:t>(7)</w:t>
            </w:r>
          </w:p>
        </w:tc>
        <w:tc>
          <w:tcPr>
            <w:tcW w:w="4590" w:type="dxa"/>
            <w:gridSpan w:val="3"/>
          </w:tcPr>
          <w:p w14:paraId="023B7825" w14:textId="77777777" w:rsidR="00C469BF" w:rsidRPr="00142DC4" w:rsidRDefault="00C469BF" w:rsidP="00142DC4">
            <w:r w:rsidRPr="00557C41">
              <w:rPr>
                <w:spacing w:val="-3"/>
              </w:rPr>
              <w:t>Refuse Collection/Transportation Vehicles</w:t>
            </w:r>
          </w:p>
        </w:tc>
        <w:tc>
          <w:tcPr>
            <w:tcW w:w="900" w:type="dxa"/>
          </w:tcPr>
          <w:p w14:paraId="023B782C" w14:textId="77777777" w:rsidR="00C469BF" w:rsidRPr="00142DC4" w:rsidRDefault="00C469BF" w:rsidP="00557C41">
            <w:pPr>
              <w:jc w:val="right"/>
            </w:pPr>
          </w:p>
        </w:tc>
        <w:tc>
          <w:tcPr>
            <w:tcW w:w="2250" w:type="dxa"/>
          </w:tcPr>
          <w:p w14:paraId="7189852F" w14:textId="24C7D763" w:rsidR="00C469BF" w:rsidRDefault="00E41F25" w:rsidP="00557C41">
            <w:pPr>
              <w:jc w:val="right"/>
            </w:pPr>
            <w:r>
              <w:t>$764.00 per year + $3</w:t>
            </w:r>
            <w:r w:rsidR="008D2F36">
              <w:t>9.20 per vehicle</w:t>
            </w:r>
          </w:p>
        </w:tc>
      </w:tr>
      <w:tr w:rsidR="00C469BF" w:rsidRPr="00557C41" w14:paraId="198204C9" w14:textId="77777777" w:rsidTr="00B956F1">
        <w:trPr>
          <w:trHeight w:val="900"/>
        </w:trPr>
        <w:tc>
          <w:tcPr>
            <w:tcW w:w="1800" w:type="dxa"/>
          </w:tcPr>
          <w:p w14:paraId="5464EF83" w14:textId="77777777" w:rsidR="00C469BF" w:rsidRDefault="00C469BF" w:rsidP="00557C41">
            <w:pPr>
              <w:jc w:val="right"/>
            </w:pPr>
          </w:p>
        </w:tc>
        <w:tc>
          <w:tcPr>
            <w:tcW w:w="4590" w:type="dxa"/>
            <w:gridSpan w:val="3"/>
          </w:tcPr>
          <w:p w14:paraId="3F4554B9" w14:textId="77777777" w:rsidR="00C469BF" w:rsidRPr="00557C41" w:rsidRDefault="00C469BF" w:rsidP="00142DC4">
            <w:pPr>
              <w:rPr>
                <w:spacing w:val="-3"/>
              </w:rPr>
            </w:pPr>
          </w:p>
        </w:tc>
        <w:tc>
          <w:tcPr>
            <w:tcW w:w="900" w:type="dxa"/>
          </w:tcPr>
          <w:p w14:paraId="61D018C5" w14:textId="77777777" w:rsidR="00C469BF" w:rsidRDefault="00C469BF" w:rsidP="00557C41">
            <w:pPr>
              <w:jc w:val="right"/>
            </w:pPr>
          </w:p>
        </w:tc>
        <w:tc>
          <w:tcPr>
            <w:tcW w:w="2250" w:type="dxa"/>
          </w:tcPr>
          <w:p w14:paraId="0753160F" w14:textId="77777777" w:rsidR="00C469BF" w:rsidRDefault="00C469BF" w:rsidP="00557C41">
            <w:pPr>
              <w:jc w:val="right"/>
            </w:pPr>
          </w:p>
        </w:tc>
      </w:tr>
      <w:tr w:rsidR="00C469BF" w:rsidRPr="00557C41" w14:paraId="023B783F" w14:textId="60EAEC15" w:rsidTr="00B956F1">
        <w:trPr>
          <w:trHeight w:val="291"/>
        </w:trPr>
        <w:tc>
          <w:tcPr>
            <w:tcW w:w="1800" w:type="dxa"/>
          </w:tcPr>
          <w:p w14:paraId="023B7834" w14:textId="77777777" w:rsidR="00C469BF" w:rsidRPr="00142DC4" w:rsidRDefault="00C469BF" w:rsidP="00557C41">
            <w:pPr>
              <w:jc w:val="right"/>
            </w:pPr>
            <w:r>
              <w:lastRenderedPageBreak/>
              <w:t>(8)</w:t>
            </w:r>
          </w:p>
        </w:tc>
        <w:tc>
          <w:tcPr>
            <w:tcW w:w="4590" w:type="dxa"/>
            <w:gridSpan w:val="3"/>
          </w:tcPr>
          <w:p w14:paraId="023B7835" w14:textId="77777777" w:rsidR="00C469BF" w:rsidRPr="00557C41" w:rsidRDefault="00C469BF" w:rsidP="00142DC4">
            <w:pPr>
              <w:rPr>
                <w:spacing w:val="-3"/>
              </w:rPr>
            </w:pPr>
            <w:r w:rsidRPr="00557C41">
              <w:rPr>
                <w:spacing w:val="-3"/>
              </w:rPr>
              <w:t>Closed, Illegal, or Abandoned disposal site and facilities</w:t>
            </w:r>
          </w:p>
          <w:p w14:paraId="023B7836" w14:textId="77777777" w:rsidR="00C469BF" w:rsidRPr="00142DC4" w:rsidRDefault="00C469BF" w:rsidP="00142DC4">
            <w:r w:rsidRPr="00557C41">
              <w:rPr>
                <w:spacing w:val="-3"/>
              </w:rPr>
              <w:t>(# of inspection is based on State requirements)  Payable at the beginning of the fiscal year.</w:t>
            </w:r>
          </w:p>
        </w:tc>
        <w:tc>
          <w:tcPr>
            <w:tcW w:w="900" w:type="dxa"/>
          </w:tcPr>
          <w:p w14:paraId="023B783E" w14:textId="7465098B" w:rsidR="00C469BF" w:rsidRPr="00142DC4" w:rsidRDefault="00C469BF" w:rsidP="00557C41">
            <w:pPr>
              <w:jc w:val="right"/>
            </w:pPr>
          </w:p>
        </w:tc>
        <w:tc>
          <w:tcPr>
            <w:tcW w:w="2250" w:type="dxa"/>
          </w:tcPr>
          <w:p w14:paraId="71612BEE" w14:textId="12339CC2" w:rsidR="00205E5F" w:rsidRDefault="00205E5F" w:rsidP="00205E5F">
            <w:pPr>
              <w:jc w:val="right"/>
            </w:pPr>
            <w:r>
              <w:t>1X-annual $372</w:t>
            </w:r>
          </w:p>
          <w:p w14:paraId="37DF49AA" w14:textId="660D227B" w:rsidR="00205E5F" w:rsidRDefault="00205E5F" w:rsidP="00205E5F">
            <w:pPr>
              <w:jc w:val="right"/>
            </w:pPr>
            <w:r>
              <w:t>2X-annual $694</w:t>
            </w:r>
          </w:p>
          <w:p w14:paraId="2F6FC25D" w14:textId="5C73322C" w:rsidR="00C469BF" w:rsidRDefault="00205E5F" w:rsidP="00205E5F">
            <w:pPr>
              <w:jc w:val="right"/>
            </w:pPr>
            <w:r>
              <w:t>4X-annual $1,358</w:t>
            </w:r>
          </w:p>
        </w:tc>
      </w:tr>
      <w:tr w:rsidR="00C469BF" w:rsidRPr="00557C41" w14:paraId="023B7852" w14:textId="612677AC" w:rsidTr="00B956F1">
        <w:trPr>
          <w:trHeight w:val="291"/>
        </w:trPr>
        <w:tc>
          <w:tcPr>
            <w:tcW w:w="1800" w:type="dxa"/>
          </w:tcPr>
          <w:p w14:paraId="023B7847" w14:textId="77777777" w:rsidR="00C469BF" w:rsidRPr="00142DC4" w:rsidRDefault="00C469BF" w:rsidP="00557C41">
            <w:pPr>
              <w:jc w:val="right"/>
            </w:pPr>
            <w:r>
              <w:t>(9)</w:t>
            </w:r>
          </w:p>
        </w:tc>
        <w:tc>
          <w:tcPr>
            <w:tcW w:w="4590" w:type="dxa"/>
            <w:gridSpan w:val="3"/>
          </w:tcPr>
          <w:p w14:paraId="023B7848" w14:textId="77777777" w:rsidR="00C469BF" w:rsidRDefault="00C469BF" w:rsidP="00142DC4">
            <w:r>
              <w:t>County Compositing Permit Fee.</w:t>
            </w:r>
          </w:p>
          <w:p w14:paraId="023B7849" w14:textId="77777777" w:rsidR="00C469BF" w:rsidRPr="00142DC4" w:rsidRDefault="00C469BF" w:rsidP="00142DC4">
            <w:r>
              <w:t>Not subject to State Permit Requirements</w:t>
            </w:r>
          </w:p>
        </w:tc>
        <w:tc>
          <w:tcPr>
            <w:tcW w:w="900" w:type="dxa"/>
          </w:tcPr>
          <w:p w14:paraId="023B7851" w14:textId="77777777" w:rsidR="00C469BF" w:rsidRPr="00142DC4" w:rsidRDefault="00C469BF" w:rsidP="00557C41">
            <w:pPr>
              <w:jc w:val="right"/>
            </w:pPr>
          </w:p>
        </w:tc>
        <w:tc>
          <w:tcPr>
            <w:tcW w:w="2250" w:type="dxa"/>
          </w:tcPr>
          <w:p w14:paraId="10AB528F" w14:textId="77777777" w:rsidR="00205E5F" w:rsidRDefault="00205E5F" w:rsidP="00205E5F">
            <w:pPr>
              <w:jc w:val="right"/>
            </w:pPr>
            <w:r>
              <w:t>$156+$0.50</w:t>
            </w:r>
          </w:p>
          <w:p w14:paraId="178AF0D3" w14:textId="77777777" w:rsidR="00205E5F" w:rsidRDefault="00205E5F" w:rsidP="00205E5F">
            <w:pPr>
              <w:jc w:val="right"/>
            </w:pPr>
            <w:r>
              <w:t>per ton of waste received</w:t>
            </w:r>
          </w:p>
          <w:p w14:paraId="1BC9E97D" w14:textId="77777777" w:rsidR="00C469BF" w:rsidRDefault="00C469BF" w:rsidP="00557C41">
            <w:pPr>
              <w:jc w:val="right"/>
            </w:pPr>
          </w:p>
        </w:tc>
      </w:tr>
      <w:tr w:rsidR="00C469BF" w:rsidRPr="00557C41" w14:paraId="023B7865" w14:textId="2D37928C" w:rsidTr="00B956F1">
        <w:trPr>
          <w:trHeight w:val="291"/>
        </w:trPr>
        <w:tc>
          <w:tcPr>
            <w:tcW w:w="1800" w:type="dxa"/>
          </w:tcPr>
          <w:p w14:paraId="023B7859" w14:textId="77777777" w:rsidR="00C469BF" w:rsidRPr="00142DC4" w:rsidRDefault="00C469BF" w:rsidP="00142DC4">
            <w:r>
              <w:tab/>
              <w:t>(b)</w:t>
            </w:r>
          </w:p>
        </w:tc>
        <w:tc>
          <w:tcPr>
            <w:tcW w:w="4590" w:type="dxa"/>
            <w:gridSpan w:val="3"/>
          </w:tcPr>
          <w:p w14:paraId="10900CC2" w14:textId="77777777" w:rsidR="00C469BF" w:rsidRDefault="00C469BF" w:rsidP="00142DC4">
            <w:r>
              <w:t>Solid Waste Facility Permit Applications – includes review R.F.I., Permit Review engineering, geological and environmental reports and requests for review and approval, meetings with the applicant or the consultant, public hearings and preparation of the current document.  All out of County travel costs will be charged to the account.  Any independent review of documents by an outside firm (such as engineering review) shall also be charged to the account.</w:t>
            </w:r>
          </w:p>
          <w:p w14:paraId="023B785A" w14:textId="7065E85C" w:rsidR="00C469BF" w:rsidRPr="00142DC4" w:rsidRDefault="00C469BF" w:rsidP="00142DC4"/>
        </w:tc>
        <w:tc>
          <w:tcPr>
            <w:tcW w:w="900" w:type="dxa"/>
          </w:tcPr>
          <w:p w14:paraId="023B7864" w14:textId="77777777" w:rsidR="00C469BF" w:rsidRPr="00142DC4" w:rsidRDefault="00C469BF" w:rsidP="00557C41">
            <w:pPr>
              <w:jc w:val="right"/>
            </w:pPr>
          </w:p>
        </w:tc>
        <w:tc>
          <w:tcPr>
            <w:tcW w:w="2250" w:type="dxa"/>
          </w:tcPr>
          <w:p w14:paraId="76D3F040" w14:textId="447EEFA7" w:rsidR="00205E5F" w:rsidRDefault="00205E5F" w:rsidP="00205E5F">
            <w:pPr>
              <w:jc w:val="right"/>
            </w:pPr>
            <w:r>
              <w:t>$109 per hour</w:t>
            </w:r>
          </w:p>
          <w:p w14:paraId="3BB4C62E" w14:textId="77777777" w:rsidR="00205E5F" w:rsidRDefault="00205E5F" w:rsidP="00205E5F">
            <w:pPr>
              <w:jc w:val="right"/>
            </w:pPr>
            <w:r>
              <w:t xml:space="preserve"> + expenses ($1,500 retainer paid </w:t>
            </w:r>
          </w:p>
          <w:p w14:paraId="2123A12A" w14:textId="77777777" w:rsidR="00205E5F" w:rsidRDefault="00205E5F" w:rsidP="00205E5F">
            <w:pPr>
              <w:jc w:val="right"/>
            </w:pPr>
            <w:r>
              <w:t>with submittal)</w:t>
            </w:r>
          </w:p>
          <w:p w14:paraId="47FDC333" w14:textId="77777777" w:rsidR="00C469BF" w:rsidRDefault="00C469BF" w:rsidP="00557C41">
            <w:pPr>
              <w:jc w:val="right"/>
            </w:pPr>
          </w:p>
        </w:tc>
      </w:tr>
      <w:tr w:rsidR="00C469BF" w:rsidRPr="00557C41" w14:paraId="023B7878" w14:textId="4B4072D5" w:rsidTr="00B956F1">
        <w:trPr>
          <w:trHeight w:val="291"/>
        </w:trPr>
        <w:tc>
          <w:tcPr>
            <w:tcW w:w="1800" w:type="dxa"/>
          </w:tcPr>
          <w:p w14:paraId="023B786C" w14:textId="77777777" w:rsidR="00C469BF" w:rsidRPr="00142DC4" w:rsidRDefault="00C469BF" w:rsidP="00142DC4">
            <w:r>
              <w:tab/>
              <w:t>(c)</w:t>
            </w:r>
          </w:p>
        </w:tc>
        <w:tc>
          <w:tcPr>
            <w:tcW w:w="4590" w:type="dxa"/>
            <w:gridSpan w:val="3"/>
          </w:tcPr>
          <w:p w14:paraId="023B786D" w14:textId="77777777" w:rsidR="00C469BF" w:rsidRDefault="00C469BF" w:rsidP="00142DC4">
            <w:r>
              <w:t>Closure Post Closure Maintenance Plans:</w:t>
            </w:r>
          </w:p>
          <w:p w14:paraId="2DFAAF0B" w14:textId="77777777" w:rsidR="00C469BF" w:rsidRDefault="00C469BF" w:rsidP="00142DC4">
            <w:r>
              <w:t>Review of tentative and final plans, reports related to the plans and any meetings with the operator/owner the plans and any meetings with the operator/owner consultant or other agencies.  Any out of County travel with the activity will also be charged to the account.</w:t>
            </w:r>
          </w:p>
          <w:p w14:paraId="023B786E" w14:textId="46971B2F" w:rsidR="00C469BF" w:rsidRPr="00142DC4" w:rsidRDefault="00C469BF" w:rsidP="00142DC4"/>
        </w:tc>
        <w:tc>
          <w:tcPr>
            <w:tcW w:w="900" w:type="dxa"/>
          </w:tcPr>
          <w:p w14:paraId="023B7877" w14:textId="431B393A" w:rsidR="00C469BF" w:rsidRPr="00142DC4" w:rsidRDefault="00C469BF" w:rsidP="00557C41">
            <w:pPr>
              <w:jc w:val="right"/>
            </w:pPr>
          </w:p>
        </w:tc>
        <w:tc>
          <w:tcPr>
            <w:tcW w:w="2250" w:type="dxa"/>
          </w:tcPr>
          <w:p w14:paraId="6D1A937C" w14:textId="56CB0D36" w:rsidR="002F4EAD" w:rsidRDefault="002F4EAD" w:rsidP="002F4EAD">
            <w:pPr>
              <w:jc w:val="right"/>
            </w:pPr>
            <w:r>
              <w:t>$109 per hour</w:t>
            </w:r>
          </w:p>
          <w:p w14:paraId="2F98F090" w14:textId="77777777" w:rsidR="002F4EAD" w:rsidRDefault="002F4EAD" w:rsidP="002F4EAD">
            <w:pPr>
              <w:jc w:val="right"/>
            </w:pPr>
          </w:p>
          <w:p w14:paraId="1951892D" w14:textId="77777777" w:rsidR="002F4EAD" w:rsidRDefault="002F4EAD" w:rsidP="002F4EAD">
            <w:pPr>
              <w:jc w:val="right"/>
            </w:pPr>
            <w:r>
              <w:t xml:space="preserve">$500 </w:t>
            </w:r>
          </w:p>
          <w:p w14:paraId="6808340D" w14:textId="77777777" w:rsidR="002F4EAD" w:rsidRDefault="002F4EAD" w:rsidP="002F4EAD">
            <w:pPr>
              <w:jc w:val="right"/>
            </w:pPr>
            <w:r>
              <w:t xml:space="preserve">retainer </w:t>
            </w:r>
          </w:p>
          <w:p w14:paraId="02822329" w14:textId="1DC1B31D" w:rsidR="00C469BF" w:rsidRDefault="002F4EAD" w:rsidP="002F4EAD">
            <w:pPr>
              <w:jc w:val="right"/>
            </w:pPr>
            <w:r>
              <w:t>paid with submittal</w:t>
            </w:r>
          </w:p>
        </w:tc>
      </w:tr>
      <w:tr w:rsidR="00C469BF" w:rsidRPr="00557C41" w14:paraId="023B788B" w14:textId="0FC58E0E" w:rsidTr="00B956F1">
        <w:trPr>
          <w:trHeight w:val="291"/>
        </w:trPr>
        <w:tc>
          <w:tcPr>
            <w:tcW w:w="1800" w:type="dxa"/>
          </w:tcPr>
          <w:p w14:paraId="023B7881" w14:textId="77777777" w:rsidR="00C469BF" w:rsidRPr="00142DC4" w:rsidRDefault="00C469BF" w:rsidP="00142DC4">
            <w:r>
              <w:tab/>
              <w:t>(d)</w:t>
            </w:r>
          </w:p>
        </w:tc>
        <w:tc>
          <w:tcPr>
            <w:tcW w:w="4590" w:type="dxa"/>
            <w:gridSpan w:val="3"/>
          </w:tcPr>
          <w:p w14:paraId="023B7882" w14:textId="77777777" w:rsidR="00C469BF" w:rsidRPr="00142DC4" w:rsidRDefault="00C469BF" w:rsidP="00142DC4">
            <w:r>
              <w:t>Office and field consultations, meetings and review of reports for the assessment or remediation of unpermitted solid waste facilities.  Fee shall include preparation of correspondence and reports and travel costs.</w:t>
            </w:r>
          </w:p>
        </w:tc>
        <w:tc>
          <w:tcPr>
            <w:tcW w:w="900" w:type="dxa"/>
          </w:tcPr>
          <w:p w14:paraId="023B788A" w14:textId="394A61A3" w:rsidR="00C469BF" w:rsidRPr="00142DC4" w:rsidRDefault="00C469BF" w:rsidP="00B956F1">
            <w:pPr>
              <w:jc w:val="right"/>
            </w:pPr>
          </w:p>
        </w:tc>
        <w:tc>
          <w:tcPr>
            <w:tcW w:w="2250" w:type="dxa"/>
          </w:tcPr>
          <w:p w14:paraId="0AC78092" w14:textId="15F872C9" w:rsidR="00205E5F" w:rsidRDefault="00205E5F" w:rsidP="00205E5F">
            <w:pPr>
              <w:jc w:val="right"/>
            </w:pPr>
            <w:r>
              <w:t>$109 per hour</w:t>
            </w:r>
          </w:p>
          <w:p w14:paraId="229C2454" w14:textId="77777777" w:rsidR="00205E5F" w:rsidRDefault="00205E5F" w:rsidP="00205E5F">
            <w:pPr>
              <w:jc w:val="right"/>
            </w:pPr>
          </w:p>
          <w:p w14:paraId="5B2A6256" w14:textId="77777777" w:rsidR="00205E5F" w:rsidRDefault="00205E5F" w:rsidP="00205E5F">
            <w:pPr>
              <w:jc w:val="right"/>
            </w:pPr>
            <w:r>
              <w:t xml:space="preserve">$500.00 </w:t>
            </w:r>
          </w:p>
          <w:p w14:paraId="040B6373" w14:textId="77777777" w:rsidR="00205E5F" w:rsidRDefault="00205E5F" w:rsidP="00205E5F">
            <w:pPr>
              <w:jc w:val="right"/>
            </w:pPr>
            <w:r>
              <w:t xml:space="preserve">retainer paid </w:t>
            </w:r>
          </w:p>
          <w:p w14:paraId="43F2DCF6" w14:textId="77777777" w:rsidR="00205E5F" w:rsidRDefault="00205E5F" w:rsidP="00205E5F">
            <w:pPr>
              <w:jc w:val="right"/>
            </w:pPr>
            <w:r>
              <w:t>with submittal</w:t>
            </w:r>
          </w:p>
          <w:p w14:paraId="28E7694F" w14:textId="77777777" w:rsidR="00C469BF" w:rsidRDefault="00C469BF" w:rsidP="00557C41">
            <w:pPr>
              <w:jc w:val="right"/>
            </w:pPr>
          </w:p>
        </w:tc>
      </w:tr>
      <w:tr w:rsidR="00C469BF" w:rsidRPr="00557C41" w14:paraId="023B7895" w14:textId="0D36DAAA" w:rsidTr="00B956F1">
        <w:trPr>
          <w:trHeight w:val="291"/>
        </w:trPr>
        <w:tc>
          <w:tcPr>
            <w:tcW w:w="1800" w:type="dxa"/>
          </w:tcPr>
          <w:p w14:paraId="023B7892" w14:textId="77777777" w:rsidR="00C469BF" w:rsidRPr="00142DC4" w:rsidRDefault="00C469BF" w:rsidP="00142DC4">
            <w:r>
              <w:tab/>
              <w:t>(e)</w:t>
            </w:r>
          </w:p>
        </w:tc>
        <w:tc>
          <w:tcPr>
            <w:tcW w:w="4590" w:type="dxa"/>
            <w:gridSpan w:val="3"/>
          </w:tcPr>
          <w:p w14:paraId="023B7893" w14:textId="77777777" w:rsidR="00C469BF" w:rsidRPr="00142DC4" w:rsidRDefault="00C469BF" w:rsidP="00142DC4">
            <w:r>
              <w:t>Neither government agencies nor non-profit organization shall be exempt from these fees.</w:t>
            </w:r>
          </w:p>
        </w:tc>
        <w:tc>
          <w:tcPr>
            <w:tcW w:w="900" w:type="dxa"/>
          </w:tcPr>
          <w:p w14:paraId="023B7894" w14:textId="77777777" w:rsidR="00C469BF" w:rsidRPr="00142DC4" w:rsidRDefault="00C469BF" w:rsidP="00142DC4"/>
        </w:tc>
        <w:tc>
          <w:tcPr>
            <w:tcW w:w="2250" w:type="dxa"/>
          </w:tcPr>
          <w:p w14:paraId="0C6F6D79" w14:textId="77777777" w:rsidR="00C469BF" w:rsidRPr="00142DC4" w:rsidRDefault="00C469BF" w:rsidP="00142DC4"/>
        </w:tc>
      </w:tr>
      <w:tr w:rsidR="00C469BF" w:rsidRPr="00557C41" w14:paraId="023B789B" w14:textId="29C779E6" w:rsidTr="00B956F1">
        <w:trPr>
          <w:trHeight w:val="291"/>
        </w:trPr>
        <w:tc>
          <w:tcPr>
            <w:tcW w:w="1800" w:type="dxa"/>
          </w:tcPr>
          <w:p w14:paraId="023B7896" w14:textId="77777777" w:rsidR="00C469BF" w:rsidRPr="00142DC4" w:rsidRDefault="00C469BF" w:rsidP="00142DC4"/>
        </w:tc>
        <w:tc>
          <w:tcPr>
            <w:tcW w:w="2088" w:type="dxa"/>
          </w:tcPr>
          <w:p w14:paraId="023B7897" w14:textId="77777777" w:rsidR="00C469BF" w:rsidRPr="00142DC4" w:rsidRDefault="00C469BF" w:rsidP="00142DC4"/>
        </w:tc>
        <w:tc>
          <w:tcPr>
            <w:tcW w:w="1512" w:type="dxa"/>
          </w:tcPr>
          <w:p w14:paraId="023B7898" w14:textId="77777777" w:rsidR="00C469BF" w:rsidRPr="00142DC4" w:rsidRDefault="00C469BF" w:rsidP="00142DC4"/>
        </w:tc>
        <w:tc>
          <w:tcPr>
            <w:tcW w:w="990" w:type="dxa"/>
          </w:tcPr>
          <w:p w14:paraId="023B7899" w14:textId="77777777" w:rsidR="00C469BF" w:rsidRPr="00142DC4" w:rsidRDefault="00C469BF" w:rsidP="00142DC4"/>
        </w:tc>
        <w:tc>
          <w:tcPr>
            <w:tcW w:w="900" w:type="dxa"/>
          </w:tcPr>
          <w:p w14:paraId="023B789A" w14:textId="77777777" w:rsidR="00C469BF" w:rsidRPr="00142DC4" w:rsidRDefault="00C469BF" w:rsidP="00142DC4"/>
        </w:tc>
        <w:tc>
          <w:tcPr>
            <w:tcW w:w="2250" w:type="dxa"/>
          </w:tcPr>
          <w:p w14:paraId="649C3635" w14:textId="77777777" w:rsidR="00C469BF" w:rsidRPr="00142DC4" w:rsidRDefault="00C469BF" w:rsidP="00142DC4"/>
        </w:tc>
      </w:tr>
      <w:tr w:rsidR="00C469BF" w:rsidRPr="00557C41" w14:paraId="023B78A4" w14:textId="57D87E4C" w:rsidTr="00B956F1">
        <w:trPr>
          <w:trHeight w:val="291"/>
        </w:trPr>
        <w:tc>
          <w:tcPr>
            <w:tcW w:w="1800" w:type="dxa"/>
          </w:tcPr>
          <w:p w14:paraId="023B789C" w14:textId="77777777" w:rsidR="00C469BF" w:rsidRPr="00142DC4" w:rsidRDefault="00C469BF" w:rsidP="00142DC4">
            <w:r>
              <w:tab/>
              <w:t>(f)</w:t>
            </w:r>
          </w:p>
        </w:tc>
        <w:tc>
          <w:tcPr>
            <w:tcW w:w="4590" w:type="dxa"/>
            <w:gridSpan w:val="3"/>
          </w:tcPr>
          <w:p w14:paraId="023B789E" w14:textId="34EF4777" w:rsidR="00C469BF" w:rsidRPr="00E9141E" w:rsidRDefault="00C469BF" w:rsidP="00E9141E">
            <w:r w:rsidRPr="00E9141E">
              <w:t>All retainer fees paid in advance shall be subject to</w:t>
            </w:r>
            <w:r w:rsidR="00B956F1">
              <w:t xml:space="preserve"> </w:t>
            </w:r>
            <w:r>
              <w:t>a</w:t>
            </w:r>
            <w:r w:rsidRPr="00E9141E">
              <w:t>ccounting of all costs charged against the account.</w:t>
            </w:r>
          </w:p>
          <w:p w14:paraId="023B78A2" w14:textId="1668F7ED" w:rsidR="00C469BF" w:rsidRPr="00E9141E" w:rsidRDefault="00C469BF" w:rsidP="00B956F1">
            <w:r w:rsidRPr="00E9141E">
              <w:t>Excess funds will be refunded at the completion or</w:t>
            </w:r>
            <w:r w:rsidR="00B956F1">
              <w:t xml:space="preserve"> </w:t>
            </w:r>
            <w:r w:rsidRPr="00E9141E">
              <w:t>termination of the project.  If the retainer is exhausted,</w:t>
            </w:r>
            <w:r w:rsidR="00B956F1">
              <w:t xml:space="preserve"> </w:t>
            </w:r>
            <w:r w:rsidRPr="00E9141E">
              <w:t>the applicant will be notified to submit an additional</w:t>
            </w:r>
            <w:r w:rsidR="00B956F1">
              <w:t xml:space="preserve"> </w:t>
            </w:r>
            <w:r w:rsidRPr="00E9141E">
              <w:t>amount.</w:t>
            </w:r>
          </w:p>
        </w:tc>
        <w:tc>
          <w:tcPr>
            <w:tcW w:w="900" w:type="dxa"/>
          </w:tcPr>
          <w:p w14:paraId="023B78A3" w14:textId="77777777" w:rsidR="00C469BF" w:rsidRPr="00142DC4" w:rsidRDefault="00C469BF" w:rsidP="00142DC4"/>
        </w:tc>
        <w:tc>
          <w:tcPr>
            <w:tcW w:w="2250" w:type="dxa"/>
          </w:tcPr>
          <w:p w14:paraId="27720ACB" w14:textId="77777777" w:rsidR="00C469BF" w:rsidRPr="00142DC4" w:rsidRDefault="00C469BF" w:rsidP="00142DC4"/>
        </w:tc>
      </w:tr>
    </w:tbl>
    <w:p w14:paraId="023B78A5" w14:textId="77777777" w:rsidR="004247AB" w:rsidRDefault="004247AB"/>
    <w:tbl>
      <w:tblPr>
        <w:tblW w:w="9360" w:type="dxa"/>
        <w:jc w:val="center"/>
        <w:tblLayout w:type="fixed"/>
        <w:tblCellMar>
          <w:left w:w="115" w:type="dxa"/>
          <w:right w:w="115" w:type="dxa"/>
        </w:tblCellMar>
        <w:tblLook w:val="01E0" w:firstRow="1" w:lastRow="1" w:firstColumn="1" w:lastColumn="1" w:noHBand="0" w:noVBand="0"/>
      </w:tblPr>
      <w:tblGrid>
        <w:gridCol w:w="638"/>
        <w:gridCol w:w="5029"/>
        <w:gridCol w:w="1191"/>
        <w:gridCol w:w="1260"/>
        <w:gridCol w:w="1242"/>
      </w:tblGrid>
      <w:tr w:rsidR="004247AB" w14:paraId="023B78A7" w14:textId="77777777" w:rsidTr="004247AB">
        <w:trPr>
          <w:jc w:val="center"/>
        </w:trPr>
        <w:tc>
          <w:tcPr>
            <w:tcW w:w="9360" w:type="dxa"/>
            <w:gridSpan w:val="5"/>
            <w:hideMark/>
          </w:tcPr>
          <w:p w14:paraId="023B78A6" w14:textId="77777777" w:rsidR="004247AB" w:rsidRDefault="004247AB">
            <w:pPr>
              <w:pStyle w:val="Heading1"/>
              <w:jc w:val="left"/>
              <w:rPr>
                <w:rFonts w:ascii="Times New (W1)" w:hAnsi="Times New (W1)"/>
                <w:caps w:val="0"/>
                <w:sz w:val="24"/>
                <w:szCs w:val="24"/>
              </w:rPr>
            </w:pPr>
            <w:bookmarkStart w:id="1" w:name="_Toc133399658"/>
            <w:r>
              <w:rPr>
                <w:rFonts w:ascii="Times New (W1)" w:hAnsi="Times New (W1)"/>
                <w:caps w:val="0"/>
                <w:sz w:val="24"/>
                <w:szCs w:val="24"/>
              </w:rPr>
              <w:t>Sec. 117.030.</w:t>
            </w:r>
            <w:r>
              <w:rPr>
                <w:rFonts w:ascii="Times New (W1)" w:hAnsi="Times New (W1)"/>
                <w:caps w:val="0"/>
                <w:sz w:val="24"/>
                <w:szCs w:val="24"/>
              </w:rPr>
              <w:tab/>
            </w:r>
            <w:bookmarkEnd w:id="1"/>
            <w:r>
              <w:rPr>
                <w:rFonts w:ascii="Times New (W1)" w:hAnsi="Times New (W1)"/>
                <w:caps w:val="0"/>
                <w:sz w:val="24"/>
                <w:szCs w:val="24"/>
              </w:rPr>
              <w:t>Tattoo/Body Art Fees</w:t>
            </w:r>
          </w:p>
        </w:tc>
      </w:tr>
      <w:tr w:rsidR="004247AB" w14:paraId="023B78B1" w14:textId="77777777" w:rsidTr="004247AB">
        <w:trPr>
          <w:jc w:val="center"/>
        </w:trPr>
        <w:tc>
          <w:tcPr>
            <w:tcW w:w="9360" w:type="dxa"/>
            <w:gridSpan w:val="5"/>
          </w:tcPr>
          <w:p w14:paraId="023B78B0" w14:textId="77777777" w:rsidR="004247AB" w:rsidRDefault="004247AB">
            <w:pPr>
              <w:overflowPunct w:val="0"/>
              <w:autoSpaceDE w:val="0"/>
              <w:autoSpaceDN w:val="0"/>
              <w:adjustRightInd w:val="0"/>
              <w:rPr>
                <w:szCs w:val="24"/>
              </w:rPr>
            </w:pPr>
          </w:p>
        </w:tc>
      </w:tr>
      <w:tr w:rsidR="004247AB" w14:paraId="023B78B7" w14:textId="77777777" w:rsidTr="004247AB">
        <w:trPr>
          <w:tblHeader/>
          <w:jc w:val="center"/>
        </w:trPr>
        <w:tc>
          <w:tcPr>
            <w:tcW w:w="638" w:type="dxa"/>
          </w:tcPr>
          <w:p w14:paraId="023B78B2" w14:textId="77777777" w:rsidR="004247AB" w:rsidRDefault="004247AB">
            <w:pPr>
              <w:keepNext/>
              <w:overflowPunct w:val="0"/>
              <w:autoSpaceDE w:val="0"/>
              <w:autoSpaceDN w:val="0"/>
              <w:adjustRightInd w:val="0"/>
              <w:jc w:val="center"/>
              <w:rPr>
                <w:szCs w:val="24"/>
              </w:rPr>
            </w:pPr>
          </w:p>
        </w:tc>
        <w:tc>
          <w:tcPr>
            <w:tcW w:w="5029" w:type="dxa"/>
          </w:tcPr>
          <w:p w14:paraId="023B78B3" w14:textId="77777777" w:rsidR="004247AB" w:rsidRDefault="004247AB">
            <w:pPr>
              <w:keepNext/>
              <w:overflowPunct w:val="0"/>
              <w:autoSpaceDE w:val="0"/>
              <w:autoSpaceDN w:val="0"/>
              <w:adjustRightInd w:val="0"/>
              <w:jc w:val="center"/>
              <w:rPr>
                <w:szCs w:val="24"/>
              </w:rPr>
            </w:pPr>
          </w:p>
        </w:tc>
        <w:tc>
          <w:tcPr>
            <w:tcW w:w="1191" w:type="dxa"/>
          </w:tcPr>
          <w:p w14:paraId="023B78B4" w14:textId="77777777" w:rsidR="004247AB" w:rsidRDefault="004247AB">
            <w:pPr>
              <w:keepNext/>
              <w:overflowPunct w:val="0"/>
              <w:autoSpaceDE w:val="0"/>
              <w:autoSpaceDN w:val="0"/>
              <w:adjustRightInd w:val="0"/>
              <w:jc w:val="right"/>
              <w:rPr>
                <w:strike/>
                <w:szCs w:val="24"/>
              </w:rPr>
            </w:pPr>
          </w:p>
        </w:tc>
        <w:tc>
          <w:tcPr>
            <w:tcW w:w="1260" w:type="dxa"/>
          </w:tcPr>
          <w:p w14:paraId="023B78B5" w14:textId="77777777" w:rsidR="004247AB" w:rsidRDefault="004247AB">
            <w:pPr>
              <w:keepNext/>
              <w:overflowPunct w:val="0"/>
              <w:autoSpaceDE w:val="0"/>
              <w:autoSpaceDN w:val="0"/>
              <w:adjustRightInd w:val="0"/>
              <w:jc w:val="right"/>
              <w:rPr>
                <w:strike/>
                <w:szCs w:val="24"/>
              </w:rPr>
            </w:pPr>
          </w:p>
        </w:tc>
        <w:tc>
          <w:tcPr>
            <w:tcW w:w="1242" w:type="dxa"/>
          </w:tcPr>
          <w:p w14:paraId="023B78B6" w14:textId="77777777" w:rsidR="004247AB" w:rsidRDefault="004247AB">
            <w:pPr>
              <w:keepNext/>
              <w:overflowPunct w:val="0"/>
              <w:autoSpaceDE w:val="0"/>
              <w:autoSpaceDN w:val="0"/>
              <w:adjustRightInd w:val="0"/>
              <w:jc w:val="right"/>
              <w:rPr>
                <w:szCs w:val="24"/>
              </w:rPr>
            </w:pPr>
          </w:p>
        </w:tc>
      </w:tr>
      <w:tr w:rsidR="00EF41A6" w14:paraId="023B78BD" w14:textId="77777777" w:rsidTr="00B956F1">
        <w:trPr>
          <w:jc w:val="center"/>
        </w:trPr>
        <w:tc>
          <w:tcPr>
            <w:tcW w:w="638" w:type="dxa"/>
            <w:hideMark/>
          </w:tcPr>
          <w:p w14:paraId="023B78B8" w14:textId="77777777" w:rsidR="00EF41A6" w:rsidRDefault="00EF41A6" w:rsidP="00EF41A6">
            <w:pPr>
              <w:overflowPunct w:val="0"/>
              <w:autoSpaceDE w:val="0"/>
              <w:autoSpaceDN w:val="0"/>
              <w:adjustRightInd w:val="0"/>
              <w:jc w:val="center"/>
              <w:rPr>
                <w:szCs w:val="24"/>
              </w:rPr>
            </w:pPr>
            <w:r>
              <w:rPr>
                <w:szCs w:val="24"/>
              </w:rPr>
              <w:t>(a)</w:t>
            </w:r>
          </w:p>
        </w:tc>
        <w:tc>
          <w:tcPr>
            <w:tcW w:w="5029" w:type="dxa"/>
            <w:hideMark/>
          </w:tcPr>
          <w:p w14:paraId="023B78B9" w14:textId="77777777" w:rsidR="00EF41A6" w:rsidRDefault="00EF41A6" w:rsidP="00EF41A6">
            <w:pPr>
              <w:overflowPunct w:val="0"/>
              <w:autoSpaceDE w:val="0"/>
              <w:autoSpaceDN w:val="0"/>
              <w:adjustRightInd w:val="0"/>
              <w:rPr>
                <w:spacing w:val="-3"/>
                <w:szCs w:val="24"/>
              </w:rPr>
            </w:pPr>
            <w:r>
              <w:rPr>
                <w:spacing w:val="-3"/>
                <w:szCs w:val="24"/>
              </w:rPr>
              <w:t>Plan Check</w:t>
            </w:r>
          </w:p>
        </w:tc>
        <w:tc>
          <w:tcPr>
            <w:tcW w:w="1191" w:type="dxa"/>
          </w:tcPr>
          <w:p w14:paraId="023B78BA" w14:textId="77777777" w:rsidR="00EF41A6" w:rsidRDefault="00EF41A6" w:rsidP="00EF41A6">
            <w:pPr>
              <w:overflowPunct w:val="0"/>
              <w:autoSpaceDE w:val="0"/>
              <w:autoSpaceDN w:val="0"/>
              <w:adjustRightInd w:val="0"/>
              <w:jc w:val="right"/>
              <w:rPr>
                <w:strike/>
                <w:szCs w:val="24"/>
              </w:rPr>
            </w:pPr>
          </w:p>
        </w:tc>
        <w:tc>
          <w:tcPr>
            <w:tcW w:w="1260" w:type="dxa"/>
          </w:tcPr>
          <w:p w14:paraId="023B78BB" w14:textId="16993FE4" w:rsidR="00EF41A6" w:rsidRDefault="00EF41A6" w:rsidP="00EF41A6">
            <w:pPr>
              <w:overflowPunct w:val="0"/>
              <w:autoSpaceDE w:val="0"/>
              <w:autoSpaceDN w:val="0"/>
              <w:adjustRightInd w:val="0"/>
              <w:jc w:val="right"/>
              <w:rPr>
                <w:strike/>
                <w:szCs w:val="24"/>
              </w:rPr>
            </w:pPr>
          </w:p>
        </w:tc>
        <w:tc>
          <w:tcPr>
            <w:tcW w:w="1242" w:type="dxa"/>
          </w:tcPr>
          <w:p w14:paraId="023B78BC" w14:textId="77584170" w:rsidR="00EF41A6" w:rsidRDefault="00205E5F" w:rsidP="00EF41A6">
            <w:pPr>
              <w:overflowPunct w:val="0"/>
              <w:autoSpaceDE w:val="0"/>
              <w:autoSpaceDN w:val="0"/>
              <w:adjustRightInd w:val="0"/>
              <w:jc w:val="right"/>
              <w:rPr>
                <w:szCs w:val="24"/>
              </w:rPr>
            </w:pPr>
            <w:r>
              <w:rPr>
                <w:szCs w:val="24"/>
              </w:rPr>
              <w:t>$219.00</w:t>
            </w:r>
          </w:p>
        </w:tc>
      </w:tr>
      <w:tr w:rsidR="00EF41A6" w14:paraId="023B78C3" w14:textId="77777777" w:rsidTr="004247AB">
        <w:trPr>
          <w:jc w:val="center"/>
        </w:trPr>
        <w:tc>
          <w:tcPr>
            <w:tcW w:w="638" w:type="dxa"/>
          </w:tcPr>
          <w:p w14:paraId="023B78BE" w14:textId="77777777" w:rsidR="00EF41A6" w:rsidRDefault="00EF41A6" w:rsidP="00EF41A6">
            <w:pPr>
              <w:overflowPunct w:val="0"/>
              <w:autoSpaceDE w:val="0"/>
              <w:autoSpaceDN w:val="0"/>
              <w:adjustRightInd w:val="0"/>
              <w:jc w:val="center"/>
              <w:rPr>
                <w:szCs w:val="24"/>
              </w:rPr>
            </w:pPr>
          </w:p>
        </w:tc>
        <w:tc>
          <w:tcPr>
            <w:tcW w:w="5029" w:type="dxa"/>
          </w:tcPr>
          <w:p w14:paraId="023B78BF" w14:textId="77777777" w:rsidR="00EF41A6" w:rsidRDefault="00EF41A6" w:rsidP="00EF41A6">
            <w:pPr>
              <w:overflowPunct w:val="0"/>
              <w:autoSpaceDE w:val="0"/>
              <w:autoSpaceDN w:val="0"/>
              <w:adjustRightInd w:val="0"/>
              <w:rPr>
                <w:szCs w:val="24"/>
              </w:rPr>
            </w:pPr>
          </w:p>
        </w:tc>
        <w:tc>
          <w:tcPr>
            <w:tcW w:w="1191" w:type="dxa"/>
          </w:tcPr>
          <w:p w14:paraId="023B78C0" w14:textId="77777777" w:rsidR="00EF41A6" w:rsidRDefault="00EF41A6" w:rsidP="00EF41A6">
            <w:pPr>
              <w:overflowPunct w:val="0"/>
              <w:autoSpaceDE w:val="0"/>
              <w:autoSpaceDN w:val="0"/>
              <w:adjustRightInd w:val="0"/>
              <w:rPr>
                <w:strike/>
                <w:szCs w:val="24"/>
              </w:rPr>
            </w:pPr>
          </w:p>
        </w:tc>
        <w:tc>
          <w:tcPr>
            <w:tcW w:w="1260" w:type="dxa"/>
          </w:tcPr>
          <w:p w14:paraId="023B78C1" w14:textId="77777777" w:rsidR="00EF41A6" w:rsidRDefault="00EF41A6" w:rsidP="00EF41A6">
            <w:pPr>
              <w:overflowPunct w:val="0"/>
              <w:autoSpaceDE w:val="0"/>
              <w:autoSpaceDN w:val="0"/>
              <w:adjustRightInd w:val="0"/>
              <w:jc w:val="right"/>
              <w:rPr>
                <w:strike/>
                <w:szCs w:val="24"/>
              </w:rPr>
            </w:pPr>
          </w:p>
        </w:tc>
        <w:tc>
          <w:tcPr>
            <w:tcW w:w="1242" w:type="dxa"/>
          </w:tcPr>
          <w:p w14:paraId="023B78C2" w14:textId="77777777" w:rsidR="00EF41A6" w:rsidRDefault="00EF41A6" w:rsidP="00EF41A6">
            <w:pPr>
              <w:overflowPunct w:val="0"/>
              <w:autoSpaceDE w:val="0"/>
              <w:autoSpaceDN w:val="0"/>
              <w:adjustRightInd w:val="0"/>
              <w:jc w:val="right"/>
              <w:rPr>
                <w:szCs w:val="24"/>
              </w:rPr>
            </w:pPr>
          </w:p>
        </w:tc>
      </w:tr>
      <w:tr w:rsidR="00EF41A6" w14:paraId="023B78C9" w14:textId="77777777" w:rsidTr="00B956F1">
        <w:trPr>
          <w:jc w:val="center"/>
        </w:trPr>
        <w:tc>
          <w:tcPr>
            <w:tcW w:w="638" w:type="dxa"/>
            <w:hideMark/>
          </w:tcPr>
          <w:p w14:paraId="023B78C4" w14:textId="77777777" w:rsidR="00EF41A6" w:rsidRDefault="00EF41A6" w:rsidP="00EF41A6">
            <w:pPr>
              <w:overflowPunct w:val="0"/>
              <w:autoSpaceDE w:val="0"/>
              <w:autoSpaceDN w:val="0"/>
              <w:adjustRightInd w:val="0"/>
              <w:jc w:val="center"/>
              <w:rPr>
                <w:szCs w:val="24"/>
              </w:rPr>
            </w:pPr>
            <w:r>
              <w:rPr>
                <w:szCs w:val="24"/>
              </w:rPr>
              <w:t>(b)</w:t>
            </w:r>
          </w:p>
        </w:tc>
        <w:tc>
          <w:tcPr>
            <w:tcW w:w="5029" w:type="dxa"/>
            <w:hideMark/>
          </w:tcPr>
          <w:p w14:paraId="023B78C5" w14:textId="77777777" w:rsidR="00EF41A6" w:rsidRDefault="00EF41A6" w:rsidP="00EF41A6">
            <w:pPr>
              <w:overflowPunct w:val="0"/>
              <w:autoSpaceDE w:val="0"/>
              <w:autoSpaceDN w:val="0"/>
              <w:adjustRightInd w:val="0"/>
              <w:rPr>
                <w:szCs w:val="24"/>
              </w:rPr>
            </w:pPr>
            <w:r>
              <w:rPr>
                <w:spacing w:val="-3"/>
                <w:szCs w:val="24"/>
              </w:rPr>
              <w:t xml:space="preserve"> Inspection-Annual</w:t>
            </w:r>
          </w:p>
        </w:tc>
        <w:tc>
          <w:tcPr>
            <w:tcW w:w="1191" w:type="dxa"/>
          </w:tcPr>
          <w:p w14:paraId="023B78C6" w14:textId="77777777" w:rsidR="00EF41A6" w:rsidRDefault="00EF41A6" w:rsidP="00EF41A6">
            <w:pPr>
              <w:overflowPunct w:val="0"/>
              <w:autoSpaceDE w:val="0"/>
              <w:autoSpaceDN w:val="0"/>
              <w:adjustRightInd w:val="0"/>
              <w:jc w:val="right"/>
              <w:rPr>
                <w:strike/>
                <w:szCs w:val="24"/>
              </w:rPr>
            </w:pPr>
          </w:p>
        </w:tc>
        <w:tc>
          <w:tcPr>
            <w:tcW w:w="1260" w:type="dxa"/>
          </w:tcPr>
          <w:p w14:paraId="023B78C7" w14:textId="1034D430" w:rsidR="00EF41A6" w:rsidRDefault="00EF41A6" w:rsidP="00EF41A6">
            <w:pPr>
              <w:overflowPunct w:val="0"/>
              <w:autoSpaceDE w:val="0"/>
              <w:autoSpaceDN w:val="0"/>
              <w:adjustRightInd w:val="0"/>
              <w:jc w:val="right"/>
              <w:rPr>
                <w:strike/>
                <w:szCs w:val="24"/>
              </w:rPr>
            </w:pPr>
          </w:p>
        </w:tc>
        <w:tc>
          <w:tcPr>
            <w:tcW w:w="1242" w:type="dxa"/>
          </w:tcPr>
          <w:p w14:paraId="023B78C8" w14:textId="0FD35D47" w:rsidR="00EF41A6" w:rsidRDefault="00205E5F" w:rsidP="00EF41A6">
            <w:pPr>
              <w:overflowPunct w:val="0"/>
              <w:autoSpaceDE w:val="0"/>
              <w:autoSpaceDN w:val="0"/>
              <w:adjustRightInd w:val="0"/>
              <w:jc w:val="right"/>
              <w:rPr>
                <w:szCs w:val="24"/>
              </w:rPr>
            </w:pPr>
            <w:r>
              <w:rPr>
                <w:szCs w:val="24"/>
              </w:rPr>
              <w:t>$299.00</w:t>
            </w:r>
          </w:p>
        </w:tc>
      </w:tr>
      <w:tr w:rsidR="00EF41A6" w14:paraId="023B78CF" w14:textId="77777777" w:rsidTr="004247AB">
        <w:trPr>
          <w:jc w:val="center"/>
        </w:trPr>
        <w:tc>
          <w:tcPr>
            <w:tcW w:w="638" w:type="dxa"/>
          </w:tcPr>
          <w:p w14:paraId="023B78CA" w14:textId="77777777" w:rsidR="00EF41A6" w:rsidRDefault="00EF41A6" w:rsidP="00EF41A6">
            <w:pPr>
              <w:overflowPunct w:val="0"/>
              <w:autoSpaceDE w:val="0"/>
              <w:autoSpaceDN w:val="0"/>
              <w:adjustRightInd w:val="0"/>
              <w:jc w:val="center"/>
              <w:rPr>
                <w:szCs w:val="24"/>
              </w:rPr>
            </w:pPr>
          </w:p>
        </w:tc>
        <w:tc>
          <w:tcPr>
            <w:tcW w:w="5029" w:type="dxa"/>
          </w:tcPr>
          <w:p w14:paraId="023B78CB" w14:textId="77777777" w:rsidR="00EF41A6" w:rsidRDefault="00EF41A6" w:rsidP="00EF41A6">
            <w:pPr>
              <w:overflowPunct w:val="0"/>
              <w:autoSpaceDE w:val="0"/>
              <w:autoSpaceDN w:val="0"/>
              <w:adjustRightInd w:val="0"/>
              <w:rPr>
                <w:szCs w:val="24"/>
              </w:rPr>
            </w:pPr>
          </w:p>
        </w:tc>
        <w:tc>
          <w:tcPr>
            <w:tcW w:w="1191" w:type="dxa"/>
          </w:tcPr>
          <w:p w14:paraId="023B78CC" w14:textId="77777777" w:rsidR="00EF41A6" w:rsidRDefault="00EF41A6" w:rsidP="00EF41A6">
            <w:pPr>
              <w:overflowPunct w:val="0"/>
              <w:autoSpaceDE w:val="0"/>
              <w:autoSpaceDN w:val="0"/>
              <w:adjustRightInd w:val="0"/>
              <w:jc w:val="right"/>
              <w:rPr>
                <w:strike/>
                <w:szCs w:val="24"/>
              </w:rPr>
            </w:pPr>
          </w:p>
        </w:tc>
        <w:tc>
          <w:tcPr>
            <w:tcW w:w="1260" w:type="dxa"/>
          </w:tcPr>
          <w:p w14:paraId="023B78CD" w14:textId="77777777" w:rsidR="00EF41A6" w:rsidRDefault="00EF41A6" w:rsidP="00EF41A6">
            <w:pPr>
              <w:overflowPunct w:val="0"/>
              <w:autoSpaceDE w:val="0"/>
              <w:autoSpaceDN w:val="0"/>
              <w:adjustRightInd w:val="0"/>
              <w:jc w:val="right"/>
              <w:rPr>
                <w:strike/>
                <w:szCs w:val="24"/>
              </w:rPr>
            </w:pPr>
          </w:p>
        </w:tc>
        <w:tc>
          <w:tcPr>
            <w:tcW w:w="1242" w:type="dxa"/>
          </w:tcPr>
          <w:p w14:paraId="023B78CE" w14:textId="77777777" w:rsidR="00EF41A6" w:rsidRDefault="00EF41A6" w:rsidP="00EF41A6">
            <w:pPr>
              <w:overflowPunct w:val="0"/>
              <w:autoSpaceDE w:val="0"/>
              <w:autoSpaceDN w:val="0"/>
              <w:adjustRightInd w:val="0"/>
              <w:jc w:val="right"/>
              <w:rPr>
                <w:szCs w:val="24"/>
              </w:rPr>
            </w:pPr>
          </w:p>
        </w:tc>
      </w:tr>
      <w:tr w:rsidR="00EF41A6" w14:paraId="023B78D5" w14:textId="77777777" w:rsidTr="00B956F1">
        <w:trPr>
          <w:jc w:val="center"/>
        </w:trPr>
        <w:tc>
          <w:tcPr>
            <w:tcW w:w="638" w:type="dxa"/>
            <w:hideMark/>
          </w:tcPr>
          <w:p w14:paraId="023B78D0" w14:textId="77777777" w:rsidR="00EF41A6" w:rsidRDefault="00EF41A6" w:rsidP="00EF41A6">
            <w:pPr>
              <w:overflowPunct w:val="0"/>
              <w:autoSpaceDE w:val="0"/>
              <w:autoSpaceDN w:val="0"/>
              <w:adjustRightInd w:val="0"/>
              <w:jc w:val="center"/>
              <w:rPr>
                <w:szCs w:val="24"/>
              </w:rPr>
            </w:pPr>
            <w:r>
              <w:rPr>
                <w:szCs w:val="24"/>
              </w:rPr>
              <w:t>(c)</w:t>
            </w:r>
          </w:p>
        </w:tc>
        <w:tc>
          <w:tcPr>
            <w:tcW w:w="5029" w:type="dxa"/>
            <w:hideMark/>
          </w:tcPr>
          <w:p w14:paraId="023B78D1" w14:textId="77777777" w:rsidR="00EF41A6" w:rsidRDefault="00EF41A6" w:rsidP="00EF41A6">
            <w:pPr>
              <w:overflowPunct w:val="0"/>
              <w:autoSpaceDE w:val="0"/>
              <w:autoSpaceDN w:val="0"/>
              <w:adjustRightInd w:val="0"/>
              <w:rPr>
                <w:szCs w:val="24"/>
              </w:rPr>
            </w:pPr>
            <w:r>
              <w:rPr>
                <w:spacing w:val="-3"/>
                <w:szCs w:val="24"/>
              </w:rPr>
              <w:t xml:space="preserve"> Practitioner-Annual</w:t>
            </w:r>
          </w:p>
        </w:tc>
        <w:tc>
          <w:tcPr>
            <w:tcW w:w="1191" w:type="dxa"/>
          </w:tcPr>
          <w:p w14:paraId="023B78D2" w14:textId="77777777" w:rsidR="00EF41A6" w:rsidRDefault="00EF41A6" w:rsidP="00EF41A6">
            <w:pPr>
              <w:overflowPunct w:val="0"/>
              <w:autoSpaceDE w:val="0"/>
              <w:autoSpaceDN w:val="0"/>
              <w:adjustRightInd w:val="0"/>
              <w:jc w:val="right"/>
              <w:rPr>
                <w:strike/>
                <w:szCs w:val="24"/>
              </w:rPr>
            </w:pPr>
          </w:p>
        </w:tc>
        <w:tc>
          <w:tcPr>
            <w:tcW w:w="1260" w:type="dxa"/>
          </w:tcPr>
          <w:p w14:paraId="023B78D3" w14:textId="55BCFE6B" w:rsidR="00EF41A6" w:rsidRDefault="00EF41A6" w:rsidP="00EF41A6">
            <w:pPr>
              <w:overflowPunct w:val="0"/>
              <w:autoSpaceDE w:val="0"/>
              <w:autoSpaceDN w:val="0"/>
              <w:adjustRightInd w:val="0"/>
              <w:jc w:val="right"/>
              <w:rPr>
                <w:strike/>
                <w:szCs w:val="24"/>
              </w:rPr>
            </w:pPr>
          </w:p>
        </w:tc>
        <w:tc>
          <w:tcPr>
            <w:tcW w:w="1242" w:type="dxa"/>
          </w:tcPr>
          <w:p w14:paraId="023B78D4" w14:textId="3AAE1C60" w:rsidR="00EF41A6" w:rsidRDefault="00205E5F" w:rsidP="00EF41A6">
            <w:pPr>
              <w:overflowPunct w:val="0"/>
              <w:autoSpaceDE w:val="0"/>
              <w:autoSpaceDN w:val="0"/>
              <w:adjustRightInd w:val="0"/>
              <w:jc w:val="right"/>
              <w:rPr>
                <w:szCs w:val="24"/>
              </w:rPr>
            </w:pPr>
            <w:r>
              <w:rPr>
                <w:szCs w:val="24"/>
              </w:rPr>
              <w:t>$108.00</w:t>
            </w:r>
          </w:p>
        </w:tc>
      </w:tr>
      <w:tr w:rsidR="00EF41A6" w14:paraId="023B78DB" w14:textId="77777777" w:rsidTr="004247AB">
        <w:trPr>
          <w:jc w:val="center"/>
        </w:trPr>
        <w:tc>
          <w:tcPr>
            <w:tcW w:w="638" w:type="dxa"/>
          </w:tcPr>
          <w:p w14:paraId="023B78D6" w14:textId="77777777" w:rsidR="00EF41A6" w:rsidRDefault="00EF41A6" w:rsidP="00EF41A6">
            <w:pPr>
              <w:overflowPunct w:val="0"/>
              <w:autoSpaceDE w:val="0"/>
              <w:autoSpaceDN w:val="0"/>
              <w:adjustRightInd w:val="0"/>
              <w:jc w:val="center"/>
              <w:rPr>
                <w:szCs w:val="24"/>
              </w:rPr>
            </w:pPr>
          </w:p>
        </w:tc>
        <w:tc>
          <w:tcPr>
            <w:tcW w:w="5029" w:type="dxa"/>
          </w:tcPr>
          <w:p w14:paraId="023B78D7" w14:textId="77777777" w:rsidR="00EF41A6" w:rsidRDefault="00EF41A6" w:rsidP="00EF41A6">
            <w:pPr>
              <w:overflowPunct w:val="0"/>
              <w:autoSpaceDE w:val="0"/>
              <w:autoSpaceDN w:val="0"/>
              <w:adjustRightInd w:val="0"/>
              <w:rPr>
                <w:spacing w:val="-3"/>
                <w:szCs w:val="24"/>
              </w:rPr>
            </w:pPr>
          </w:p>
        </w:tc>
        <w:tc>
          <w:tcPr>
            <w:tcW w:w="1191" w:type="dxa"/>
          </w:tcPr>
          <w:p w14:paraId="023B78D8" w14:textId="77777777" w:rsidR="00EF41A6" w:rsidRDefault="00EF41A6" w:rsidP="00EF41A6">
            <w:pPr>
              <w:overflowPunct w:val="0"/>
              <w:autoSpaceDE w:val="0"/>
              <w:autoSpaceDN w:val="0"/>
              <w:adjustRightInd w:val="0"/>
              <w:jc w:val="right"/>
              <w:rPr>
                <w:strike/>
                <w:spacing w:val="-3"/>
                <w:szCs w:val="24"/>
              </w:rPr>
            </w:pPr>
          </w:p>
        </w:tc>
        <w:tc>
          <w:tcPr>
            <w:tcW w:w="1260" w:type="dxa"/>
          </w:tcPr>
          <w:p w14:paraId="023B78D9" w14:textId="77777777" w:rsidR="00EF41A6" w:rsidRDefault="00EF41A6" w:rsidP="00EF41A6">
            <w:pPr>
              <w:overflowPunct w:val="0"/>
              <w:autoSpaceDE w:val="0"/>
              <w:autoSpaceDN w:val="0"/>
              <w:adjustRightInd w:val="0"/>
              <w:jc w:val="right"/>
              <w:rPr>
                <w:strike/>
                <w:szCs w:val="24"/>
              </w:rPr>
            </w:pPr>
          </w:p>
        </w:tc>
        <w:tc>
          <w:tcPr>
            <w:tcW w:w="1242" w:type="dxa"/>
          </w:tcPr>
          <w:p w14:paraId="023B78DA" w14:textId="77777777" w:rsidR="00EF41A6" w:rsidRDefault="00EF41A6" w:rsidP="00EF41A6">
            <w:pPr>
              <w:overflowPunct w:val="0"/>
              <w:autoSpaceDE w:val="0"/>
              <w:autoSpaceDN w:val="0"/>
              <w:adjustRightInd w:val="0"/>
              <w:jc w:val="right"/>
              <w:rPr>
                <w:szCs w:val="24"/>
              </w:rPr>
            </w:pPr>
          </w:p>
        </w:tc>
      </w:tr>
      <w:tr w:rsidR="00EF41A6" w14:paraId="023B78E1" w14:textId="77777777" w:rsidTr="00B956F1">
        <w:trPr>
          <w:jc w:val="center"/>
        </w:trPr>
        <w:tc>
          <w:tcPr>
            <w:tcW w:w="638" w:type="dxa"/>
            <w:hideMark/>
          </w:tcPr>
          <w:p w14:paraId="023B78DC" w14:textId="77777777" w:rsidR="00EF41A6" w:rsidRDefault="00EF41A6" w:rsidP="00EF41A6">
            <w:pPr>
              <w:overflowPunct w:val="0"/>
              <w:autoSpaceDE w:val="0"/>
              <w:autoSpaceDN w:val="0"/>
              <w:adjustRightInd w:val="0"/>
              <w:jc w:val="center"/>
              <w:rPr>
                <w:szCs w:val="24"/>
              </w:rPr>
            </w:pPr>
            <w:r>
              <w:rPr>
                <w:szCs w:val="24"/>
              </w:rPr>
              <w:t>(d)</w:t>
            </w:r>
          </w:p>
        </w:tc>
        <w:tc>
          <w:tcPr>
            <w:tcW w:w="5029" w:type="dxa"/>
            <w:hideMark/>
          </w:tcPr>
          <w:p w14:paraId="023B78DD" w14:textId="77777777" w:rsidR="00EF41A6" w:rsidRDefault="00EF41A6" w:rsidP="00EF41A6">
            <w:pPr>
              <w:overflowPunct w:val="0"/>
              <w:autoSpaceDE w:val="0"/>
              <w:autoSpaceDN w:val="0"/>
              <w:adjustRightInd w:val="0"/>
              <w:rPr>
                <w:spacing w:val="-3"/>
                <w:szCs w:val="24"/>
              </w:rPr>
            </w:pPr>
            <w:r>
              <w:rPr>
                <w:spacing w:val="-3"/>
                <w:szCs w:val="24"/>
              </w:rPr>
              <w:t xml:space="preserve">Temporary Events </w:t>
            </w:r>
          </w:p>
        </w:tc>
        <w:tc>
          <w:tcPr>
            <w:tcW w:w="1191" w:type="dxa"/>
          </w:tcPr>
          <w:p w14:paraId="023B78DE" w14:textId="77777777" w:rsidR="00EF41A6" w:rsidRDefault="00EF41A6" w:rsidP="00EF41A6">
            <w:pPr>
              <w:overflowPunct w:val="0"/>
              <w:autoSpaceDE w:val="0"/>
              <w:autoSpaceDN w:val="0"/>
              <w:adjustRightInd w:val="0"/>
              <w:jc w:val="right"/>
              <w:rPr>
                <w:strike/>
                <w:spacing w:val="-3"/>
                <w:szCs w:val="24"/>
              </w:rPr>
            </w:pPr>
          </w:p>
        </w:tc>
        <w:tc>
          <w:tcPr>
            <w:tcW w:w="1260" w:type="dxa"/>
          </w:tcPr>
          <w:p w14:paraId="023B78DF" w14:textId="4E792590" w:rsidR="00EF41A6" w:rsidRDefault="00EF41A6" w:rsidP="00EF41A6">
            <w:pPr>
              <w:overflowPunct w:val="0"/>
              <w:autoSpaceDE w:val="0"/>
              <w:autoSpaceDN w:val="0"/>
              <w:adjustRightInd w:val="0"/>
              <w:jc w:val="right"/>
              <w:rPr>
                <w:strike/>
                <w:szCs w:val="24"/>
              </w:rPr>
            </w:pPr>
          </w:p>
        </w:tc>
        <w:tc>
          <w:tcPr>
            <w:tcW w:w="1242" w:type="dxa"/>
          </w:tcPr>
          <w:p w14:paraId="023B78E0" w14:textId="44834F77" w:rsidR="00EF41A6" w:rsidRDefault="00205E5F" w:rsidP="00EF41A6">
            <w:pPr>
              <w:overflowPunct w:val="0"/>
              <w:autoSpaceDE w:val="0"/>
              <w:autoSpaceDN w:val="0"/>
              <w:adjustRightInd w:val="0"/>
              <w:jc w:val="right"/>
              <w:rPr>
                <w:szCs w:val="24"/>
              </w:rPr>
            </w:pPr>
            <w:r>
              <w:rPr>
                <w:szCs w:val="24"/>
              </w:rPr>
              <w:t>$100.00</w:t>
            </w:r>
          </w:p>
        </w:tc>
      </w:tr>
      <w:tr w:rsidR="00CF0D1A" w14:paraId="1440A17C" w14:textId="77777777" w:rsidTr="00EF41A6">
        <w:trPr>
          <w:jc w:val="center"/>
        </w:trPr>
        <w:tc>
          <w:tcPr>
            <w:tcW w:w="638" w:type="dxa"/>
          </w:tcPr>
          <w:p w14:paraId="293FE35B" w14:textId="77777777" w:rsidR="00CF0D1A" w:rsidRDefault="00CF0D1A" w:rsidP="00EF41A6">
            <w:pPr>
              <w:overflowPunct w:val="0"/>
              <w:autoSpaceDE w:val="0"/>
              <w:autoSpaceDN w:val="0"/>
              <w:adjustRightInd w:val="0"/>
              <w:jc w:val="center"/>
              <w:rPr>
                <w:szCs w:val="24"/>
              </w:rPr>
            </w:pPr>
          </w:p>
        </w:tc>
        <w:tc>
          <w:tcPr>
            <w:tcW w:w="5029" w:type="dxa"/>
          </w:tcPr>
          <w:p w14:paraId="1301E750" w14:textId="77777777" w:rsidR="00CF0D1A" w:rsidRDefault="00CF0D1A" w:rsidP="00EF41A6">
            <w:pPr>
              <w:overflowPunct w:val="0"/>
              <w:autoSpaceDE w:val="0"/>
              <w:autoSpaceDN w:val="0"/>
              <w:adjustRightInd w:val="0"/>
              <w:rPr>
                <w:spacing w:val="-3"/>
                <w:szCs w:val="24"/>
              </w:rPr>
            </w:pPr>
          </w:p>
        </w:tc>
        <w:tc>
          <w:tcPr>
            <w:tcW w:w="1191" w:type="dxa"/>
          </w:tcPr>
          <w:p w14:paraId="4B13A5F4" w14:textId="77777777" w:rsidR="00CF0D1A" w:rsidRDefault="00CF0D1A" w:rsidP="00EF41A6">
            <w:pPr>
              <w:overflowPunct w:val="0"/>
              <w:autoSpaceDE w:val="0"/>
              <w:autoSpaceDN w:val="0"/>
              <w:adjustRightInd w:val="0"/>
              <w:jc w:val="right"/>
              <w:rPr>
                <w:strike/>
                <w:spacing w:val="-3"/>
                <w:szCs w:val="24"/>
              </w:rPr>
            </w:pPr>
          </w:p>
        </w:tc>
        <w:tc>
          <w:tcPr>
            <w:tcW w:w="1260" w:type="dxa"/>
          </w:tcPr>
          <w:p w14:paraId="4BD25CD4" w14:textId="77777777" w:rsidR="00CF0D1A" w:rsidRDefault="00CF0D1A" w:rsidP="00EF41A6">
            <w:pPr>
              <w:overflowPunct w:val="0"/>
              <w:autoSpaceDE w:val="0"/>
              <w:autoSpaceDN w:val="0"/>
              <w:adjustRightInd w:val="0"/>
              <w:jc w:val="right"/>
              <w:rPr>
                <w:szCs w:val="24"/>
              </w:rPr>
            </w:pPr>
          </w:p>
        </w:tc>
        <w:tc>
          <w:tcPr>
            <w:tcW w:w="1242" w:type="dxa"/>
          </w:tcPr>
          <w:p w14:paraId="60400D07" w14:textId="77777777" w:rsidR="00CF0D1A" w:rsidRDefault="00CF0D1A" w:rsidP="00EF41A6">
            <w:pPr>
              <w:overflowPunct w:val="0"/>
              <w:autoSpaceDE w:val="0"/>
              <w:autoSpaceDN w:val="0"/>
              <w:adjustRightInd w:val="0"/>
              <w:jc w:val="right"/>
              <w:rPr>
                <w:szCs w:val="24"/>
              </w:rPr>
            </w:pPr>
          </w:p>
        </w:tc>
      </w:tr>
      <w:tr w:rsidR="00CF0D1A" w:rsidRPr="00205E5F" w14:paraId="08D760C4" w14:textId="77777777" w:rsidTr="007F6FA2">
        <w:trPr>
          <w:jc w:val="center"/>
        </w:trPr>
        <w:tc>
          <w:tcPr>
            <w:tcW w:w="9360" w:type="dxa"/>
            <w:gridSpan w:val="5"/>
          </w:tcPr>
          <w:p w14:paraId="479A6311" w14:textId="7A698D2E" w:rsidR="00CF0D1A" w:rsidRPr="00205E5F" w:rsidRDefault="00CF0D1A" w:rsidP="00CF0D1A">
            <w:pPr>
              <w:keepNext/>
              <w:tabs>
                <w:tab w:val="left" w:pos="720"/>
                <w:tab w:val="left" w:pos="1440"/>
                <w:tab w:val="left" w:pos="2160"/>
                <w:tab w:val="left" w:pos="2880"/>
                <w:tab w:val="left" w:pos="3600"/>
              </w:tabs>
              <w:overflowPunct w:val="0"/>
              <w:autoSpaceDE w:val="0"/>
              <w:autoSpaceDN w:val="0"/>
              <w:adjustRightInd w:val="0"/>
              <w:textAlignment w:val="baseline"/>
              <w:outlineLvl w:val="0"/>
              <w:rPr>
                <w:rFonts w:ascii="Times New (W1)" w:hAnsi="Times New (W1)" w:cs="Times New Roman"/>
                <w:b/>
                <w:szCs w:val="24"/>
              </w:rPr>
            </w:pPr>
            <w:bookmarkStart w:id="2" w:name="_Toc346183446"/>
            <w:r w:rsidRPr="00205E5F">
              <w:rPr>
                <w:rFonts w:ascii="Times New (W1)" w:hAnsi="Times New (W1)" w:cs="Times New Roman"/>
                <w:b/>
                <w:szCs w:val="24"/>
              </w:rPr>
              <w:t>Sec. 11</w:t>
            </w:r>
            <w:r>
              <w:rPr>
                <w:rFonts w:ascii="Times New (W1)" w:hAnsi="Times New (W1)" w:cs="Times New Roman"/>
                <w:b/>
                <w:szCs w:val="24"/>
              </w:rPr>
              <w:t>7</w:t>
            </w:r>
            <w:r w:rsidRPr="00205E5F">
              <w:rPr>
                <w:rFonts w:ascii="Times New (W1)" w:hAnsi="Times New (W1)" w:cs="Times New Roman"/>
                <w:b/>
                <w:szCs w:val="24"/>
              </w:rPr>
              <w:t>.</w:t>
            </w:r>
            <w:r>
              <w:rPr>
                <w:rFonts w:ascii="Times New (W1)" w:hAnsi="Times New (W1)" w:cs="Times New Roman"/>
                <w:b/>
                <w:szCs w:val="24"/>
              </w:rPr>
              <w:t>040.</w:t>
            </w:r>
            <w:r w:rsidRPr="00205E5F">
              <w:rPr>
                <w:rFonts w:ascii="Times New (W1)" w:hAnsi="Times New (W1)" w:cs="Times New Roman"/>
                <w:b/>
                <w:szCs w:val="24"/>
              </w:rPr>
              <w:tab/>
              <w:t>Medical Waste Permit and Inspection Fees</w:t>
            </w:r>
            <w:bookmarkEnd w:id="2"/>
          </w:p>
        </w:tc>
      </w:tr>
      <w:tr w:rsidR="00CF0D1A" w:rsidRPr="00205E5F" w14:paraId="22A5027A" w14:textId="77777777" w:rsidTr="007F6FA2">
        <w:trPr>
          <w:jc w:val="center"/>
        </w:trPr>
        <w:tc>
          <w:tcPr>
            <w:tcW w:w="9360" w:type="dxa"/>
            <w:gridSpan w:val="5"/>
          </w:tcPr>
          <w:p w14:paraId="503BD69C" w14:textId="77777777" w:rsidR="00CF0D1A" w:rsidRPr="00205E5F" w:rsidRDefault="00CF0D1A" w:rsidP="00CF0D1A">
            <w:pPr>
              <w:keepNext/>
              <w:tabs>
                <w:tab w:val="left" w:pos="720"/>
                <w:tab w:val="left" w:pos="1440"/>
                <w:tab w:val="left" w:pos="2160"/>
                <w:tab w:val="left" w:pos="2880"/>
                <w:tab w:val="left" w:pos="3600"/>
              </w:tabs>
              <w:overflowPunct w:val="0"/>
              <w:autoSpaceDE w:val="0"/>
              <w:autoSpaceDN w:val="0"/>
              <w:adjustRightInd w:val="0"/>
              <w:textAlignment w:val="baseline"/>
              <w:outlineLvl w:val="0"/>
              <w:rPr>
                <w:rFonts w:ascii="Times New (W1)" w:hAnsi="Times New (W1)" w:cs="Times New Roman"/>
                <w:b/>
                <w:szCs w:val="24"/>
              </w:rPr>
            </w:pPr>
          </w:p>
        </w:tc>
      </w:tr>
      <w:tr w:rsidR="00CF0D1A" w:rsidRPr="00205E5F" w14:paraId="4A55378C" w14:textId="77777777" w:rsidTr="007F6FA2">
        <w:trPr>
          <w:jc w:val="center"/>
        </w:trPr>
        <w:tc>
          <w:tcPr>
            <w:tcW w:w="9360" w:type="dxa"/>
            <w:gridSpan w:val="5"/>
          </w:tcPr>
          <w:p w14:paraId="49A7EDA9" w14:textId="3E5A17D8"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The fees for inspections and permits for medical waste generators, facilities and transfer stations shall be as follows:</w:t>
            </w:r>
          </w:p>
        </w:tc>
      </w:tr>
      <w:tr w:rsidR="00CF0D1A" w:rsidRPr="00205E5F" w14:paraId="488085D5" w14:textId="77777777" w:rsidTr="007F6FA2">
        <w:trPr>
          <w:tblHeader/>
          <w:jc w:val="center"/>
        </w:trPr>
        <w:tc>
          <w:tcPr>
            <w:tcW w:w="638" w:type="dxa"/>
          </w:tcPr>
          <w:p w14:paraId="4240D6D1" w14:textId="77777777" w:rsidR="00CF0D1A" w:rsidRPr="00205E5F" w:rsidRDefault="00CF0D1A" w:rsidP="00205E5F">
            <w:pPr>
              <w:keepNext/>
              <w:overflowPunct w:val="0"/>
              <w:autoSpaceDE w:val="0"/>
              <w:autoSpaceDN w:val="0"/>
              <w:adjustRightInd w:val="0"/>
              <w:jc w:val="center"/>
              <w:textAlignment w:val="baseline"/>
              <w:rPr>
                <w:rFonts w:cs="Times New Roman"/>
                <w:szCs w:val="24"/>
              </w:rPr>
            </w:pPr>
          </w:p>
        </w:tc>
        <w:tc>
          <w:tcPr>
            <w:tcW w:w="5029" w:type="dxa"/>
          </w:tcPr>
          <w:p w14:paraId="4C7DEB6A" w14:textId="77777777" w:rsidR="00CF0D1A" w:rsidRPr="00205E5F" w:rsidRDefault="00CF0D1A" w:rsidP="00205E5F">
            <w:pPr>
              <w:keepNext/>
              <w:overflowPunct w:val="0"/>
              <w:autoSpaceDE w:val="0"/>
              <w:autoSpaceDN w:val="0"/>
              <w:adjustRightInd w:val="0"/>
              <w:jc w:val="center"/>
              <w:textAlignment w:val="baseline"/>
              <w:rPr>
                <w:rFonts w:cs="Times New Roman"/>
                <w:szCs w:val="24"/>
              </w:rPr>
            </w:pPr>
          </w:p>
        </w:tc>
        <w:tc>
          <w:tcPr>
            <w:tcW w:w="1191" w:type="dxa"/>
          </w:tcPr>
          <w:p w14:paraId="15BD1308" w14:textId="77777777" w:rsidR="00CF0D1A" w:rsidRPr="00205E5F" w:rsidRDefault="00CF0D1A" w:rsidP="00205E5F">
            <w:pPr>
              <w:keepNext/>
              <w:overflowPunct w:val="0"/>
              <w:autoSpaceDE w:val="0"/>
              <w:autoSpaceDN w:val="0"/>
              <w:adjustRightInd w:val="0"/>
              <w:jc w:val="right"/>
              <w:textAlignment w:val="baseline"/>
              <w:rPr>
                <w:rFonts w:cs="Times New Roman"/>
                <w:szCs w:val="24"/>
              </w:rPr>
            </w:pPr>
          </w:p>
        </w:tc>
        <w:tc>
          <w:tcPr>
            <w:tcW w:w="1260" w:type="dxa"/>
          </w:tcPr>
          <w:p w14:paraId="118FE55D" w14:textId="77777777" w:rsidR="00CF0D1A" w:rsidRPr="00205E5F" w:rsidRDefault="00CF0D1A" w:rsidP="00205E5F">
            <w:pPr>
              <w:keepNext/>
              <w:overflowPunct w:val="0"/>
              <w:autoSpaceDE w:val="0"/>
              <w:autoSpaceDN w:val="0"/>
              <w:adjustRightInd w:val="0"/>
              <w:jc w:val="right"/>
              <w:textAlignment w:val="baseline"/>
              <w:rPr>
                <w:rFonts w:cs="Times New Roman"/>
                <w:szCs w:val="24"/>
              </w:rPr>
            </w:pPr>
          </w:p>
        </w:tc>
        <w:tc>
          <w:tcPr>
            <w:tcW w:w="1242" w:type="dxa"/>
          </w:tcPr>
          <w:p w14:paraId="585ED0E3" w14:textId="77777777" w:rsidR="00CF0D1A" w:rsidRPr="00205E5F" w:rsidRDefault="00CF0D1A" w:rsidP="00205E5F">
            <w:pPr>
              <w:keepNext/>
              <w:overflowPunct w:val="0"/>
              <w:autoSpaceDE w:val="0"/>
              <w:autoSpaceDN w:val="0"/>
              <w:adjustRightInd w:val="0"/>
              <w:jc w:val="right"/>
              <w:textAlignment w:val="baseline"/>
              <w:rPr>
                <w:rFonts w:cs="Times New Roman"/>
                <w:szCs w:val="24"/>
              </w:rPr>
            </w:pPr>
          </w:p>
        </w:tc>
      </w:tr>
      <w:tr w:rsidR="00CF0D1A" w:rsidRPr="00205E5F" w14:paraId="07F6DE5E" w14:textId="77777777" w:rsidTr="007F6FA2">
        <w:trPr>
          <w:jc w:val="center"/>
        </w:trPr>
        <w:tc>
          <w:tcPr>
            <w:tcW w:w="638" w:type="dxa"/>
          </w:tcPr>
          <w:p w14:paraId="059B0F67" w14:textId="2151964F"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(a)</w:t>
            </w:r>
          </w:p>
        </w:tc>
        <w:tc>
          <w:tcPr>
            <w:tcW w:w="5029" w:type="dxa"/>
          </w:tcPr>
          <w:p w14:paraId="28AA9FC9" w14:textId="52000A32"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Large Quantity Generators who produce 200 pounds or more of medical waste per month:</w:t>
            </w:r>
          </w:p>
        </w:tc>
        <w:tc>
          <w:tcPr>
            <w:tcW w:w="1191" w:type="dxa"/>
          </w:tcPr>
          <w:p w14:paraId="34C0B2CB"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5F97E83E" w14:textId="1628E532"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61B56BD6" w14:textId="4A5BF687" w:rsidR="00CF0D1A" w:rsidRPr="00205E5F" w:rsidRDefault="00CF0D1A" w:rsidP="00205E5F">
            <w:pPr>
              <w:overflowPunct w:val="0"/>
              <w:autoSpaceDE w:val="0"/>
              <w:autoSpaceDN w:val="0"/>
              <w:adjustRightInd w:val="0"/>
              <w:jc w:val="right"/>
              <w:textAlignment w:val="baseline"/>
              <w:rPr>
                <w:rFonts w:cs="Times New Roman"/>
                <w:szCs w:val="24"/>
              </w:rPr>
            </w:pPr>
            <w:r>
              <w:rPr>
                <w:rFonts w:cs="Times New Roman"/>
                <w:szCs w:val="24"/>
              </w:rPr>
              <w:t>$365.00</w:t>
            </w:r>
          </w:p>
        </w:tc>
      </w:tr>
      <w:tr w:rsidR="00CF0D1A" w:rsidRPr="00205E5F" w14:paraId="60550992" w14:textId="77777777" w:rsidTr="007F6FA2">
        <w:trPr>
          <w:jc w:val="center"/>
        </w:trPr>
        <w:tc>
          <w:tcPr>
            <w:tcW w:w="638" w:type="dxa"/>
          </w:tcPr>
          <w:p w14:paraId="24BD65A9"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10F1D000"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27C54E0B" w14:textId="77777777" w:rsidR="00CF0D1A" w:rsidRPr="00205E5F" w:rsidRDefault="00CF0D1A" w:rsidP="00205E5F">
            <w:pPr>
              <w:overflowPunct w:val="0"/>
              <w:autoSpaceDE w:val="0"/>
              <w:autoSpaceDN w:val="0"/>
              <w:adjustRightInd w:val="0"/>
              <w:textAlignment w:val="baseline"/>
              <w:rPr>
                <w:rFonts w:cs="Times New Roman"/>
                <w:strike/>
                <w:szCs w:val="24"/>
              </w:rPr>
            </w:pPr>
          </w:p>
        </w:tc>
        <w:tc>
          <w:tcPr>
            <w:tcW w:w="1260" w:type="dxa"/>
          </w:tcPr>
          <w:p w14:paraId="574FBEC2"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2955EC40" w14:textId="77777777" w:rsidR="00CF0D1A" w:rsidRPr="00205E5F" w:rsidRDefault="00CF0D1A" w:rsidP="00205E5F">
            <w:pPr>
              <w:overflowPunct w:val="0"/>
              <w:autoSpaceDE w:val="0"/>
              <w:autoSpaceDN w:val="0"/>
              <w:adjustRightInd w:val="0"/>
              <w:textAlignment w:val="baseline"/>
              <w:rPr>
                <w:rFonts w:cs="Times New Roman"/>
                <w:szCs w:val="24"/>
              </w:rPr>
            </w:pPr>
          </w:p>
        </w:tc>
      </w:tr>
      <w:tr w:rsidR="00CF0D1A" w:rsidRPr="00205E5F" w14:paraId="254E5648" w14:textId="77777777" w:rsidTr="007F6FA2">
        <w:trPr>
          <w:jc w:val="center"/>
        </w:trPr>
        <w:tc>
          <w:tcPr>
            <w:tcW w:w="638" w:type="dxa"/>
          </w:tcPr>
          <w:p w14:paraId="395D1A54" w14:textId="59E45C41"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(b)</w:t>
            </w:r>
          </w:p>
        </w:tc>
        <w:tc>
          <w:tcPr>
            <w:tcW w:w="5029" w:type="dxa"/>
          </w:tcPr>
          <w:p w14:paraId="43C7DEC2" w14:textId="28B401F5"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 xml:space="preserve">Large Quantity Generators With On-Site Treatment Facilities who produce </w:t>
            </w:r>
            <w:r w:rsidRPr="00205E5F">
              <w:rPr>
                <w:rFonts w:cs="Times New Roman"/>
                <w:szCs w:val="24"/>
              </w:rPr>
              <w:t>200 pounds or more per month and treat part or all medical waste on-site:</w:t>
            </w:r>
          </w:p>
        </w:tc>
        <w:tc>
          <w:tcPr>
            <w:tcW w:w="1191" w:type="dxa"/>
          </w:tcPr>
          <w:p w14:paraId="65B994F0"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1B939A93" w14:textId="39ED6FD4"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089DB5A6" w14:textId="450D8790" w:rsidR="00CF0D1A" w:rsidRPr="00205E5F" w:rsidRDefault="00CF0D1A" w:rsidP="00205E5F">
            <w:pPr>
              <w:overflowPunct w:val="0"/>
              <w:autoSpaceDE w:val="0"/>
              <w:autoSpaceDN w:val="0"/>
              <w:adjustRightInd w:val="0"/>
              <w:jc w:val="right"/>
              <w:textAlignment w:val="baseline"/>
              <w:rPr>
                <w:rFonts w:cs="Times New Roman"/>
                <w:szCs w:val="24"/>
              </w:rPr>
            </w:pPr>
            <w:r>
              <w:rPr>
                <w:rFonts w:cs="Times New Roman"/>
                <w:szCs w:val="24"/>
              </w:rPr>
              <w:t>$365.00</w:t>
            </w:r>
          </w:p>
        </w:tc>
      </w:tr>
      <w:tr w:rsidR="00CF0D1A" w:rsidRPr="00205E5F" w14:paraId="7EE2D2DD" w14:textId="77777777" w:rsidTr="007F6FA2">
        <w:trPr>
          <w:jc w:val="center"/>
        </w:trPr>
        <w:tc>
          <w:tcPr>
            <w:tcW w:w="638" w:type="dxa"/>
          </w:tcPr>
          <w:p w14:paraId="4950CBBE"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3BA50BB8"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45BF6790"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5AF4D15C"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7D108C49"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5A18FD40" w14:textId="77777777" w:rsidTr="007F6FA2">
        <w:trPr>
          <w:jc w:val="center"/>
        </w:trPr>
        <w:tc>
          <w:tcPr>
            <w:tcW w:w="638" w:type="dxa"/>
          </w:tcPr>
          <w:p w14:paraId="5EC05C59" w14:textId="6BC3A123"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(c)</w:t>
            </w:r>
          </w:p>
        </w:tc>
        <w:tc>
          <w:tcPr>
            <w:tcW w:w="5029" w:type="dxa"/>
          </w:tcPr>
          <w:p w14:paraId="14A3AA1C" w14:textId="4B09A8CF"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Transfer Stations that are an off-site location where medical waste is stored or transferred:</w:t>
            </w:r>
          </w:p>
        </w:tc>
        <w:tc>
          <w:tcPr>
            <w:tcW w:w="1191" w:type="dxa"/>
          </w:tcPr>
          <w:p w14:paraId="65C1BD9A"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54939715" w14:textId="41C02B46"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3D17EE2D" w14:textId="4EAB7A7E" w:rsidR="00CF0D1A" w:rsidRPr="00205E5F" w:rsidRDefault="002F4EAD" w:rsidP="00205E5F">
            <w:pPr>
              <w:overflowPunct w:val="0"/>
              <w:autoSpaceDE w:val="0"/>
              <w:autoSpaceDN w:val="0"/>
              <w:adjustRightInd w:val="0"/>
              <w:jc w:val="right"/>
              <w:textAlignment w:val="baseline"/>
              <w:rPr>
                <w:rFonts w:cs="Times New Roman"/>
                <w:szCs w:val="24"/>
              </w:rPr>
            </w:pPr>
            <w:r>
              <w:rPr>
                <w:rFonts w:cs="Times New Roman"/>
                <w:szCs w:val="24"/>
              </w:rPr>
              <w:t>$365.00</w:t>
            </w:r>
          </w:p>
        </w:tc>
      </w:tr>
      <w:tr w:rsidR="00CF0D1A" w:rsidRPr="00205E5F" w14:paraId="4A6AC807" w14:textId="77777777" w:rsidTr="007F6FA2">
        <w:trPr>
          <w:jc w:val="center"/>
        </w:trPr>
        <w:tc>
          <w:tcPr>
            <w:tcW w:w="638" w:type="dxa"/>
          </w:tcPr>
          <w:p w14:paraId="0BB87657"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3EA0A546"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33F134B7"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4780127E"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17524697"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5C09D861" w14:textId="77777777" w:rsidTr="007F6FA2">
        <w:trPr>
          <w:jc w:val="center"/>
        </w:trPr>
        <w:tc>
          <w:tcPr>
            <w:tcW w:w="638" w:type="dxa"/>
          </w:tcPr>
          <w:p w14:paraId="7D887EB8" w14:textId="63671D44"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(d)</w:t>
            </w:r>
          </w:p>
        </w:tc>
        <w:tc>
          <w:tcPr>
            <w:tcW w:w="5029" w:type="dxa"/>
          </w:tcPr>
          <w:p w14:paraId="7872524D" w14:textId="05DA9B7D"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zCs w:val="24"/>
              </w:rPr>
              <w:t>Common Storage Facilities which are sites designated as medical waste as a storage area for untreated medical waste and used in common by more than one small quantity generator:</w:t>
            </w:r>
          </w:p>
        </w:tc>
        <w:tc>
          <w:tcPr>
            <w:tcW w:w="1191" w:type="dxa"/>
          </w:tcPr>
          <w:p w14:paraId="54CC3EBF"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3A8FF915" w14:textId="0448E9D6"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40537059" w14:textId="12890A86" w:rsidR="00CF0D1A" w:rsidRPr="00205E5F" w:rsidRDefault="002F4EAD" w:rsidP="00205E5F">
            <w:pPr>
              <w:overflowPunct w:val="0"/>
              <w:autoSpaceDE w:val="0"/>
              <w:autoSpaceDN w:val="0"/>
              <w:adjustRightInd w:val="0"/>
              <w:jc w:val="right"/>
              <w:textAlignment w:val="baseline"/>
              <w:rPr>
                <w:rFonts w:cs="Times New Roman"/>
                <w:szCs w:val="24"/>
              </w:rPr>
            </w:pPr>
            <w:r>
              <w:rPr>
                <w:rFonts w:cs="Times New Roman"/>
                <w:szCs w:val="24"/>
              </w:rPr>
              <w:t>$316.00</w:t>
            </w:r>
          </w:p>
        </w:tc>
      </w:tr>
      <w:tr w:rsidR="00CF0D1A" w:rsidRPr="00205E5F" w14:paraId="54958AA1" w14:textId="77777777" w:rsidTr="007F6FA2">
        <w:trPr>
          <w:jc w:val="center"/>
        </w:trPr>
        <w:tc>
          <w:tcPr>
            <w:tcW w:w="638" w:type="dxa"/>
          </w:tcPr>
          <w:p w14:paraId="00BED71C"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344F06CB"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56C4675F"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47BE93BF"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7536DBA7"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334C86C3" w14:textId="77777777" w:rsidTr="007F6FA2">
        <w:trPr>
          <w:jc w:val="center"/>
        </w:trPr>
        <w:tc>
          <w:tcPr>
            <w:tcW w:w="638" w:type="dxa"/>
          </w:tcPr>
          <w:p w14:paraId="07F43129" w14:textId="423CDC6C"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(e)</w:t>
            </w:r>
          </w:p>
        </w:tc>
        <w:tc>
          <w:tcPr>
            <w:tcW w:w="5029" w:type="dxa"/>
          </w:tcPr>
          <w:p w14:paraId="3E0EB03C" w14:textId="33E0EACF"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Small Quantity Generator with On-Site Treatment which is a facility producing less than 200 pounds of waste per month and which treats all or a part of that medical waste on site:</w:t>
            </w:r>
          </w:p>
        </w:tc>
        <w:tc>
          <w:tcPr>
            <w:tcW w:w="1191" w:type="dxa"/>
          </w:tcPr>
          <w:p w14:paraId="548BCC6E"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122E819D" w14:textId="7C3F5C34"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1D2F1BDC" w14:textId="33167615" w:rsidR="00CF0D1A" w:rsidRPr="00205E5F" w:rsidRDefault="00CF0D1A" w:rsidP="00205E5F">
            <w:pPr>
              <w:overflowPunct w:val="0"/>
              <w:autoSpaceDE w:val="0"/>
              <w:autoSpaceDN w:val="0"/>
              <w:adjustRightInd w:val="0"/>
              <w:jc w:val="right"/>
              <w:textAlignment w:val="baseline"/>
              <w:rPr>
                <w:rFonts w:cs="Times New Roman"/>
                <w:szCs w:val="24"/>
              </w:rPr>
            </w:pPr>
            <w:r>
              <w:rPr>
                <w:rFonts w:cs="Times New Roman"/>
                <w:szCs w:val="24"/>
              </w:rPr>
              <w:t>$316.00</w:t>
            </w:r>
          </w:p>
        </w:tc>
      </w:tr>
      <w:tr w:rsidR="00CF0D1A" w:rsidRPr="00205E5F" w14:paraId="73621F94" w14:textId="77777777" w:rsidTr="007F6FA2">
        <w:trPr>
          <w:jc w:val="center"/>
        </w:trPr>
        <w:tc>
          <w:tcPr>
            <w:tcW w:w="638" w:type="dxa"/>
          </w:tcPr>
          <w:p w14:paraId="19DAB764"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76BA34EB"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608D010C"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1C6E15EF"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464C2CDE"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43A2E7B2" w14:textId="77777777" w:rsidTr="007F6FA2">
        <w:trPr>
          <w:jc w:val="center"/>
        </w:trPr>
        <w:tc>
          <w:tcPr>
            <w:tcW w:w="638" w:type="dxa"/>
          </w:tcPr>
          <w:p w14:paraId="1662764A" w14:textId="5AE254C5"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(f)</w:t>
            </w:r>
          </w:p>
        </w:tc>
        <w:tc>
          <w:tcPr>
            <w:tcW w:w="5029" w:type="dxa"/>
          </w:tcPr>
          <w:p w14:paraId="5A60C2BB" w14:textId="37DAF131"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Small Quantity Generator which Self-Hauls Medical Waste which produces less than 200 pounds of medical waste per month and self-hauls such waste to an approved facility or transfer station:</w:t>
            </w:r>
          </w:p>
        </w:tc>
        <w:tc>
          <w:tcPr>
            <w:tcW w:w="1191" w:type="dxa"/>
          </w:tcPr>
          <w:p w14:paraId="4D1B7592"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317A429F" w14:textId="25C13034"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3A5AACC5" w14:textId="7FBCC423" w:rsidR="00CF0D1A" w:rsidRPr="00205E5F" w:rsidRDefault="00CF0D1A" w:rsidP="00205E5F">
            <w:pPr>
              <w:overflowPunct w:val="0"/>
              <w:autoSpaceDE w:val="0"/>
              <w:autoSpaceDN w:val="0"/>
              <w:adjustRightInd w:val="0"/>
              <w:jc w:val="right"/>
              <w:textAlignment w:val="baseline"/>
              <w:rPr>
                <w:rFonts w:cs="Times New Roman"/>
                <w:szCs w:val="24"/>
              </w:rPr>
            </w:pPr>
            <w:r>
              <w:rPr>
                <w:rFonts w:cs="Times New Roman"/>
                <w:szCs w:val="24"/>
              </w:rPr>
              <w:t>$116.00</w:t>
            </w:r>
          </w:p>
        </w:tc>
      </w:tr>
      <w:tr w:rsidR="00CF0D1A" w:rsidRPr="00205E5F" w14:paraId="4F520EE2" w14:textId="77777777" w:rsidTr="007F6FA2">
        <w:trPr>
          <w:jc w:val="center"/>
        </w:trPr>
        <w:tc>
          <w:tcPr>
            <w:tcW w:w="638" w:type="dxa"/>
          </w:tcPr>
          <w:p w14:paraId="5B9F613E"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0C626F9A"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376025E3"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7E9A3F1E"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7E7450F0"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744C536F" w14:textId="77777777" w:rsidTr="007F6FA2">
        <w:trPr>
          <w:jc w:val="center"/>
        </w:trPr>
        <w:tc>
          <w:tcPr>
            <w:tcW w:w="638" w:type="dxa"/>
          </w:tcPr>
          <w:p w14:paraId="1A11CC25" w14:textId="3FC8FD6A"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(g)</w:t>
            </w:r>
          </w:p>
        </w:tc>
        <w:tc>
          <w:tcPr>
            <w:tcW w:w="5029" w:type="dxa"/>
          </w:tcPr>
          <w:p w14:paraId="37D16B54" w14:textId="1CAE91F1"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Small Quantity Generator with no On-Site Treatment which produces less than 200 pounds of medical waste and does not treat any medical waste on-site.</w:t>
            </w:r>
          </w:p>
        </w:tc>
        <w:tc>
          <w:tcPr>
            <w:tcW w:w="1191" w:type="dxa"/>
          </w:tcPr>
          <w:p w14:paraId="780F3EB8"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7BE60470" w14:textId="7F62F15C"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42453699" w14:textId="07BD81FB" w:rsidR="00CF0D1A" w:rsidRPr="00205E5F" w:rsidRDefault="00CF0D1A" w:rsidP="00205E5F">
            <w:pPr>
              <w:overflowPunct w:val="0"/>
              <w:autoSpaceDE w:val="0"/>
              <w:autoSpaceDN w:val="0"/>
              <w:adjustRightInd w:val="0"/>
              <w:jc w:val="right"/>
              <w:textAlignment w:val="baseline"/>
              <w:rPr>
                <w:rFonts w:cs="Times New Roman"/>
                <w:szCs w:val="24"/>
              </w:rPr>
            </w:pPr>
            <w:r>
              <w:rPr>
                <w:rFonts w:cs="Times New Roman"/>
                <w:szCs w:val="24"/>
              </w:rPr>
              <w:t>$67.00</w:t>
            </w:r>
          </w:p>
        </w:tc>
      </w:tr>
      <w:tr w:rsidR="00CF0D1A" w:rsidRPr="00205E5F" w14:paraId="61270D64" w14:textId="77777777" w:rsidTr="007F6FA2">
        <w:trPr>
          <w:jc w:val="center"/>
        </w:trPr>
        <w:tc>
          <w:tcPr>
            <w:tcW w:w="638" w:type="dxa"/>
          </w:tcPr>
          <w:p w14:paraId="2F29D0F2" w14:textId="77777777" w:rsidR="00CF0D1A" w:rsidRPr="00205E5F" w:rsidRDefault="00CF0D1A" w:rsidP="00205E5F">
            <w:pPr>
              <w:overflowPunct w:val="0"/>
              <w:autoSpaceDE w:val="0"/>
              <w:autoSpaceDN w:val="0"/>
              <w:adjustRightInd w:val="0"/>
              <w:jc w:val="center"/>
              <w:textAlignment w:val="baseline"/>
              <w:rPr>
                <w:rFonts w:cs="Times New Roman"/>
                <w:szCs w:val="24"/>
              </w:rPr>
            </w:pPr>
          </w:p>
        </w:tc>
        <w:tc>
          <w:tcPr>
            <w:tcW w:w="5029" w:type="dxa"/>
          </w:tcPr>
          <w:p w14:paraId="7241A50F" w14:textId="77777777" w:rsidR="00CF0D1A" w:rsidRPr="00205E5F" w:rsidRDefault="00CF0D1A" w:rsidP="00205E5F">
            <w:pPr>
              <w:overflowPunct w:val="0"/>
              <w:autoSpaceDE w:val="0"/>
              <w:autoSpaceDN w:val="0"/>
              <w:adjustRightInd w:val="0"/>
              <w:textAlignment w:val="baseline"/>
              <w:rPr>
                <w:rFonts w:cs="Times New Roman"/>
                <w:szCs w:val="24"/>
              </w:rPr>
            </w:pPr>
          </w:p>
        </w:tc>
        <w:tc>
          <w:tcPr>
            <w:tcW w:w="1191" w:type="dxa"/>
          </w:tcPr>
          <w:p w14:paraId="5B6625C9"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78C47B3D"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24B8D098"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16B8B957" w14:textId="77777777" w:rsidTr="007F6FA2">
        <w:trPr>
          <w:jc w:val="center"/>
        </w:trPr>
        <w:tc>
          <w:tcPr>
            <w:tcW w:w="638" w:type="dxa"/>
          </w:tcPr>
          <w:p w14:paraId="32399BAE" w14:textId="5430F312" w:rsidR="00CF0D1A" w:rsidRPr="00205E5F" w:rsidRDefault="00CF0D1A" w:rsidP="00205E5F">
            <w:pPr>
              <w:overflowPunct w:val="0"/>
              <w:autoSpaceDE w:val="0"/>
              <w:autoSpaceDN w:val="0"/>
              <w:adjustRightInd w:val="0"/>
              <w:jc w:val="center"/>
              <w:textAlignment w:val="baseline"/>
              <w:rPr>
                <w:rFonts w:cs="Times New Roman"/>
                <w:szCs w:val="24"/>
              </w:rPr>
            </w:pPr>
            <w:r w:rsidRPr="00205E5F">
              <w:rPr>
                <w:rFonts w:cs="Times New Roman"/>
                <w:szCs w:val="24"/>
              </w:rPr>
              <w:t>(h)</w:t>
            </w:r>
          </w:p>
        </w:tc>
        <w:tc>
          <w:tcPr>
            <w:tcW w:w="5029" w:type="dxa"/>
          </w:tcPr>
          <w:p w14:paraId="671640B2" w14:textId="74E9D9F8" w:rsidR="00CF0D1A" w:rsidRPr="00205E5F" w:rsidRDefault="00CF0D1A" w:rsidP="00205E5F">
            <w:pPr>
              <w:overflowPunct w:val="0"/>
              <w:autoSpaceDE w:val="0"/>
              <w:autoSpaceDN w:val="0"/>
              <w:adjustRightInd w:val="0"/>
              <w:textAlignment w:val="baseline"/>
              <w:rPr>
                <w:rFonts w:cs="Times New Roman"/>
                <w:szCs w:val="24"/>
              </w:rPr>
            </w:pPr>
            <w:r w:rsidRPr="00205E5F">
              <w:rPr>
                <w:rFonts w:cs="Times New Roman"/>
                <w:spacing w:val="-3"/>
                <w:szCs w:val="24"/>
              </w:rPr>
              <w:t>Change of ownership of any business or facility shall require a new application and inspection with required new annual fee.</w:t>
            </w:r>
          </w:p>
        </w:tc>
        <w:tc>
          <w:tcPr>
            <w:tcW w:w="1191" w:type="dxa"/>
          </w:tcPr>
          <w:p w14:paraId="5BBCC860" w14:textId="77777777" w:rsidR="00CF0D1A" w:rsidRPr="00205E5F" w:rsidRDefault="00CF0D1A" w:rsidP="00205E5F">
            <w:pPr>
              <w:overflowPunct w:val="0"/>
              <w:autoSpaceDE w:val="0"/>
              <w:autoSpaceDN w:val="0"/>
              <w:adjustRightInd w:val="0"/>
              <w:jc w:val="right"/>
              <w:textAlignment w:val="baseline"/>
              <w:rPr>
                <w:rFonts w:cs="Times New Roman"/>
                <w:strike/>
                <w:szCs w:val="24"/>
              </w:rPr>
            </w:pPr>
          </w:p>
        </w:tc>
        <w:tc>
          <w:tcPr>
            <w:tcW w:w="1260" w:type="dxa"/>
          </w:tcPr>
          <w:p w14:paraId="745FF14D"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c>
          <w:tcPr>
            <w:tcW w:w="1242" w:type="dxa"/>
          </w:tcPr>
          <w:p w14:paraId="1FB8FC6E" w14:textId="77777777" w:rsidR="00CF0D1A" w:rsidRPr="00205E5F" w:rsidRDefault="00CF0D1A" w:rsidP="00205E5F">
            <w:pPr>
              <w:overflowPunct w:val="0"/>
              <w:autoSpaceDE w:val="0"/>
              <w:autoSpaceDN w:val="0"/>
              <w:adjustRightInd w:val="0"/>
              <w:jc w:val="right"/>
              <w:textAlignment w:val="baseline"/>
              <w:rPr>
                <w:rFonts w:cs="Times New Roman"/>
                <w:szCs w:val="24"/>
              </w:rPr>
            </w:pPr>
          </w:p>
        </w:tc>
      </w:tr>
      <w:tr w:rsidR="00CF0D1A" w:rsidRPr="00205E5F" w14:paraId="081DD2E0" w14:textId="77777777" w:rsidTr="007F6FA2">
        <w:trPr>
          <w:jc w:val="center"/>
        </w:trPr>
        <w:tc>
          <w:tcPr>
            <w:tcW w:w="9360" w:type="dxa"/>
            <w:gridSpan w:val="5"/>
          </w:tcPr>
          <w:p w14:paraId="47AB0CFB" w14:textId="77777777" w:rsidR="00CF0D1A" w:rsidRPr="00205E5F" w:rsidRDefault="00CF0D1A" w:rsidP="00205E5F">
            <w:pPr>
              <w:overflowPunct w:val="0"/>
              <w:autoSpaceDE w:val="0"/>
              <w:autoSpaceDN w:val="0"/>
              <w:adjustRightInd w:val="0"/>
              <w:textAlignment w:val="baseline"/>
              <w:rPr>
                <w:rFonts w:cs="Times New Roman"/>
                <w:szCs w:val="24"/>
              </w:rPr>
            </w:pPr>
          </w:p>
        </w:tc>
      </w:tr>
    </w:tbl>
    <w:p w14:paraId="023B78E2" w14:textId="77777777" w:rsidR="004247AB" w:rsidRDefault="004247AB"/>
    <w:sectPr w:rsidR="004247AB">
      <w:headerReference w:type="default" r:id="rId7"/>
      <w:footerReference w:type="default" r:id="rId8"/>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5C52" w14:textId="77777777" w:rsidR="00B36A9A" w:rsidRDefault="00B36A9A">
      <w:r>
        <w:separator/>
      </w:r>
    </w:p>
  </w:endnote>
  <w:endnote w:type="continuationSeparator" w:id="0">
    <w:p w14:paraId="67274485" w14:textId="77777777" w:rsidR="00B36A9A" w:rsidRDefault="00B3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78EA" w14:textId="77777777" w:rsidR="005867F8" w:rsidRDefault="00D26EB9">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023B78F1" wp14:editId="023B78F2">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23B78EB" w14:textId="06AD3A13" w:rsidR="005867F8" w:rsidRPr="00ED002E" w:rsidRDefault="005867F8">
    <w:pPr>
      <w:pStyle w:val="Footer"/>
      <w:tabs>
        <w:tab w:val="clear" w:pos="4320"/>
        <w:tab w:val="clear" w:pos="8640"/>
        <w:tab w:val="left" w:pos="0"/>
        <w:tab w:val="left" w:pos="8616"/>
      </w:tabs>
      <w:rPr>
        <w:b/>
        <w:bCs/>
        <w:sz w:val="20"/>
      </w:rPr>
    </w:pPr>
    <w:r w:rsidRPr="00987ED5">
      <w:rPr>
        <w:b/>
        <w:bCs/>
        <w:smallCaps/>
        <w:sz w:val="20"/>
      </w:rPr>
      <w:t>Napa County Policy Manual</w:t>
    </w:r>
    <w:r>
      <w:rPr>
        <w:b/>
        <w:bCs/>
        <w:sz w:val="20"/>
      </w:rPr>
      <w:tab/>
      <w:t xml:space="preserve">Page </w:t>
    </w:r>
    <w:r w:rsidRPr="00ED002E">
      <w:rPr>
        <w:rStyle w:val="PageNumber"/>
        <w:b/>
        <w:sz w:val="20"/>
      </w:rPr>
      <w:fldChar w:fldCharType="begin"/>
    </w:r>
    <w:r w:rsidRPr="00ED002E">
      <w:rPr>
        <w:rStyle w:val="PageNumber"/>
        <w:b/>
        <w:sz w:val="20"/>
      </w:rPr>
      <w:instrText xml:space="preserve"> PAGE </w:instrText>
    </w:r>
    <w:r w:rsidRPr="00ED002E">
      <w:rPr>
        <w:rStyle w:val="PageNumber"/>
        <w:b/>
        <w:sz w:val="20"/>
      </w:rPr>
      <w:fldChar w:fldCharType="separate"/>
    </w:r>
    <w:r w:rsidR="0074396A">
      <w:rPr>
        <w:rStyle w:val="PageNumber"/>
        <w:b/>
        <w:noProof/>
        <w:sz w:val="20"/>
      </w:rPr>
      <w:t>5</w:t>
    </w:r>
    <w:r w:rsidRPr="00ED002E">
      <w:rPr>
        <w:rStyle w:val="PageNumber"/>
        <w:b/>
        <w:sz w:val="20"/>
      </w:rPr>
      <w:fldChar w:fldCharType="end"/>
    </w:r>
  </w:p>
  <w:p w14:paraId="023B78EC" w14:textId="77777777" w:rsidR="005867F8" w:rsidRDefault="005867F8">
    <w:pPr>
      <w:pStyle w:val="Footer"/>
      <w:tabs>
        <w:tab w:val="clear" w:pos="4320"/>
        <w:tab w:val="clear" w:pos="8640"/>
        <w:tab w:val="left" w:pos="0"/>
        <w:tab w:val="left" w:pos="8616"/>
      </w:tabs>
      <w:rPr>
        <w:rStyle w:val="PageNumber"/>
        <w:b/>
        <w:bCs/>
        <w:sz w:val="20"/>
      </w:rPr>
    </w:pPr>
    <w:r>
      <w:rPr>
        <w:b/>
        <w:bCs/>
        <w:sz w:val="20"/>
      </w:rPr>
      <w:t>Part 117 – Local Enforcement 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4269" w14:textId="77777777" w:rsidR="00B36A9A" w:rsidRDefault="00B36A9A">
      <w:r>
        <w:separator/>
      </w:r>
    </w:p>
  </w:footnote>
  <w:footnote w:type="continuationSeparator" w:id="0">
    <w:p w14:paraId="7A935365" w14:textId="77777777" w:rsidR="00B36A9A" w:rsidRDefault="00B3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78E7" w14:textId="77777777" w:rsidR="005867F8" w:rsidRDefault="00D26EB9">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023B78ED" wp14:editId="023B78EE">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23B78E8" w14:textId="77777777" w:rsidR="005867F8" w:rsidRDefault="005867F8">
    <w:pPr>
      <w:pStyle w:val="Header"/>
      <w:jc w:val="right"/>
      <w:rPr>
        <w:rFonts w:cs="Times New Roman"/>
        <w:b/>
        <w:bCs/>
      </w:rPr>
    </w:pPr>
    <w:r>
      <w:rPr>
        <w:rFonts w:cs="Times New Roman"/>
        <w:b/>
        <w:bCs/>
      </w:rPr>
      <w:t>PART III:  FEES</w:t>
    </w:r>
  </w:p>
  <w:p w14:paraId="023B78E9" w14:textId="77777777" w:rsidR="005867F8" w:rsidRDefault="00D26EB9">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023B78EF" wp14:editId="023B78F0">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87"/>
    <w:rsid w:val="00083978"/>
    <w:rsid w:val="000A1514"/>
    <w:rsid w:val="00142DC4"/>
    <w:rsid w:val="00150214"/>
    <w:rsid w:val="00153DB6"/>
    <w:rsid w:val="00205E5F"/>
    <w:rsid w:val="00230769"/>
    <w:rsid w:val="002420AB"/>
    <w:rsid w:val="00257987"/>
    <w:rsid w:val="00262870"/>
    <w:rsid w:val="0026291C"/>
    <w:rsid w:val="00272EF0"/>
    <w:rsid w:val="00295242"/>
    <w:rsid w:val="002D16AD"/>
    <w:rsid w:val="002E7DCF"/>
    <w:rsid w:val="002F4EAD"/>
    <w:rsid w:val="00323C44"/>
    <w:rsid w:val="00380784"/>
    <w:rsid w:val="00397712"/>
    <w:rsid w:val="003D3385"/>
    <w:rsid w:val="004052CF"/>
    <w:rsid w:val="004247AB"/>
    <w:rsid w:val="004C42D0"/>
    <w:rsid w:val="004D2663"/>
    <w:rsid w:val="004E1634"/>
    <w:rsid w:val="0050702F"/>
    <w:rsid w:val="00557C41"/>
    <w:rsid w:val="0057676C"/>
    <w:rsid w:val="005867F8"/>
    <w:rsid w:val="005C2508"/>
    <w:rsid w:val="005C795C"/>
    <w:rsid w:val="005E6E22"/>
    <w:rsid w:val="00625DF3"/>
    <w:rsid w:val="006344EE"/>
    <w:rsid w:val="00636E78"/>
    <w:rsid w:val="00654C21"/>
    <w:rsid w:val="0072710F"/>
    <w:rsid w:val="00731872"/>
    <w:rsid w:val="007328DD"/>
    <w:rsid w:val="0074396A"/>
    <w:rsid w:val="00797BCF"/>
    <w:rsid w:val="008803C7"/>
    <w:rsid w:val="008D2F36"/>
    <w:rsid w:val="008F22AA"/>
    <w:rsid w:val="00912C71"/>
    <w:rsid w:val="00947932"/>
    <w:rsid w:val="0098128E"/>
    <w:rsid w:val="00987ED5"/>
    <w:rsid w:val="009918AE"/>
    <w:rsid w:val="009F49BE"/>
    <w:rsid w:val="00A70563"/>
    <w:rsid w:val="00A97FEC"/>
    <w:rsid w:val="00AB4A3E"/>
    <w:rsid w:val="00AB6772"/>
    <w:rsid w:val="00AF3727"/>
    <w:rsid w:val="00B36A9A"/>
    <w:rsid w:val="00B70DA1"/>
    <w:rsid w:val="00B956F1"/>
    <w:rsid w:val="00B95FB5"/>
    <w:rsid w:val="00BA2898"/>
    <w:rsid w:val="00BB618E"/>
    <w:rsid w:val="00BF2087"/>
    <w:rsid w:val="00C20EFC"/>
    <w:rsid w:val="00C45F60"/>
    <w:rsid w:val="00C469BF"/>
    <w:rsid w:val="00C64F29"/>
    <w:rsid w:val="00C954C3"/>
    <w:rsid w:val="00C96C19"/>
    <w:rsid w:val="00CC5C67"/>
    <w:rsid w:val="00CF0D1A"/>
    <w:rsid w:val="00CF4525"/>
    <w:rsid w:val="00D2120A"/>
    <w:rsid w:val="00D26EB9"/>
    <w:rsid w:val="00D70F34"/>
    <w:rsid w:val="00DF221B"/>
    <w:rsid w:val="00E41F25"/>
    <w:rsid w:val="00E550F2"/>
    <w:rsid w:val="00E7085E"/>
    <w:rsid w:val="00E8174F"/>
    <w:rsid w:val="00E9141E"/>
    <w:rsid w:val="00E96116"/>
    <w:rsid w:val="00E974F2"/>
    <w:rsid w:val="00ED002E"/>
    <w:rsid w:val="00ED35D6"/>
    <w:rsid w:val="00EF41A6"/>
    <w:rsid w:val="00F21545"/>
    <w:rsid w:val="00F37B65"/>
    <w:rsid w:val="00F43B31"/>
    <w:rsid w:val="00F9486A"/>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3B777A"/>
  <w15:docId w15:val="{BDD6E2CF-CD07-40ED-9429-ABA940A7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pPr>
      <w:keepNext/>
      <w:outlineLvl w:val="1"/>
    </w:pPr>
    <w:rPr>
      <w:b/>
      <w:bCs/>
      <w:iCs/>
      <w:caps/>
      <w:szCs w:val="28"/>
    </w:rPr>
  </w:style>
  <w:style w:type="paragraph" w:styleId="Heading3">
    <w:name w:val="heading 3"/>
    <w:basedOn w:val="Normal"/>
    <w:next w:val="Normal"/>
    <w:qFormat/>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BodyText">
    <w:name w:val="Manual Body Text"/>
    <w:basedOn w:val="Normal"/>
  </w:style>
  <w:style w:type="paragraph" w:customStyle="1" w:styleId="Style3">
    <w:name w:val="Style3"/>
    <w:basedOn w:val="Normal"/>
    <w:pPr>
      <w:ind w:left="720"/>
    </w:pPr>
    <w:rPr>
      <w:rFonts w:cs="Times New Roman"/>
      <w:b/>
    </w:rPr>
  </w:style>
  <w:style w:type="paragraph" w:customStyle="1" w:styleId="Style4">
    <w:name w:val="Style4"/>
    <w:basedOn w:val="Heading2"/>
    <w:rPr>
      <w:b w:val="0"/>
      <w:caps w:val="0"/>
    </w:rPr>
  </w:style>
  <w:style w:type="paragraph" w:customStyle="1" w:styleId="Style5">
    <w:name w:val="Style5"/>
    <w:basedOn w:val="Style4"/>
    <w:pPr>
      <w:ind w:firstLine="720"/>
    </w:pPr>
    <w:rPr>
      <w:rFonts w:eastAsia="MS Mincho"/>
    </w:rPr>
  </w:style>
  <w:style w:type="paragraph" w:styleId="BodyTextIndent2">
    <w:name w:val="Body Text Indent 2"/>
    <w:basedOn w:val="Normal"/>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99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9918AE"/>
    <w:rPr>
      <w:b/>
    </w:rPr>
  </w:style>
  <w:style w:type="paragraph" w:styleId="BalloonText">
    <w:name w:val="Balloon Text"/>
    <w:basedOn w:val="Normal"/>
    <w:link w:val="BalloonTextChar"/>
    <w:rsid w:val="005C795C"/>
    <w:rPr>
      <w:rFonts w:ascii="Tahoma" w:hAnsi="Tahoma" w:cs="Tahoma"/>
      <w:sz w:val="16"/>
      <w:szCs w:val="16"/>
    </w:rPr>
  </w:style>
  <w:style w:type="character" w:customStyle="1" w:styleId="BalloonTextChar">
    <w:name w:val="Balloon Text Char"/>
    <w:basedOn w:val="DefaultParagraphFont"/>
    <w:link w:val="BalloonText"/>
    <w:rsid w:val="005C7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5932">
      <w:bodyDiv w:val="1"/>
      <w:marLeft w:val="0"/>
      <w:marRight w:val="0"/>
      <w:marTop w:val="0"/>
      <w:marBottom w:val="0"/>
      <w:divBdr>
        <w:top w:val="none" w:sz="0" w:space="0" w:color="auto"/>
        <w:left w:val="none" w:sz="0" w:space="0" w:color="auto"/>
        <w:bottom w:val="none" w:sz="0" w:space="0" w:color="auto"/>
        <w:right w:val="none" w:sz="0" w:space="0" w:color="auto"/>
      </w:divBdr>
    </w:div>
    <w:div w:id="260799039">
      <w:bodyDiv w:val="1"/>
      <w:marLeft w:val="0"/>
      <w:marRight w:val="0"/>
      <w:marTop w:val="0"/>
      <w:marBottom w:val="0"/>
      <w:divBdr>
        <w:top w:val="none" w:sz="0" w:space="0" w:color="auto"/>
        <w:left w:val="none" w:sz="0" w:space="0" w:color="auto"/>
        <w:bottom w:val="none" w:sz="0" w:space="0" w:color="auto"/>
        <w:right w:val="none" w:sz="0" w:space="0" w:color="auto"/>
      </w:divBdr>
    </w:div>
    <w:div w:id="8028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nwilloug</dc:creator>
  <cp:lastModifiedBy>Morgan, Greg</cp:lastModifiedBy>
  <cp:revision>3</cp:revision>
  <cp:lastPrinted>2018-08-01T16:49:00Z</cp:lastPrinted>
  <dcterms:created xsi:type="dcterms:W3CDTF">2018-07-26T15:37:00Z</dcterms:created>
  <dcterms:modified xsi:type="dcterms:W3CDTF">2018-08-01T16:50:00Z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