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9F" w:rsidRDefault="004F339F" w:rsidP="00275311">
      <w:pPr>
        <w:suppressAutoHyphens/>
        <w:jc w:val="both"/>
        <w:rPr>
          <w:spacing w:val="-3"/>
          <w:sz w:val="22"/>
          <w:szCs w:val="22"/>
        </w:rPr>
      </w:pPr>
    </w:p>
    <w:p w:rsidR="00275311" w:rsidRPr="00275311" w:rsidRDefault="00275311" w:rsidP="00275311">
      <w:pPr>
        <w:suppressAutoHyphens/>
        <w:jc w:val="both"/>
        <w:rPr>
          <w:spacing w:val="-3"/>
          <w:sz w:val="22"/>
          <w:szCs w:val="22"/>
        </w:rPr>
      </w:pPr>
      <w:r w:rsidRPr="00275311">
        <w:rPr>
          <w:spacing w:val="-3"/>
          <w:sz w:val="22"/>
          <w:szCs w:val="22"/>
        </w:rPr>
        <w:t>Date:</w:t>
      </w:r>
      <w:r w:rsidRPr="00275311">
        <w:rPr>
          <w:spacing w:val="-3"/>
          <w:sz w:val="22"/>
          <w:szCs w:val="22"/>
        </w:rPr>
        <w:tab/>
      </w:r>
      <w:r w:rsidRPr="00275311">
        <w:rPr>
          <w:spacing w:val="-3"/>
          <w:sz w:val="22"/>
          <w:szCs w:val="22"/>
        </w:rPr>
        <w:tab/>
        <w:t xml:space="preserve">August </w:t>
      </w:r>
      <w:r w:rsidR="000945F9">
        <w:rPr>
          <w:spacing w:val="-3"/>
          <w:sz w:val="22"/>
          <w:szCs w:val="22"/>
        </w:rPr>
        <w:t>15</w:t>
      </w:r>
      <w:r w:rsidR="00023B1C">
        <w:rPr>
          <w:spacing w:val="-3"/>
          <w:sz w:val="22"/>
          <w:szCs w:val="22"/>
        </w:rPr>
        <w:t>, 2017</w:t>
      </w:r>
    </w:p>
    <w:p w:rsidR="00275311" w:rsidRPr="00275311" w:rsidRDefault="00275311" w:rsidP="00275311">
      <w:pPr>
        <w:suppressAutoHyphens/>
        <w:jc w:val="both"/>
        <w:rPr>
          <w:spacing w:val="-3"/>
          <w:sz w:val="22"/>
          <w:szCs w:val="22"/>
        </w:rPr>
      </w:pPr>
      <w:r w:rsidRPr="00275311">
        <w:rPr>
          <w:spacing w:val="-3"/>
          <w:sz w:val="22"/>
          <w:szCs w:val="22"/>
        </w:rPr>
        <w:tab/>
      </w:r>
      <w:r w:rsidRPr="00275311">
        <w:rPr>
          <w:spacing w:val="-3"/>
          <w:sz w:val="22"/>
          <w:szCs w:val="22"/>
        </w:rPr>
        <w:tab/>
      </w:r>
      <w:r w:rsidRPr="00275311">
        <w:rPr>
          <w:spacing w:val="-3"/>
          <w:sz w:val="22"/>
          <w:szCs w:val="22"/>
        </w:rPr>
        <w:tab/>
      </w:r>
    </w:p>
    <w:p w:rsidR="00275311" w:rsidRPr="00275311" w:rsidRDefault="00275311" w:rsidP="00275311">
      <w:pPr>
        <w:rPr>
          <w:spacing w:val="-3"/>
          <w:sz w:val="22"/>
          <w:szCs w:val="22"/>
        </w:rPr>
      </w:pPr>
      <w:r w:rsidRPr="00275311">
        <w:rPr>
          <w:spacing w:val="-3"/>
          <w:sz w:val="22"/>
          <w:szCs w:val="22"/>
        </w:rPr>
        <w:t>To:</w:t>
      </w:r>
      <w:r w:rsidRPr="00275311">
        <w:rPr>
          <w:spacing w:val="-3"/>
          <w:sz w:val="22"/>
          <w:szCs w:val="22"/>
        </w:rPr>
        <w:tab/>
      </w:r>
      <w:r w:rsidRPr="00275311">
        <w:rPr>
          <w:spacing w:val="-3"/>
          <w:sz w:val="22"/>
          <w:szCs w:val="22"/>
        </w:rPr>
        <w:tab/>
        <w:t>Napa County Board of Supervisors</w:t>
      </w:r>
    </w:p>
    <w:p w:rsidR="00275311" w:rsidRPr="00275311" w:rsidRDefault="00275311" w:rsidP="00275311">
      <w:pPr>
        <w:rPr>
          <w:spacing w:val="-3"/>
          <w:sz w:val="22"/>
          <w:szCs w:val="22"/>
        </w:rPr>
      </w:pPr>
      <w:r w:rsidRPr="00275311">
        <w:rPr>
          <w:spacing w:val="-3"/>
          <w:sz w:val="22"/>
          <w:szCs w:val="22"/>
        </w:rPr>
        <w:tab/>
      </w:r>
      <w:r w:rsidRPr="00275311">
        <w:rPr>
          <w:spacing w:val="-3"/>
          <w:sz w:val="22"/>
          <w:szCs w:val="22"/>
        </w:rPr>
        <w:tab/>
      </w:r>
    </w:p>
    <w:p w:rsidR="00275311" w:rsidRPr="00275311" w:rsidRDefault="00275311" w:rsidP="00275311">
      <w:pPr>
        <w:suppressAutoHyphens/>
        <w:jc w:val="both"/>
        <w:rPr>
          <w:spacing w:val="-3"/>
          <w:sz w:val="22"/>
          <w:szCs w:val="22"/>
        </w:rPr>
      </w:pPr>
      <w:r w:rsidRPr="00275311">
        <w:rPr>
          <w:spacing w:val="-3"/>
          <w:sz w:val="22"/>
          <w:szCs w:val="22"/>
        </w:rPr>
        <w:t>From:</w:t>
      </w:r>
      <w:r w:rsidRPr="00275311">
        <w:rPr>
          <w:spacing w:val="-3"/>
          <w:sz w:val="22"/>
          <w:szCs w:val="22"/>
        </w:rPr>
        <w:tab/>
      </w:r>
      <w:r w:rsidRPr="00275311">
        <w:rPr>
          <w:spacing w:val="-3"/>
          <w:sz w:val="22"/>
          <w:szCs w:val="22"/>
        </w:rPr>
        <w:tab/>
        <w:t>Tracy A. Schulze</w:t>
      </w:r>
    </w:p>
    <w:p w:rsidR="00275311" w:rsidRPr="00275311" w:rsidRDefault="00275311" w:rsidP="00275311">
      <w:pPr>
        <w:suppressAutoHyphens/>
        <w:jc w:val="both"/>
        <w:rPr>
          <w:spacing w:val="-3"/>
          <w:sz w:val="22"/>
          <w:szCs w:val="22"/>
        </w:rPr>
      </w:pPr>
      <w:r w:rsidRPr="00275311">
        <w:rPr>
          <w:spacing w:val="-3"/>
          <w:sz w:val="22"/>
          <w:szCs w:val="22"/>
        </w:rPr>
        <w:tab/>
      </w:r>
      <w:r w:rsidRPr="00275311">
        <w:rPr>
          <w:spacing w:val="-3"/>
          <w:sz w:val="22"/>
          <w:szCs w:val="22"/>
        </w:rPr>
        <w:tab/>
        <w:t>Auditor-Controller</w:t>
      </w:r>
    </w:p>
    <w:p w:rsidR="00275311" w:rsidRPr="00275311" w:rsidRDefault="00275311" w:rsidP="00275311">
      <w:pPr>
        <w:suppressAutoHyphens/>
        <w:jc w:val="both"/>
        <w:rPr>
          <w:spacing w:val="-3"/>
          <w:sz w:val="22"/>
          <w:szCs w:val="22"/>
        </w:rPr>
      </w:pPr>
    </w:p>
    <w:p w:rsidR="00275311" w:rsidRPr="00275311" w:rsidRDefault="00275311" w:rsidP="00275311">
      <w:pPr>
        <w:pBdr>
          <w:bottom w:val="single" w:sz="12" w:space="1" w:color="auto"/>
        </w:pBdr>
        <w:rPr>
          <w:spacing w:val="-3"/>
          <w:sz w:val="22"/>
          <w:szCs w:val="22"/>
        </w:rPr>
      </w:pPr>
      <w:r w:rsidRPr="00275311">
        <w:rPr>
          <w:spacing w:val="-3"/>
          <w:sz w:val="22"/>
          <w:szCs w:val="22"/>
        </w:rPr>
        <w:t>Subject:</w:t>
      </w:r>
      <w:r w:rsidR="00DA22CD">
        <w:rPr>
          <w:spacing w:val="-3"/>
          <w:sz w:val="22"/>
          <w:szCs w:val="22"/>
        </w:rPr>
        <w:tab/>
      </w:r>
      <w:r w:rsidRPr="00275311">
        <w:rPr>
          <w:spacing w:val="-3"/>
          <w:sz w:val="22"/>
          <w:szCs w:val="22"/>
        </w:rPr>
        <w:tab/>
        <w:t>Fiscal Year 20</w:t>
      </w:r>
      <w:r w:rsidR="000945F9">
        <w:rPr>
          <w:spacing w:val="-3"/>
          <w:sz w:val="22"/>
          <w:szCs w:val="22"/>
        </w:rPr>
        <w:t>16</w:t>
      </w:r>
      <w:r w:rsidRPr="00275311">
        <w:rPr>
          <w:spacing w:val="-3"/>
          <w:sz w:val="22"/>
          <w:szCs w:val="22"/>
        </w:rPr>
        <w:t>-</w:t>
      </w:r>
      <w:r w:rsidR="00535E18">
        <w:rPr>
          <w:spacing w:val="-3"/>
          <w:sz w:val="22"/>
          <w:szCs w:val="22"/>
        </w:rPr>
        <w:t>20</w:t>
      </w:r>
      <w:r w:rsidRPr="00275311">
        <w:rPr>
          <w:spacing w:val="-3"/>
          <w:sz w:val="22"/>
          <w:szCs w:val="22"/>
        </w:rPr>
        <w:t>1</w:t>
      </w:r>
      <w:r w:rsidR="000945F9">
        <w:rPr>
          <w:spacing w:val="-3"/>
          <w:sz w:val="22"/>
          <w:szCs w:val="22"/>
        </w:rPr>
        <w:t>7</w:t>
      </w:r>
      <w:r w:rsidRPr="00275311">
        <w:rPr>
          <w:spacing w:val="-3"/>
          <w:sz w:val="22"/>
          <w:szCs w:val="22"/>
        </w:rPr>
        <w:t xml:space="preserve"> Closing Entries</w:t>
      </w:r>
    </w:p>
    <w:p w:rsidR="00275311" w:rsidRPr="00275311" w:rsidRDefault="00275311" w:rsidP="00275311">
      <w:pPr>
        <w:pBdr>
          <w:bottom w:val="single" w:sz="12" w:space="1" w:color="auto"/>
        </w:pBdr>
        <w:rPr>
          <w:spacing w:val="-3"/>
          <w:sz w:val="22"/>
          <w:szCs w:val="22"/>
        </w:rPr>
      </w:pPr>
    </w:p>
    <w:p w:rsidR="00275311" w:rsidRPr="00275311" w:rsidRDefault="00275311" w:rsidP="00275311">
      <w:pPr>
        <w:suppressAutoHyphens/>
        <w:jc w:val="both"/>
        <w:rPr>
          <w:spacing w:val="-3"/>
          <w:sz w:val="22"/>
          <w:szCs w:val="22"/>
        </w:rPr>
      </w:pPr>
    </w:p>
    <w:p w:rsidR="00275311" w:rsidRDefault="00275311" w:rsidP="00404D51">
      <w:pPr>
        <w:suppressAutoHyphens/>
        <w:jc w:val="both"/>
        <w:rPr>
          <w:spacing w:val="-3"/>
          <w:sz w:val="22"/>
          <w:szCs w:val="22"/>
        </w:rPr>
      </w:pPr>
      <w:r w:rsidRPr="00275311">
        <w:rPr>
          <w:spacing w:val="-3"/>
          <w:sz w:val="22"/>
          <w:szCs w:val="22"/>
        </w:rPr>
        <w:t>At the end of each fiscal year, certain accounting and budgetary entries need to be recorded by the Auditor-Controller to complete the year-end closing process.  I am requesting authorization to process these year-end adjustments, which are detailed below.</w:t>
      </w:r>
    </w:p>
    <w:p w:rsidR="0086462C" w:rsidRPr="00275311" w:rsidRDefault="0086462C" w:rsidP="00404D51">
      <w:pPr>
        <w:suppressAutoHyphens/>
        <w:jc w:val="both"/>
        <w:rPr>
          <w:spacing w:val="-3"/>
          <w:sz w:val="22"/>
          <w:szCs w:val="22"/>
        </w:rPr>
      </w:pPr>
    </w:p>
    <w:p w:rsidR="00275311" w:rsidRPr="00275311" w:rsidRDefault="000B012B" w:rsidP="00404D51">
      <w:pPr>
        <w:suppressAutoHyphens/>
        <w:jc w:val="center"/>
        <w:rPr>
          <w:b/>
          <w:spacing w:val="-3"/>
          <w:sz w:val="22"/>
          <w:szCs w:val="22"/>
        </w:rPr>
      </w:pPr>
      <w:r>
        <w:rPr>
          <w:b/>
          <w:spacing w:val="-3"/>
          <w:sz w:val="22"/>
          <w:szCs w:val="22"/>
          <w:u w:val="single"/>
        </w:rPr>
        <w:t xml:space="preserve">FUND BALANCE - </w:t>
      </w:r>
      <w:r w:rsidR="00A84558">
        <w:rPr>
          <w:b/>
          <w:spacing w:val="-3"/>
          <w:sz w:val="22"/>
          <w:szCs w:val="22"/>
          <w:u w:val="single"/>
        </w:rPr>
        <w:t>ASSIGNMENTS</w:t>
      </w:r>
      <w:r w:rsidR="003D1A94">
        <w:rPr>
          <w:b/>
          <w:spacing w:val="-3"/>
          <w:sz w:val="22"/>
          <w:szCs w:val="22"/>
          <w:u w:val="single"/>
        </w:rPr>
        <w:t>/RESTRICTIONS</w:t>
      </w:r>
      <w:r w:rsidR="002659D9">
        <w:rPr>
          <w:b/>
          <w:spacing w:val="-3"/>
          <w:sz w:val="22"/>
          <w:szCs w:val="22"/>
          <w:u w:val="single"/>
        </w:rPr>
        <w:t>/COMMITMENTS</w:t>
      </w:r>
    </w:p>
    <w:p w:rsidR="00275311" w:rsidRPr="00275311" w:rsidRDefault="00275311" w:rsidP="00404D51">
      <w:pPr>
        <w:suppressAutoHyphens/>
        <w:jc w:val="both"/>
        <w:rPr>
          <w:spacing w:val="-3"/>
          <w:sz w:val="22"/>
          <w:szCs w:val="22"/>
        </w:rPr>
      </w:pPr>
    </w:p>
    <w:p w:rsidR="00275311" w:rsidRPr="009B189F" w:rsidRDefault="00275311" w:rsidP="00404D51">
      <w:pPr>
        <w:suppressAutoHyphens/>
        <w:jc w:val="both"/>
        <w:rPr>
          <w:spacing w:val="-3"/>
          <w:sz w:val="22"/>
          <w:szCs w:val="22"/>
        </w:rPr>
      </w:pPr>
      <w:r w:rsidRPr="009B189F">
        <w:rPr>
          <w:spacing w:val="-3"/>
          <w:sz w:val="22"/>
          <w:szCs w:val="22"/>
        </w:rPr>
        <w:t>Record the following entries to increase</w:t>
      </w:r>
      <w:r w:rsidR="00793816">
        <w:rPr>
          <w:spacing w:val="-3"/>
          <w:sz w:val="22"/>
          <w:szCs w:val="22"/>
        </w:rPr>
        <w:t>/d</w:t>
      </w:r>
      <w:r w:rsidR="00774851" w:rsidRPr="009B189F">
        <w:rPr>
          <w:spacing w:val="-3"/>
          <w:sz w:val="22"/>
          <w:szCs w:val="22"/>
        </w:rPr>
        <w:t>ecrease</w:t>
      </w:r>
      <w:r w:rsidRPr="009B189F">
        <w:rPr>
          <w:spacing w:val="-3"/>
          <w:sz w:val="22"/>
          <w:szCs w:val="22"/>
        </w:rPr>
        <w:t xml:space="preserve"> </w:t>
      </w:r>
      <w:r w:rsidR="00A84558" w:rsidRPr="009B189F">
        <w:rPr>
          <w:spacing w:val="-3"/>
          <w:sz w:val="22"/>
          <w:szCs w:val="22"/>
        </w:rPr>
        <w:t>assignments</w:t>
      </w:r>
      <w:r w:rsidR="002659D9" w:rsidRPr="009B189F">
        <w:rPr>
          <w:spacing w:val="-3"/>
          <w:sz w:val="22"/>
          <w:szCs w:val="22"/>
        </w:rPr>
        <w:t>, restrictions and commitments</w:t>
      </w:r>
      <w:r w:rsidRPr="009B189F">
        <w:rPr>
          <w:spacing w:val="-3"/>
          <w:sz w:val="22"/>
          <w:szCs w:val="22"/>
        </w:rPr>
        <w:t xml:space="preserve"> as of Jun</w:t>
      </w:r>
      <w:r w:rsidR="000945F9">
        <w:rPr>
          <w:spacing w:val="-3"/>
          <w:sz w:val="22"/>
          <w:szCs w:val="22"/>
        </w:rPr>
        <w:t>e 30, 2017</w:t>
      </w:r>
      <w:r w:rsidR="006D101D">
        <w:rPr>
          <w:spacing w:val="-3"/>
          <w:sz w:val="22"/>
          <w:szCs w:val="22"/>
        </w:rPr>
        <w:t>.</w:t>
      </w:r>
    </w:p>
    <w:p w:rsidR="00275311" w:rsidRPr="009B189F" w:rsidRDefault="00275311" w:rsidP="00404D51">
      <w:pPr>
        <w:suppressAutoHyphens/>
        <w:jc w:val="both"/>
        <w:rPr>
          <w:spacing w:val="-3"/>
          <w:sz w:val="22"/>
          <w:szCs w:val="22"/>
        </w:rPr>
      </w:pPr>
    </w:p>
    <w:p w:rsidR="00A97AB8" w:rsidRPr="00793816" w:rsidRDefault="00793816" w:rsidP="00404D51">
      <w:pPr>
        <w:suppressAutoHyphens/>
        <w:jc w:val="both"/>
        <w:rPr>
          <w:b/>
          <w:spacing w:val="-3"/>
          <w:sz w:val="22"/>
          <w:szCs w:val="22"/>
          <w:u w:val="single"/>
        </w:rPr>
      </w:pPr>
      <w:r>
        <w:rPr>
          <w:b/>
          <w:spacing w:val="-3"/>
          <w:sz w:val="22"/>
          <w:szCs w:val="22"/>
          <w:u w:val="single"/>
        </w:rPr>
        <w:t>Health and Human Services</w:t>
      </w:r>
      <w:r w:rsidR="006D101D">
        <w:rPr>
          <w:b/>
          <w:spacing w:val="-3"/>
          <w:sz w:val="22"/>
          <w:szCs w:val="22"/>
          <w:u w:val="single"/>
        </w:rPr>
        <w:t xml:space="preserve"> Fund</w:t>
      </w:r>
    </w:p>
    <w:p w:rsidR="00176336" w:rsidRPr="00413092" w:rsidRDefault="00176336" w:rsidP="00404D51">
      <w:pPr>
        <w:suppressAutoHyphens/>
        <w:jc w:val="both"/>
        <w:rPr>
          <w:spacing w:val="-3"/>
          <w:sz w:val="22"/>
          <w:szCs w:val="22"/>
        </w:rPr>
      </w:pPr>
      <w:r w:rsidRPr="00BA205A">
        <w:rPr>
          <w:spacing w:val="-3"/>
          <w:sz w:val="22"/>
          <w:szCs w:val="22"/>
        </w:rPr>
        <w:t xml:space="preserve">Health Care Enhancement Programs – </w:t>
      </w:r>
      <w:r w:rsidR="008F71B9">
        <w:rPr>
          <w:spacing w:val="-3"/>
          <w:sz w:val="22"/>
          <w:szCs w:val="22"/>
        </w:rPr>
        <w:t>Cancel the</w:t>
      </w:r>
      <w:r w:rsidRPr="00BA205A">
        <w:rPr>
          <w:spacing w:val="-3"/>
          <w:sz w:val="22"/>
          <w:szCs w:val="22"/>
        </w:rPr>
        <w:t xml:space="preserve"> third-party restriction</w:t>
      </w:r>
      <w:r w:rsidR="009C09C5" w:rsidRPr="00BA205A">
        <w:rPr>
          <w:spacing w:val="-3"/>
          <w:sz w:val="22"/>
          <w:szCs w:val="22"/>
        </w:rPr>
        <w:t xml:space="preserve"> </w:t>
      </w:r>
      <w:r w:rsidR="008F71B9">
        <w:rPr>
          <w:spacing w:val="-3"/>
          <w:sz w:val="22"/>
          <w:szCs w:val="22"/>
        </w:rPr>
        <w:t>of</w:t>
      </w:r>
      <w:r w:rsidR="009C09C5" w:rsidRPr="00BA205A">
        <w:rPr>
          <w:spacing w:val="-3"/>
          <w:sz w:val="22"/>
          <w:szCs w:val="22"/>
        </w:rPr>
        <w:t xml:space="preserve"> $376,356</w:t>
      </w:r>
      <w:r w:rsidR="00B65C1F" w:rsidRPr="00413092">
        <w:rPr>
          <w:spacing w:val="-3"/>
          <w:sz w:val="22"/>
          <w:szCs w:val="22"/>
        </w:rPr>
        <w:t xml:space="preserve">.  </w:t>
      </w:r>
      <w:r w:rsidRPr="00413092">
        <w:rPr>
          <w:sz w:val="22"/>
          <w:szCs w:val="22"/>
        </w:rPr>
        <w:t>These funds</w:t>
      </w:r>
      <w:r w:rsidR="00682B81">
        <w:rPr>
          <w:sz w:val="22"/>
          <w:szCs w:val="22"/>
        </w:rPr>
        <w:t xml:space="preserve"> were</w:t>
      </w:r>
      <w:r w:rsidRPr="00413092">
        <w:rPr>
          <w:sz w:val="22"/>
          <w:szCs w:val="22"/>
        </w:rPr>
        <w:t xml:space="preserve"> provided through the I</w:t>
      </w:r>
      <w:r w:rsidR="00B65C1F" w:rsidRPr="00413092">
        <w:rPr>
          <w:sz w:val="22"/>
          <w:szCs w:val="22"/>
        </w:rPr>
        <w:t>nter-</w:t>
      </w:r>
      <w:r w:rsidRPr="00413092">
        <w:rPr>
          <w:sz w:val="22"/>
          <w:szCs w:val="22"/>
        </w:rPr>
        <w:t>G</w:t>
      </w:r>
      <w:r w:rsidR="00B65C1F" w:rsidRPr="00413092">
        <w:rPr>
          <w:sz w:val="22"/>
          <w:szCs w:val="22"/>
        </w:rPr>
        <w:t xml:space="preserve">overnmental </w:t>
      </w:r>
      <w:r w:rsidRPr="00413092">
        <w:rPr>
          <w:sz w:val="22"/>
          <w:szCs w:val="22"/>
        </w:rPr>
        <w:t>T</w:t>
      </w:r>
      <w:r w:rsidR="00B65C1F" w:rsidRPr="00413092">
        <w:rPr>
          <w:sz w:val="22"/>
          <w:szCs w:val="22"/>
        </w:rPr>
        <w:t>ransfer</w:t>
      </w:r>
      <w:r w:rsidRPr="00413092">
        <w:rPr>
          <w:sz w:val="22"/>
          <w:szCs w:val="22"/>
        </w:rPr>
        <w:t xml:space="preserve"> arrangement as allowed under Section 1903</w:t>
      </w:r>
      <w:r w:rsidR="00682B81">
        <w:rPr>
          <w:sz w:val="22"/>
          <w:szCs w:val="22"/>
        </w:rPr>
        <w:t xml:space="preserve"> of the Social Security Ac</w:t>
      </w:r>
      <w:r w:rsidR="008F71B9">
        <w:rPr>
          <w:sz w:val="22"/>
          <w:szCs w:val="22"/>
        </w:rPr>
        <w:t>t</w:t>
      </w:r>
      <w:r w:rsidR="002837CD">
        <w:rPr>
          <w:sz w:val="22"/>
          <w:szCs w:val="22"/>
        </w:rPr>
        <w:t xml:space="preserve"> and </w:t>
      </w:r>
      <w:r w:rsidR="002837CD" w:rsidRPr="00DE63E2">
        <w:t>Welfare and Institutions (W&amp;I)</w:t>
      </w:r>
      <w:r w:rsidR="00DE63E2">
        <w:t xml:space="preserve"> Code section 14164 and 14301.4. T</w:t>
      </w:r>
      <w:r w:rsidR="00DE63E2">
        <w:rPr>
          <w:sz w:val="22"/>
          <w:szCs w:val="22"/>
        </w:rPr>
        <w:t xml:space="preserve">he funds </w:t>
      </w:r>
      <w:r w:rsidR="00682B81">
        <w:rPr>
          <w:sz w:val="22"/>
          <w:szCs w:val="22"/>
        </w:rPr>
        <w:t>have been fully expended.</w:t>
      </w:r>
    </w:p>
    <w:p w:rsidR="00176336" w:rsidRPr="000945F9" w:rsidRDefault="00176336" w:rsidP="00404D51">
      <w:pPr>
        <w:suppressAutoHyphens/>
        <w:jc w:val="both"/>
        <w:rPr>
          <w:spacing w:val="-3"/>
          <w:sz w:val="22"/>
          <w:szCs w:val="22"/>
          <w:highlight w:val="lightGray"/>
        </w:rPr>
      </w:pPr>
    </w:p>
    <w:p w:rsidR="00852044" w:rsidRPr="003F4AA7" w:rsidRDefault="00852044" w:rsidP="00404D51">
      <w:pPr>
        <w:suppressAutoHyphens/>
        <w:jc w:val="both"/>
        <w:rPr>
          <w:spacing w:val="-3"/>
          <w:sz w:val="22"/>
          <w:szCs w:val="22"/>
        </w:rPr>
      </w:pPr>
      <w:r w:rsidRPr="003F4AA7">
        <w:rPr>
          <w:spacing w:val="-3"/>
          <w:sz w:val="22"/>
          <w:szCs w:val="22"/>
        </w:rPr>
        <w:t>Mental Health Cost Report Payback –</w:t>
      </w:r>
      <w:r w:rsidR="00682B81">
        <w:rPr>
          <w:spacing w:val="-3"/>
          <w:sz w:val="22"/>
          <w:szCs w:val="22"/>
        </w:rPr>
        <w:t xml:space="preserve"> </w:t>
      </w:r>
      <w:r w:rsidRPr="003F4AA7">
        <w:rPr>
          <w:spacing w:val="-3"/>
          <w:sz w:val="22"/>
          <w:szCs w:val="22"/>
        </w:rPr>
        <w:t xml:space="preserve">Maintain the assignment of $1,022,812.88.  This assignment is used to fund potential claims settlement or audit paybacks.  The assigned funds were not needed </w:t>
      </w:r>
      <w:r w:rsidR="004D4DFF" w:rsidRPr="003F4AA7">
        <w:rPr>
          <w:spacing w:val="-3"/>
          <w:sz w:val="22"/>
          <w:szCs w:val="22"/>
        </w:rPr>
        <w:t>during fiscal year 201</w:t>
      </w:r>
      <w:r w:rsidR="00023B1C">
        <w:rPr>
          <w:spacing w:val="-3"/>
          <w:sz w:val="22"/>
          <w:szCs w:val="22"/>
        </w:rPr>
        <w:t>6-2017</w:t>
      </w:r>
      <w:r w:rsidR="00A56188" w:rsidRPr="003F4AA7">
        <w:rPr>
          <w:spacing w:val="-3"/>
          <w:sz w:val="22"/>
          <w:szCs w:val="22"/>
        </w:rPr>
        <w:t>.</w:t>
      </w:r>
      <w:r w:rsidRPr="003F4AA7">
        <w:rPr>
          <w:spacing w:val="-3"/>
          <w:sz w:val="22"/>
          <w:szCs w:val="22"/>
        </w:rPr>
        <w:t xml:space="preserve"> </w:t>
      </w:r>
    </w:p>
    <w:p w:rsidR="00795D72" w:rsidRPr="000945F9" w:rsidRDefault="00795D72" w:rsidP="00404D51">
      <w:pPr>
        <w:suppressAutoHyphens/>
        <w:jc w:val="both"/>
        <w:rPr>
          <w:spacing w:val="-3"/>
          <w:sz w:val="22"/>
          <w:szCs w:val="22"/>
          <w:highlight w:val="lightGray"/>
        </w:rPr>
      </w:pPr>
    </w:p>
    <w:p w:rsidR="00176336" w:rsidRDefault="00176336" w:rsidP="00404D51">
      <w:pPr>
        <w:suppressAutoHyphens/>
        <w:jc w:val="both"/>
        <w:rPr>
          <w:spacing w:val="-3"/>
          <w:sz w:val="22"/>
          <w:szCs w:val="22"/>
        </w:rPr>
      </w:pPr>
      <w:r w:rsidRPr="003F4AA7">
        <w:rPr>
          <w:spacing w:val="-3"/>
          <w:sz w:val="22"/>
          <w:szCs w:val="22"/>
        </w:rPr>
        <w:t>Dahl Trust – Reduce the th</w:t>
      </w:r>
      <w:r w:rsidR="00A56188" w:rsidRPr="003F4AA7">
        <w:rPr>
          <w:spacing w:val="-3"/>
          <w:sz w:val="22"/>
          <w:szCs w:val="22"/>
        </w:rPr>
        <w:t>ird-party restriction by $</w:t>
      </w:r>
      <w:r w:rsidR="003F4AA7" w:rsidRPr="003F4AA7">
        <w:rPr>
          <w:spacing w:val="-3"/>
          <w:sz w:val="22"/>
          <w:szCs w:val="22"/>
        </w:rPr>
        <w:t>406.26</w:t>
      </w:r>
      <w:r w:rsidRPr="003F4AA7">
        <w:rPr>
          <w:spacing w:val="-3"/>
          <w:sz w:val="22"/>
          <w:szCs w:val="22"/>
        </w:rPr>
        <w:t xml:space="preserve"> bringing th</w:t>
      </w:r>
      <w:r w:rsidR="00A56188" w:rsidRPr="003F4AA7">
        <w:rPr>
          <w:spacing w:val="-3"/>
          <w:sz w:val="22"/>
          <w:szCs w:val="22"/>
        </w:rPr>
        <w:t>e total restriction to $</w:t>
      </w:r>
      <w:r w:rsidR="003F4AA7" w:rsidRPr="003F4AA7">
        <w:rPr>
          <w:spacing w:val="-3"/>
          <w:sz w:val="22"/>
          <w:szCs w:val="22"/>
        </w:rPr>
        <w:t>595.21</w:t>
      </w:r>
      <w:r w:rsidRPr="003F4AA7">
        <w:rPr>
          <w:spacing w:val="-3"/>
          <w:sz w:val="22"/>
          <w:szCs w:val="22"/>
        </w:rPr>
        <w:t xml:space="preserve">.  The Dahl Trust, established in 2003, is used to fund incidental children services costs incurred by Social Service that are not claimable against other grant funding sources.  The restriction reduction reflects the amount of funds used </w:t>
      </w:r>
      <w:r w:rsidR="000B012B">
        <w:rPr>
          <w:spacing w:val="-3"/>
          <w:sz w:val="22"/>
          <w:szCs w:val="22"/>
        </w:rPr>
        <w:t>during the year</w:t>
      </w:r>
    </w:p>
    <w:p w:rsidR="000B012B" w:rsidRPr="000945F9" w:rsidRDefault="000B012B" w:rsidP="00404D51">
      <w:pPr>
        <w:suppressAutoHyphens/>
        <w:jc w:val="both"/>
        <w:rPr>
          <w:spacing w:val="-3"/>
          <w:sz w:val="22"/>
          <w:szCs w:val="22"/>
          <w:highlight w:val="lightGray"/>
        </w:rPr>
      </w:pPr>
    </w:p>
    <w:p w:rsidR="00176336" w:rsidRPr="003F4AA7" w:rsidRDefault="00176336" w:rsidP="00404D51">
      <w:pPr>
        <w:suppressAutoHyphens/>
        <w:jc w:val="both"/>
        <w:rPr>
          <w:spacing w:val="-3"/>
          <w:sz w:val="22"/>
          <w:szCs w:val="22"/>
        </w:rPr>
      </w:pPr>
      <w:r w:rsidRPr="003F4AA7">
        <w:rPr>
          <w:spacing w:val="-3"/>
          <w:sz w:val="22"/>
          <w:szCs w:val="22"/>
        </w:rPr>
        <w:t>EMS Medical Cache Trailers –</w:t>
      </w:r>
      <w:r w:rsidR="00682B81">
        <w:rPr>
          <w:spacing w:val="-3"/>
          <w:sz w:val="22"/>
          <w:szCs w:val="22"/>
        </w:rPr>
        <w:t xml:space="preserve"> </w:t>
      </w:r>
      <w:r w:rsidRPr="003F4AA7">
        <w:rPr>
          <w:spacing w:val="-3"/>
          <w:sz w:val="22"/>
          <w:szCs w:val="22"/>
        </w:rPr>
        <w:t>Maintain the assignment of $5,000.  In accordance with the terms of the JPA established in 2006, this assignment is to be used for major repairs and maintenance on Emergency Medical Service medical cache trailers purchased in 2006 using Department of Homeland Security grant funding.  The trailers are used to house medical supplies needed to respond to potential emergency situations.</w:t>
      </w:r>
    </w:p>
    <w:p w:rsidR="00176336" w:rsidRPr="000945F9" w:rsidRDefault="00176336" w:rsidP="00404D51">
      <w:pPr>
        <w:suppressAutoHyphens/>
        <w:jc w:val="both"/>
        <w:rPr>
          <w:spacing w:val="-3"/>
          <w:sz w:val="22"/>
          <w:szCs w:val="22"/>
          <w:highlight w:val="lightGray"/>
        </w:rPr>
      </w:pPr>
    </w:p>
    <w:p w:rsidR="00DD03D5" w:rsidRPr="00023B1C" w:rsidRDefault="00DD03D5" w:rsidP="00404D51">
      <w:pPr>
        <w:suppressAutoHyphens/>
        <w:jc w:val="both"/>
        <w:rPr>
          <w:spacing w:val="-3"/>
          <w:sz w:val="22"/>
          <w:szCs w:val="22"/>
        </w:rPr>
      </w:pPr>
      <w:r w:rsidRPr="00023B1C">
        <w:rPr>
          <w:spacing w:val="-3"/>
          <w:sz w:val="22"/>
          <w:szCs w:val="22"/>
        </w:rPr>
        <w:t>Medical Reserve Corp – Reduce the assignment by $</w:t>
      </w:r>
      <w:r w:rsidR="00023B1C" w:rsidRPr="00023B1C">
        <w:rPr>
          <w:spacing w:val="-3"/>
          <w:sz w:val="22"/>
          <w:szCs w:val="22"/>
        </w:rPr>
        <w:t>828.56</w:t>
      </w:r>
      <w:r w:rsidR="00793816" w:rsidRPr="00023B1C">
        <w:rPr>
          <w:spacing w:val="-3"/>
          <w:sz w:val="22"/>
          <w:szCs w:val="22"/>
        </w:rPr>
        <w:t xml:space="preserve"> to reflect funds used during the year, </w:t>
      </w:r>
      <w:r w:rsidRPr="00023B1C">
        <w:rPr>
          <w:spacing w:val="-3"/>
          <w:sz w:val="22"/>
          <w:szCs w:val="22"/>
        </w:rPr>
        <w:t>bringing the total assignment to $</w:t>
      </w:r>
      <w:r w:rsidR="00023B1C" w:rsidRPr="00023B1C">
        <w:rPr>
          <w:spacing w:val="-3"/>
          <w:sz w:val="22"/>
          <w:szCs w:val="22"/>
        </w:rPr>
        <w:t>4,797.49</w:t>
      </w:r>
      <w:r w:rsidRPr="00023B1C">
        <w:rPr>
          <w:spacing w:val="-3"/>
          <w:sz w:val="22"/>
          <w:szCs w:val="22"/>
        </w:rPr>
        <w:t xml:space="preserve">.  The total assignment is to be used to organize and train healthcare and non-healthcare professionals to respond to public health </w:t>
      </w:r>
      <w:r w:rsidR="00404D51" w:rsidRPr="00023B1C">
        <w:rPr>
          <w:spacing w:val="-3"/>
          <w:sz w:val="22"/>
          <w:szCs w:val="22"/>
        </w:rPr>
        <w:t>emergencies.</w:t>
      </w:r>
    </w:p>
    <w:p w:rsidR="000B012B" w:rsidRDefault="000B012B" w:rsidP="000B012B">
      <w:pPr>
        <w:suppressAutoHyphens/>
        <w:jc w:val="both"/>
        <w:rPr>
          <w:b/>
          <w:spacing w:val="-3"/>
          <w:sz w:val="22"/>
          <w:szCs w:val="22"/>
          <w:u w:val="single"/>
        </w:rPr>
      </w:pPr>
    </w:p>
    <w:p w:rsidR="000B012B" w:rsidRPr="0016025F" w:rsidRDefault="000B012B" w:rsidP="000B012B">
      <w:pPr>
        <w:suppressAutoHyphens/>
        <w:jc w:val="both"/>
        <w:rPr>
          <w:spacing w:val="-3"/>
          <w:sz w:val="22"/>
          <w:szCs w:val="22"/>
        </w:rPr>
      </w:pPr>
      <w:r w:rsidRPr="0016025F">
        <w:rPr>
          <w:b/>
          <w:spacing w:val="-3"/>
          <w:sz w:val="22"/>
          <w:szCs w:val="22"/>
          <w:u w:val="single"/>
        </w:rPr>
        <w:t>Capital Improvement Fund</w:t>
      </w:r>
    </w:p>
    <w:p w:rsidR="000B012B" w:rsidRPr="0016025F" w:rsidRDefault="000B012B" w:rsidP="000B012B">
      <w:pPr>
        <w:suppressAutoHyphens/>
        <w:jc w:val="both"/>
        <w:rPr>
          <w:spacing w:val="-3"/>
          <w:sz w:val="22"/>
          <w:szCs w:val="22"/>
        </w:rPr>
      </w:pPr>
      <w:r w:rsidRPr="0016025F">
        <w:rPr>
          <w:spacing w:val="-3"/>
          <w:sz w:val="22"/>
          <w:szCs w:val="22"/>
        </w:rPr>
        <w:t>County Jail – Increase the funds committed towards the construction of a new County jail facility by $5,5</w:t>
      </w:r>
      <w:r>
        <w:rPr>
          <w:spacing w:val="-3"/>
          <w:sz w:val="22"/>
          <w:szCs w:val="22"/>
        </w:rPr>
        <w:t xml:space="preserve">66,528 </w:t>
      </w:r>
      <w:r w:rsidRPr="0016025F">
        <w:rPr>
          <w:spacing w:val="-3"/>
          <w:sz w:val="22"/>
          <w:szCs w:val="22"/>
        </w:rPr>
        <w:t>bringing the total commitment to $</w:t>
      </w:r>
      <w:r>
        <w:rPr>
          <w:spacing w:val="-3"/>
          <w:sz w:val="22"/>
          <w:szCs w:val="22"/>
        </w:rPr>
        <w:t>29,054,901</w:t>
      </w:r>
      <w:r w:rsidRPr="0016025F">
        <w:rPr>
          <w:spacing w:val="-3"/>
          <w:sz w:val="22"/>
          <w:szCs w:val="22"/>
        </w:rPr>
        <w:t xml:space="preserve">.  The increase is </w:t>
      </w:r>
      <w:r>
        <w:rPr>
          <w:spacing w:val="-3"/>
          <w:sz w:val="22"/>
          <w:szCs w:val="22"/>
        </w:rPr>
        <w:t>funded by the return of excess ERAF.</w:t>
      </w:r>
    </w:p>
    <w:p w:rsidR="00A54210" w:rsidRPr="00023B1C" w:rsidRDefault="00A54210" w:rsidP="00404D51">
      <w:pPr>
        <w:jc w:val="both"/>
        <w:rPr>
          <w:b/>
          <w:spacing w:val="-3"/>
          <w:sz w:val="22"/>
          <w:szCs w:val="22"/>
          <w:u w:val="single"/>
        </w:rPr>
      </w:pPr>
      <w:r w:rsidRPr="00023B1C">
        <w:rPr>
          <w:b/>
          <w:spacing w:val="-3"/>
          <w:sz w:val="22"/>
          <w:szCs w:val="22"/>
          <w:u w:val="single"/>
        </w:rPr>
        <w:br w:type="page"/>
      </w:r>
    </w:p>
    <w:p w:rsidR="00E8255E" w:rsidRDefault="00E8255E" w:rsidP="00404D51">
      <w:pPr>
        <w:suppressAutoHyphens/>
        <w:jc w:val="center"/>
        <w:rPr>
          <w:b/>
          <w:spacing w:val="-3"/>
          <w:sz w:val="22"/>
          <w:szCs w:val="22"/>
          <w:u w:val="single"/>
        </w:rPr>
      </w:pPr>
    </w:p>
    <w:p w:rsidR="00793816" w:rsidRPr="0016025F" w:rsidRDefault="000B012B" w:rsidP="00404D51">
      <w:pPr>
        <w:suppressAutoHyphens/>
        <w:jc w:val="center"/>
        <w:rPr>
          <w:b/>
          <w:spacing w:val="-3"/>
          <w:sz w:val="22"/>
          <w:szCs w:val="22"/>
        </w:rPr>
      </w:pPr>
      <w:r>
        <w:rPr>
          <w:b/>
          <w:spacing w:val="-3"/>
          <w:sz w:val="22"/>
          <w:szCs w:val="22"/>
          <w:u w:val="single"/>
        </w:rPr>
        <w:t xml:space="preserve">FUND BALANCE - </w:t>
      </w:r>
      <w:r w:rsidR="00793816" w:rsidRPr="0016025F">
        <w:rPr>
          <w:b/>
          <w:spacing w:val="-3"/>
          <w:sz w:val="22"/>
          <w:szCs w:val="22"/>
          <w:u w:val="single"/>
        </w:rPr>
        <w:t>ASSIGNMENTS/RESTRICTIONS/COMMITMENTS (Continued)</w:t>
      </w:r>
    </w:p>
    <w:p w:rsidR="00891B8A" w:rsidRPr="000945F9" w:rsidRDefault="00891B8A" w:rsidP="00404D51">
      <w:pPr>
        <w:pStyle w:val="ListParagraph"/>
        <w:suppressAutoHyphens/>
        <w:jc w:val="both"/>
        <w:rPr>
          <w:color w:val="FF0000"/>
          <w:spacing w:val="-3"/>
          <w:sz w:val="22"/>
          <w:szCs w:val="22"/>
          <w:highlight w:val="lightGray"/>
        </w:rPr>
      </w:pPr>
    </w:p>
    <w:p w:rsidR="00275311" w:rsidRPr="00C570E8" w:rsidRDefault="00793816" w:rsidP="00404D51">
      <w:pPr>
        <w:suppressAutoHyphens/>
        <w:jc w:val="both"/>
        <w:rPr>
          <w:b/>
          <w:spacing w:val="-3"/>
          <w:sz w:val="22"/>
          <w:szCs w:val="22"/>
          <w:u w:val="single"/>
        </w:rPr>
      </w:pPr>
      <w:r w:rsidRPr="00C570E8">
        <w:rPr>
          <w:b/>
          <w:spacing w:val="-3"/>
          <w:sz w:val="22"/>
          <w:szCs w:val="22"/>
          <w:u w:val="single"/>
        </w:rPr>
        <w:t>Airport</w:t>
      </w:r>
      <w:r w:rsidR="006D101D" w:rsidRPr="00C570E8">
        <w:rPr>
          <w:b/>
          <w:spacing w:val="-3"/>
          <w:sz w:val="22"/>
          <w:szCs w:val="22"/>
          <w:u w:val="single"/>
        </w:rPr>
        <w:t xml:space="preserve"> Fund</w:t>
      </w:r>
    </w:p>
    <w:p w:rsidR="00275311" w:rsidRPr="00C570E8" w:rsidRDefault="00275311" w:rsidP="00404D51">
      <w:pPr>
        <w:suppressAutoHyphens/>
        <w:jc w:val="both"/>
        <w:rPr>
          <w:spacing w:val="-3"/>
          <w:sz w:val="22"/>
          <w:szCs w:val="22"/>
        </w:rPr>
      </w:pPr>
      <w:r w:rsidRPr="00C570E8">
        <w:rPr>
          <w:spacing w:val="-3"/>
          <w:sz w:val="22"/>
          <w:szCs w:val="22"/>
        </w:rPr>
        <w:t xml:space="preserve">Fuel Facilities Maintenance - Increase the </w:t>
      </w:r>
      <w:r w:rsidR="0037546D" w:rsidRPr="00C570E8">
        <w:rPr>
          <w:spacing w:val="-3"/>
          <w:sz w:val="22"/>
          <w:szCs w:val="22"/>
        </w:rPr>
        <w:t>restriction</w:t>
      </w:r>
      <w:r w:rsidRPr="00C570E8">
        <w:rPr>
          <w:spacing w:val="-3"/>
          <w:sz w:val="22"/>
          <w:szCs w:val="22"/>
        </w:rPr>
        <w:t xml:space="preserve"> by </w:t>
      </w:r>
      <w:r w:rsidR="008B2E14" w:rsidRPr="00C570E8">
        <w:rPr>
          <w:spacing w:val="-3"/>
          <w:sz w:val="22"/>
          <w:szCs w:val="22"/>
        </w:rPr>
        <w:t>$</w:t>
      </w:r>
      <w:r w:rsidR="007022B8">
        <w:rPr>
          <w:spacing w:val="-3"/>
          <w:sz w:val="22"/>
          <w:szCs w:val="22"/>
        </w:rPr>
        <w:t>90,371.02</w:t>
      </w:r>
      <w:r w:rsidR="008B2E14" w:rsidRPr="00C570E8">
        <w:rPr>
          <w:spacing w:val="-3"/>
          <w:sz w:val="22"/>
          <w:szCs w:val="22"/>
        </w:rPr>
        <w:t xml:space="preserve"> </w:t>
      </w:r>
      <w:r w:rsidR="00D94E2C" w:rsidRPr="00C570E8">
        <w:rPr>
          <w:spacing w:val="-3"/>
          <w:sz w:val="22"/>
          <w:szCs w:val="22"/>
        </w:rPr>
        <w:t xml:space="preserve">bringing </w:t>
      </w:r>
      <w:r w:rsidR="00DD03D5" w:rsidRPr="00C570E8">
        <w:rPr>
          <w:spacing w:val="-3"/>
          <w:sz w:val="22"/>
          <w:szCs w:val="22"/>
        </w:rPr>
        <w:t xml:space="preserve">the </w:t>
      </w:r>
      <w:r w:rsidR="00D94E2C" w:rsidRPr="00C570E8">
        <w:rPr>
          <w:spacing w:val="-3"/>
          <w:sz w:val="22"/>
          <w:szCs w:val="22"/>
        </w:rPr>
        <w:t xml:space="preserve">total </w:t>
      </w:r>
      <w:r w:rsidR="00DD03D5" w:rsidRPr="00C570E8">
        <w:rPr>
          <w:spacing w:val="-3"/>
          <w:sz w:val="22"/>
          <w:szCs w:val="22"/>
        </w:rPr>
        <w:t>restriction</w:t>
      </w:r>
      <w:r w:rsidR="00D94E2C" w:rsidRPr="00C570E8">
        <w:rPr>
          <w:spacing w:val="-3"/>
          <w:sz w:val="22"/>
          <w:szCs w:val="22"/>
        </w:rPr>
        <w:t xml:space="preserve"> to</w:t>
      </w:r>
      <w:r w:rsidRPr="00C570E8">
        <w:rPr>
          <w:spacing w:val="-3"/>
          <w:sz w:val="22"/>
          <w:szCs w:val="22"/>
        </w:rPr>
        <w:t xml:space="preserve"> </w:t>
      </w:r>
      <w:r w:rsidR="008B2E14" w:rsidRPr="00C570E8">
        <w:rPr>
          <w:spacing w:val="-3"/>
          <w:sz w:val="22"/>
          <w:szCs w:val="22"/>
        </w:rPr>
        <w:t>$</w:t>
      </w:r>
      <w:r w:rsidR="00C570E8" w:rsidRPr="00C570E8">
        <w:rPr>
          <w:spacing w:val="-3"/>
          <w:sz w:val="22"/>
          <w:szCs w:val="22"/>
        </w:rPr>
        <w:t>649,080.43</w:t>
      </w:r>
      <w:r w:rsidRPr="00C570E8">
        <w:rPr>
          <w:spacing w:val="-3"/>
          <w:sz w:val="22"/>
          <w:szCs w:val="22"/>
        </w:rPr>
        <w:t xml:space="preserve">.  As part of an agreement with </w:t>
      </w:r>
      <w:r w:rsidR="0037546D" w:rsidRPr="00C570E8">
        <w:rPr>
          <w:spacing w:val="-3"/>
          <w:sz w:val="22"/>
          <w:szCs w:val="22"/>
        </w:rPr>
        <w:t xml:space="preserve">Napa Jet Center (formerly </w:t>
      </w:r>
      <w:proofErr w:type="spellStart"/>
      <w:r w:rsidRPr="00C570E8">
        <w:rPr>
          <w:spacing w:val="-3"/>
          <w:sz w:val="22"/>
          <w:szCs w:val="22"/>
        </w:rPr>
        <w:t>Bridgeford</w:t>
      </w:r>
      <w:proofErr w:type="spellEnd"/>
      <w:r w:rsidRPr="00C570E8">
        <w:rPr>
          <w:spacing w:val="-3"/>
          <w:sz w:val="22"/>
          <w:szCs w:val="22"/>
        </w:rPr>
        <w:t xml:space="preserve"> Flying Services, </w:t>
      </w:r>
      <w:r w:rsidR="00110952" w:rsidRPr="00C570E8">
        <w:rPr>
          <w:spacing w:val="-3"/>
          <w:sz w:val="22"/>
          <w:szCs w:val="22"/>
        </w:rPr>
        <w:t>Inc.</w:t>
      </w:r>
      <w:r w:rsidR="0037546D" w:rsidRPr="00C570E8">
        <w:rPr>
          <w:spacing w:val="-3"/>
          <w:sz w:val="22"/>
          <w:szCs w:val="22"/>
        </w:rPr>
        <w:t>)</w:t>
      </w:r>
      <w:r w:rsidRPr="00C570E8">
        <w:rPr>
          <w:spacing w:val="-3"/>
          <w:sz w:val="22"/>
          <w:szCs w:val="22"/>
        </w:rPr>
        <w:t xml:space="preserve">, a portion of revenues received are to be </w:t>
      </w:r>
      <w:r w:rsidR="0037546D" w:rsidRPr="00C570E8">
        <w:rPr>
          <w:spacing w:val="-3"/>
          <w:sz w:val="22"/>
          <w:szCs w:val="22"/>
        </w:rPr>
        <w:t xml:space="preserve">restricted </w:t>
      </w:r>
      <w:r w:rsidRPr="00C570E8">
        <w:rPr>
          <w:spacing w:val="-3"/>
          <w:sz w:val="22"/>
          <w:szCs w:val="22"/>
        </w:rPr>
        <w:t xml:space="preserve">to finance future maintenance expenses that exceed a $10,000 threshold.  This increase will set the </w:t>
      </w:r>
      <w:r w:rsidR="0037546D" w:rsidRPr="00C570E8">
        <w:rPr>
          <w:spacing w:val="-3"/>
          <w:sz w:val="22"/>
          <w:szCs w:val="22"/>
        </w:rPr>
        <w:t>restriction</w:t>
      </w:r>
      <w:r w:rsidRPr="00C570E8">
        <w:rPr>
          <w:spacing w:val="-3"/>
          <w:sz w:val="22"/>
          <w:szCs w:val="22"/>
        </w:rPr>
        <w:t xml:space="preserve"> at the agreed upon level.</w:t>
      </w:r>
    </w:p>
    <w:p w:rsidR="00793816" w:rsidRPr="000945F9" w:rsidRDefault="00793816" w:rsidP="00404D51">
      <w:pPr>
        <w:suppressAutoHyphens/>
        <w:jc w:val="both"/>
        <w:rPr>
          <w:b/>
          <w:spacing w:val="-3"/>
          <w:sz w:val="22"/>
          <w:szCs w:val="22"/>
          <w:highlight w:val="lightGray"/>
          <w:u w:val="single"/>
        </w:rPr>
      </w:pPr>
    </w:p>
    <w:p w:rsidR="000B012B" w:rsidRDefault="000B012B" w:rsidP="00404D51">
      <w:pPr>
        <w:suppressAutoHyphens/>
        <w:jc w:val="center"/>
        <w:rPr>
          <w:b/>
          <w:spacing w:val="-3"/>
          <w:sz w:val="22"/>
          <w:szCs w:val="22"/>
          <w:u w:val="single"/>
        </w:rPr>
      </w:pPr>
    </w:p>
    <w:p w:rsidR="00275311" w:rsidRPr="008F720C" w:rsidRDefault="00275311" w:rsidP="00404D51">
      <w:pPr>
        <w:suppressAutoHyphens/>
        <w:jc w:val="center"/>
        <w:rPr>
          <w:b/>
          <w:spacing w:val="-3"/>
          <w:sz w:val="22"/>
          <w:szCs w:val="22"/>
        </w:rPr>
      </w:pPr>
      <w:proofErr w:type="gramStart"/>
      <w:r w:rsidRPr="008F720C">
        <w:rPr>
          <w:b/>
          <w:spacing w:val="-3"/>
          <w:sz w:val="22"/>
          <w:szCs w:val="22"/>
          <w:u w:val="single"/>
        </w:rPr>
        <w:t>BUDGETARY ADJUS</w:t>
      </w:r>
      <w:r w:rsidR="00176336" w:rsidRPr="008F720C">
        <w:rPr>
          <w:b/>
          <w:spacing w:val="-3"/>
          <w:sz w:val="22"/>
          <w:szCs w:val="22"/>
          <w:u w:val="single"/>
        </w:rPr>
        <w:t>TMENTS (</w:t>
      </w:r>
      <w:r w:rsidR="008F720C" w:rsidRPr="008F720C">
        <w:rPr>
          <w:b/>
          <w:spacing w:val="-3"/>
          <w:sz w:val="22"/>
          <w:szCs w:val="22"/>
          <w:u w:val="single"/>
        </w:rPr>
        <w:t>FY16-17</w:t>
      </w:r>
      <w:r w:rsidR="00EE6D89" w:rsidRPr="008F720C">
        <w:rPr>
          <w:b/>
          <w:spacing w:val="-3"/>
          <w:sz w:val="22"/>
          <w:szCs w:val="22"/>
          <w:u w:val="single"/>
        </w:rPr>
        <w:t xml:space="preserve"> </w:t>
      </w:r>
      <w:r w:rsidR="008F720C" w:rsidRPr="008F720C">
        <w:rPr>
          <w:b/>
          <w:spacing w:val="-3"/>
          <w:sz w:val="22"/>
          <w:szCs w:val="22"/>
          <w:u w:val="single"/>
        </w:rPr>
        <w:t>Budget Transfer No.</w:t>
      </w:r>
      <w:proofErr w:type="gramEnd"/>
      <w:r w:rsidR="008F720C" w:rsidRPr="008F720C">
        <w:rPr>
          <w:b/>
          <w:spacing w:val="-3"/>
          <w:sz w:val="22"/>
          <w:szCs w:val="22"/>
          <w:u w:val="single"/>
        </w:rPr>
        <w:t xml:space="preserve"> ACO007</w:t>
      </w:r>
      <w:r w:rsidRPr="008F720C">
        <w:rPr>
          <w:b/>
          <w:spacing w:val="-3"/>
          <w:sz w:val="22"/>
          <w:szCs w:val="22"/>
          <w:u w:val="single"/>
        </w:rPr>
        <w:t>)</w:t>
      </w:r>
    </w:p>
    <w:p w:rsidR="00275311" w:rsidRPr="000945F9" w:rsidRDefault="00275311" w:rsidP="00404D51">
      <w:pPr>
        <w:suppressAutoHyphens/>
        <w:jc w:val="both"/>
        <w:rPr>
          <w:b/>
          <w:spacing w:val="-3"/>
          <w:sz w:val="22"/>
          <w:szCs w:val="22"/>
          <w:highlight w:val="lightGray"/>
        </w:rPr>
      </w:pPr>
    </w:p>
    <w:p w:rsidR="00275311" w:rsidRPr="008F720C" w:rsidRDefault="00275311" w:rsidP="00404D51">
      <w:pPr>
        <w:suppressAutoHyphens/>
        <w:jc w:val="both"/>
        <w:rPr>
          <w:spacing w:val="-3"/>
          <w:sz w:val="22"/>
          <w:szCs w:val="22"/>
          <w:u w:val="single"/>
        </w:rPr>
      </w:pPr>
      <w:r w:rsidRPr="008F720C">
        <w:rPr>
          <w:spacing w:val="-3"/>
          <w:sz w:val="22"/>
          <w:szCs w:val="22"/>
        </w:rPr>
        <w:t xml:space="preserve">Record the following entries to process </w:t>
      </w:r>
      <w:r w:rsidR="006D101D" w:rsidRPr="008F720C">
        <w:rPr>
          <w:spacing w:val="-3"/>
          <w:sz w:val="22"/>
          <w:szCs w:val="22"/>
        </w:rPr>
        <w:t xml:space="preserve">budgetary </w:t>
      </w:r>
      <w:r w:rsidR="00773744" w:rsidRPr="008F720C">
        <w:rPr>
          <w:spacing w:val="-3"/>
          <w:sz w:val="22"/>
          <w:szCs w:val="22"/>
        </w:rPr>
        <w:t>transactions as of June 30, 2017</w:t>
      </w:r>
      <w:r w:rsidRPr="008F720C">
        <w:rPr>
          <w:spacing w:val="-3"/>
          <w:sz w:val="22"/>
          <w:szCs w:val="22"/>
        </w:rPr>
        <w:t xml:space="preserve">: </w:t>
      </w:r>
    </w:p>
    <w:p w:rsidR="00275311" w:rsidRPr="008F720C" w:rsidRDefault="00275311" w:rsidP="00404D51">
      <w:pPr>
        <w:suppressAutoHyphens/>
        <w:jc w:val="both"/>
        <w:rPr>
          <w:spacing w:val="-3"/>
          <w:sz w:val="22"/>
          <w:szCs w:val="22"/>
        </w:rPr>
      </w:pPr>
    </w:p>
    <w:p w:rsidR="00244C54" w:rsidRPr="0039614A" w:rsidRDefault="00244C54" w:rsidP="00773744">
      <w:pPr>
        <w:pStyle w:val="Default"/>
        <w:numPr>
          <w:ilvl w:val="0"/>
          <w:numId w:val="9"/>
        </w:numPr>
        <w:jc w:val="both"/>
        <w:rPr>
          <w:color w:val="auto"/>
          <w:sz w:val="22"/>
          <w:szCs w:val="22"/>
        </w:rPr>
      </w:pPr>
      <w:r w:rsidRPr="0039614A">
        <w:rPr>
          <w:color w:val="auto"/>
          <w:sz w:val="22"/>
          <w:szCs w:val="22"/>
        </w:rPr>
        <w:t>Fund 1000 (General Fund) – Increase appropriatio</w:t>
      </w:r>
      <w:r w:rsidR="00C579CB" w:rsidRPr="0039614A">
        <w:rPr>
          <w:color w:val="auto"/>
          <w:sz w:val="22"/>
          <w:szCs w:val="22"/>
        </w:rPr>
        <w:t xml:space="preserve">ns in </w:t>
      </w:r>
      <w:r w:rsidR="00CF0145" w:rsidRPr="0039614A">
        <w:rPr>
          <w:color w:val="auto"/>
          <w:sz w:val="22"/>
          <w:szCs w:val="22"/>
        </w:rPr>
        <w:t>various General Fund d</w:t>
      </w:r>
      <w:r w:rsidR="00773744" w:rsidRPr="0039614A">
        <w:rPr>
          <w:color w:val="auto"/>
          <w:sz w:val="22"/>
          <w:szCs w:val="22"/>
        </w:rPr>
        <w:t>ivisions</w:t>
      </w:r>
      <w:r w:rsidR="00C579CB" w:rsidRPr="0039614A">
        <w:rPr>
          <w:color w:val="auto"/>
          <w:sz w:val="22"/>
          <w:szCs w:val="22"/>
        </w:rPr>
        <w:t xml:space="preserve"> </w:t>
      </w:r>
      <w:r w:rsidRPr="0039614A">
        <w:rPr>
          <w:color w:val="auto"/>
          <w:sz w:val="22"/>
          <w:szCs w:val="22"/>
        </w:rPr>
        <w:t>offset</w:t>
      </w:r>
      <w:r w:rsidR="00C579CB" w:rsidRPr="0039614A">
        <w:rPr>
          <w:color w:val="auto"/>
          <w:sz w:val="22"/>
          <w:szCs w:val="22"/>
        </w:rPr>
        <w:t xml:space="preserve"> </w:t>
      </w:r>
      <w:r w:rsidRPr="0039614A">
        <w:rPr>
          <w:color w:val="auto"/>
          <w:sz w:val="22"/>
          <w:szCs w:val="22"/>
        </w:rPr>
        <w:t xml:space="preserve">by </w:t>
      </w:r>
      <w:r w:rsidR="00B65C1F" w:rsidRPr="0039614A">
        <w:rPr>
          <w:color w:val="auto"/>
          <w:sz w:val="22"/>
          <w:szCs w:val="22"/>
        </w:rPr>
        <w:t xml:space="preserve">a reduction of </w:t>
      </w:r>
      <w:r w:rsidRPr="0039614A">
        <w:rPr>
          <w:color w:val="auto"/>
          <w:sz w:val="22"/>
          <w:szCs w:val="22"/>
        </w:rPr>
        <w:t>General Fund contingency</w:t>
      </w:r>
      <w:r w:rsidR="00C579CB" w:rsidRPr="0039614A">
        <w:rPr>
          <w:color w:val="auto"/>
          <w:sz w:val="22"/>
          <w:szCs w:val="22"/>
        </w:rPr>
        <w:t xml:space="preserve"> </w:t>
      </w:r>
      <w:r w:rsidR="002D5783" w:rsidRPr="0039614A">
        <w:rPr>
          <w:color w:val="auto"/>
          <w:sz w:val="22"/>
          <w:szCs w:val="22"/>
        </w:rPr>
        <w:t>due to retiree</w:t>
      </w:r>
      <w:r w:rsidR="00C579CB" w:rsidRPr="0039614A">
        <w:rPr>
          <w:color w:val="auto"/>
          <w:sz w:val="22"/>
          <w:szCs w:val="22"/>
        </w:rPr>
        <w:t xml:space="preserve"> </w:t>
      </w:r>
      <w:r w:rsidR="00773744" w:rsidRPr="0039614A">
        <w:rPr>
          <w:color w:val="auto"/>
          <w:sz w:val="22"/>
          <w:szCs w:val="22"/>
        </w:rPr>
        <w:t xml:space="preserve">payouts and </w:t>
      </w:r>
      <w:r w:rsidR="002D5783" w:rsidRPr="0039614A">
        <w:rPr>
          <w:color w:val="auto"/>
          <w:sz w:val="22"/>
          <w:szCs w:val="22"/>
        </w:rPr>
        <w:t>salary adjustments implemented during the year.</w:t>
      </w:r>
      <w:r w:rsidR="00063440">
        <w:rPr>
          <w:color w:val="auto"/>
          <w:sz w:val="22"/>
          <w:szCs w:val="22"/>
        </w:rPr>
        <w:t xml:space="preserve">  This adjustment was required prior to the PERS</w:t>
      </w:r>
      <w:bookmarkStart w:id="0" w:name="_GoBack"/>
      <w:bookmarkEnd w:id="0"/>
      <w:r w:rsidR="00063440">
        <w:rPr>
          <w:color w:val="auto"/>
          <w:sz w:val="22"/>
          <w:szCs w:val="22"/>
        </w:rPr>
        <w:t xml:space="preserve"> refund calculated on Attachment C in order for payroll checks to be processed and distributed.  </w:t>
      </w:r>
    </w:p>
    <w:p w:rsidR="00244C54" w:rsidRPr="0039614A" w:rsidRDefault="00244C54" w:rsidP="00404D51">
      <w:pPr>
        <w:pStyle w:val="Default"/>
        <w:ind w:left="720"/>
        <w:jc w:val="both"/>
        <w:rPr>
          <w:color w:val="auto"/>
          <w:sz w:val="22"/>
          <w:szCs w:val="22"/>
        </w:rPr>
      </w:pPr>
    </w:p>
    <w:p w:rsidR="00244C54" w:rsidRPr="0039614A" w:rsidRDefault="00244C54" w:rsidP="00404D51">
      <w:pPr>
        <w:ind w:left="1080"/>
        <w:jc w:val="both"/>
        <w:rPr>
          <w:sz w:val="22"/>
          <w:szCs w:val="22"/>
        </w:rPr>
      </w:pPr>
      <w:r w:rsidRPr="0039614A">
        <w:rPr>
          <w:sz w:val="22"/>
          <w:szCs w:val="22"/>
        </w:rPr>
        <w:t>Gener</w:t>
      </w:r>
      <w:r w:rsidR="00B65C1F" w:rsidRPr="0039614A">
        <w:rPr>
          <w:sz w:val="22"/>
          <w:szCs w:val="22"/>
        </w:rPr>
        <w:t xml:space="preserve">al Fund, </w:t>
      </w:r>
      <w:r w:rsidR="00773744" w:rsidRPr="0039614A">
        <w:rPr>
          <w:sz w:val="22"/>
          <w:szCs w:val="22"/>
        </w:rPr>
        <w:t>County Counsel</w:t>
      </w:r>
      <w:r w:rsidR="00B65C1F" w:rsidRPr="0039614A">
        <w:rPr>
          <w:sz w:val="22"/>
          <w:szCs w:val="22"/>
        </w:rPr>
        <w:t xml:space="preserve"> (1000-12</w:t>
      </w:r>
      <w:r w:rsidR="00773744" w:rsidRPr="0039614A">
        <w:rPr>
          <w:sz w:val="22"/>
          <w:szCs w:val="22"/>
        </w:rPr>
        <w:t>0</w:t>
      </w:r>
      <w:r w:rsidR="00B65C1F" w:rsidRPr="0039614A">
        <w:rPr>
          <w:sz w:val="22"/>
          <w:szCs w:val="22"/>
        </w:rPr>
        <w:t>00</w:t>
      </w:r>
      <w:r w:rsidRPr="0039614A">
        <w:rPr>
          <w:sz w:val="22"/>
          <w:szCs w:val="22"/>
        </w:rPr>
        <w:t xml:space="preserve">00) – Increase </w:t>
      </w:r>
      <w:r w:rsidR="00773744" w:rsidRPr="0039614A">
        <w:rPr>
          <w:sz w:val="22"/>
          <w:szCs w:val="22"/>
        </w:rPr>
        <w:t>Salaries and Benefits</w:t>
      </w:r>
      <w:r w:rsidR="00C579CB" w:rsidRPr="0039614A">
        <w:rPr>
          <w:sz w:val="22"/>
          <w:szCs w:val="22"/>
        </w:rPr>
        <w:t xml:space="preserve"> by $</w:t>
      </w:r>
      <w:r w:rsidR="00B65C1F" w:rsidRPr="0039614A">
        <w:rPr>
          <w:sz w:val="22"/>
          <w:szCs w:val="22"/>
        </w:rPr>
        <w:t>1</w:t>
      </w:r>
      <w:r w:rsidR="00773744" w:rsidRPr="0039614A">
        <w:rPr>
          <w:sz w:val="22"/>
          <w:szCs w:val="22"/>
        </w:rPr>
        <w:t>5,0</w:t>
      </w:r>
      <w:r w:rsidR="00B65C1F" w:rsidRPr="0039614A">
        <w:rPr>
          <w:sz w:val="22"/>
          <w:szCs w:val="22"/>
        </w:rPr>
        <w:t>00</w:t>
      </w:r>
    </w:p>
    <w:p w:rsidR="00B65C1F" w:rsidRPr="0039614A" w:rsidRDefault="00B65C1F" w:rsidP="00404D51">
      <w:pPr>
        <w:ind w:left="1080"/>
        <w:jc w:val="both"/>
        <w:rPr>
          <w:sz w:val="22"/>
          <w:szCs w:val="22"/>
        </w:rPr>
      </w:pPr>
      <w:r w:rsidRPr="0039614A">
        <w:rPr>
          <w:sz w:val="22"/>
          <w:szCs w:val="22"/>
        </w:rPr>
        <w:t xml:space="preserve">General Fund, </w:t>
      </w:r>
      <w:r w:rsidR="00773744" w:rsidRPr="0039614A">
        <w:rPr>
          <w:sz w:val="22"/>
          <w:szCs w:val="22"/>
        </w:rPr>
        <w:t>Board of Supervisors</w:t>
      </w:r>
      <w:r w:rsidRPr="0039614A">
        <w:rPr>
          <w:sz w:val="22"/>
          <w:szCs w:val="22"/>
        </w:rPr>
        <w:t xml:space="preserve"> (1000-1</w:t>
      </w:r>
      <w:r w:rsidR="00773744" w:rsidRPr="0039614A">
        <w:rPr>
          <w:sz w:val="22"/>
          <w:szCs w:val="22"/>
        </w:rPr>
        <w:t>010000</w:t>
      </w:r>
      <w:r w:rsidRPr="0039614A">
        <w:rPr>
          <w:sz w:val="22"/>
          <w:szCs w:val="22"/>
        </w:rPr>
        <w:t xml:space="preserve">) – </w:t>
      </w:r>
      <w:r w:rsidR="00773744" w:rsidRPr="0039614A">
        <w:rPr>
          <w:sz w:val="22"/>
          <w:szCs w:val="22"/>
        </w:rPr>
        <w:t>Increase Salaries and Benefits by $1</w:t>
      </w:r>
      <w:r w:rsidRPr="0039614A">
        <w:rPr>
          <w:sz w:val="22"/>
          <w:szCs w:val="22"/>
        </w:rPr>
        <w:t>9</w:t>
      </w:r>
      <w:r w:rsidR="00773744" w:rsidRPr="0039614A">
        <w:rPr>
          <w:sz w:val="22"/>
          <w:szCs w:val="22"/>
        </w:rPr>
        <w:t>,5</w:t>
      </w:r>
      <w:r w:rsidRPr="0039614A">
        <w:rPr>
          <w:sz w:val="22"/>
          <w:szCs w:val="22"/>
        </w:rPr>
        <w:t>00</w:t>
      </w:r>
    </w:p>
    <w:p w:rsidR="008F720C" w:rsidRPr="0039614A" w:rsidRDefault="008F720C" w:rsidP="008F720C">
      <w:pPr>
        <w:ind w:left="1080"/>
        <w:jc w:val="both"/>
        <w:rPr>
          <w:sz w:val="22"/>
          <w:szCs w:val="22"/>
        </w:rPr>
      </w:pPr>
      <w:r w:rsidRPr="0039614A">
        <w:rPr>
          <w:sz w:val="22"/>
          <w:szCs w:val="22"/>
        </w:rPr>
        <w:t>General Fund, Public Defender (1000-1320000) – Increase Salaries and Benefits by $40,500</w:t>
      </w:r>
    </w:p>
    <w:p w:rsidR="008F720C" w:rsidRPr="0039614A" w:rsidRDefault="008F720C" w:rsidP="008F720C">
      <w:pPr>
        <w:ind w:left="1080"/>
        <w:jc w:val="both"/>
        <w:rPr>
          <w:sz w:val="22"/>
          <w:szCs w:val="22"/>
        </w:rPr>
      </w:pPr>
      <w:r w:rsidRPr="0039614A">
        <w:rPr>
          <w:sz w:val="22"/>
          <w:szCs w:val="22"/>
        </w:rPr>
        <w:t>General Fund, County Executive Office (1000-1020000) – Increase Salaries and Benefits by $246,500</w:t>
      </w:r>
    </w:p>
    <w:p w:rsidR="00244C54" w:rsidRPr="0039614A" w:rsidRDefault="00244C54" w:rsidP="00404D51">
      <w:pPr>
        <w:ind w:left="1080"/>
        <w:jc w:val="both"/>
        <w:rPr>
          <w:sz w:val="22"/>
          <w:szCs w:val="22"/>
        </w:rPr>
      </w:pPr>
      <w:r w:rsidRPr="0039614A">
        <w:rPr>
          <w:sz w:val="22"/>
          <w:szCs w:val="22"/>
        </w:rPr>
        <w:t>Genera</w:t>
      </w:r>
      <w:r w:rsidR="00B65C1F" w:rsidRPr="0039614A">
        <w:rPr>
          <w:sz w:val="22"/>
          <w:szCs w:val="22"/>
        </w:rPr>
        <w:t>l Fund, Contingency (1000-10590</w:t>
      </w:r>
      <w:r w:rsidRPr="0039614A">
        <w:rPr>
          <w:sz w:val="22"/>
          <w:szCs w:val="22"/>
        </w:rPr>
        <w:t>00) – Decrease Appropriation for</w:t>
      </w:r>
      <w:r w:rsidR="00C579CB" w:rsidRPr="0039614A">
        <w:rPr>
          <w:sz w:val="22"/>
          <w:szCs w:val="22"/>
        </w:rPr>
        <w:t xml:space="preserve"> Contingency </w:t>
      </w:r>
      <w:r w:rsidR="00063440">
        <w:rPr>
          <w:sz w:val="22"/>
          <w:szCs w:val="22"/>
        </w:rPr>
        <w:t>by</w:t>
      </w:r>
      <w:r w:rsidR="00C579CB" w:rsidRPr="0039614A">
        <w:rPr>
          <w:sz w:val="22"/>
          <w:szCs w:val="22"/>
        </w:rPr>
        <w:t xml:space="preserve"> $3</w:t>
      </w:r>
      <w:r w:rsidR="008F720C" w:rsidRPr="0039614A">
        <w:rPr>
          <w:sz w:val="22"/>
          <w:szCs w:val="22"/>
        </w:rPr>
        <w:t>21,5</w:t>
      </w:r>
      <w:r w:rsidR="00C579CB" w:rsidRPr="0039614A">
        <w:rPr>
          <w:sz w:val="22"/>
          <w:szCs w:val="22"/>
        </w:rPr>
        <w:t>00</w:t>
      </w:r>
      <w:r w:rsidR="00063440">
        <w:rPr>
          <w:sz w:val="22"/>
          <w:szCs w:val="22"/>
        </w:rPr>
        <w:t xml:space="preserve"> </w:t>
      </w:r>
    </w:p>
    <w:p w:rsidR="00705F33" w:rsidRPr="0039614A" w:rsidRDefault="00705F33" w:rsidP="00404D51">
      <w:pPr>
        <w:ind w:left="1080"/>
        <w:jc w:val="both"/>
        <w:rPr>
          <w:sz w:val="22"/>
          <w:szCs w:val="22"/>
        </w:rPr>
      </w:pPr>
    </w:p>
    <w:p w:rsidR="00705F33" w:rsidRPr="0039614A" w:rsidRDefault="00705F33" w:rsidP="00705F33">
      <w:pPr>
        <w:pStyle w:val="ListParagraph"/>
        <w:numPr>
          <w:ilvl w:val="0"/>
          <w:numId w:val="9"/>
        </w:numPr>
        <w:suppressAutoHyphens/>
        <w:jc w:val="both"/>
        <w:rPr>
          <w:sz w:val="22"/>
          <w:szCs w:val="22"/>
        </w:rPr>
      </w:pPr>
      <w:r w:rsidRPr="0039614A">
        <w:rPr>
          <w:sz w:val="22"/>
          <w:szCs w:val="22"/>
        </w:rPr>
        <w:t>Fund 1000 (General Fund) – Increase appropriation</w:t>
      </w:r>
      <w:r w:rsidR="00E8255E" w:rsidRPr="0039614A">
        <w:rPr>
          <w:sz w:val="22"/>
          <w:szCs w:val="22"/>
        </w:rPr>
        <w:t>s</w:t>
      </w:r>
      <w:r w:rsidRPr="0039614A">
        <w:rPr>
          <w:sz w:val="22"/>
          <w:szCs w:val="22"/>
        </w:rPr>
        <w:t xml:space="preserve"> in the General Fund by $</w:t>
      </w:r>
      <w:r w:rsidR="00876F06" w:rsidRPr="0039614A">
        <w:rPr>
          <w:sz w:val="22"/>
          <w:szCs w:val="22"/>
        </w:rPr>
        <w:t>5,566,528</w:t>
      </w:r>
      <w:r w:rsidR="00E8255E" w:rsidRPr="0039614A">
        <w:rPr>
          <w:sz w:val="22"/>
          <w:szCs w:val="22"/>
        </w:rPr>
        <w:t xml:space="preserve"> due to the realization of additional</w:t>
      </w:r>
      <w:r w:rsidRPr="0039614A">
        <w:rPr>
          <w:sz w:val="22"/>
          <w:szCs w:val="22"/>
        </w:rPr>
        <w:t xml:space="preserve"> revenues from excess E</w:t>
      </w:r>
      <w:r w:rsidR="00682B81" w:rsidRPr="0039614A">
        <w:rPr>
          <w:sz w:val="22"/>
          <w:szCs w:val="22"/>
        </w:rPr>
        <w:t>ducation Revenue Augmentation Fund (E</w:t>
      </w:r>
      <w:r w:rsidRPr="0039614A">
        <w:rPr>
          <w:sz w:val="22"/>
          <w:szCs w:val="22"/>
        </w:rPr>
        <w:t>RAF</w:t>
      </w:r>
      <w:r w:rsidR="00682B81" w:rsidRPr="0039614A">
        <w:rPr>
          <w:sz w:val="22"/>
          <w:szCs w:val="22"/>
        </w:rPr>
        <w:t>)</w:t>
      </w:r>
      <w:r w:rsidRPr="0039614A">
        <w:rPr>
          <w:sz w:val="22"/>
          <w:szCs w:val="22"/>
        </w:rPr>
        <w:t xml:space="preserve">.  In accordance with the Board’s budget policies, all excess ERAF is to be transferred to the Capital Improvement Fund to </w:t>
      </w:r>
      <w:r w:rsidR="007F00A0" w:rsidRPr="0039614A">
        <w:rPr>
          <w:sz w:val="22"/>
          <w:szCs w:val="22"/>
        </w:rPr>
        <w:t>f</w:t>
      </w:r>
      <w:r w:rsidRPr="0039614A">
        <w:rPr>
          <w:sz w:val="22"/>
          <w:szCs w:val="22"/>
        </w:rPr>
        <w:t>und current and future capital n</w:t>
      </w:r>
      <w:r w:rsidR="008A297B" w:rsidRPr="0039614A">
        <w:rPr>
          <w:sz w:val="22"/>
          <w:szCs w:val="22"/>
        </w:rPr>
        <w:t xml:space="preserve">eeds.  As noted in the </w:t>
      </w:r>
      <w:r w:rsidR="000B012B">
        <w:rPr>
          <w:sz w:val="22"/>
          <w:szCs w:val="22"/>
        </w:rPr>
        <w:t xml:space="preserve">fund balance </w:t>
      </w:r>
      <w:r w:rsidR="008A297B" w:rsidRPr="0039614A">
        <w:rPr>
          <w:sz w:val="22"/>
          <w:szCs w:val="22"/>
        </w:rPr>
        <w:t>section above, the amount will be assigned to fund the construction of a future jail facility.</w:t>
      </w:r>
    </w:p>
    <w:p w:rsidR="00705F33" w:rsidRPr="0039614A" w:rsidRDefault="00705F33" w:rsidP="00705F33">
      <w:pPr>
        <w:pStyle w:val="ListParagraph"/>
        <w:suppressAutoHyphens/>
        <w:jc w:val="both"/>
        <w:rPr>
          <w:sz w:val="22"/>
          <w:szCs w:val="22"/>
        </w:rPr>
      </w:pPr>
    </w:p>
    <w:p w:rsidR="00E8255E" w:rsidRPr="0039614A" w:rsidRDefault="00705F33" w:rsidP="00E8255E">
      <w:pPr>
        <w:pStyle w:val="ListParagraph"/>
        <w:suppressAutoHyphens/>
        <w:ind w:left="1080"/>
        <w:jc w:val="both"/>
        <w:rPr>
          <w:sz w:val="22"/>
          <w:szCs w:val="22"/>
        </w:rPr>
      </w:pPr>
      <w:r w:rsidRPr="0039614A">
        <w:rPr>
          <w:sz w:val="22"/>
          <w:szCs w:val="22"/>
        </w:rPr>
        <w:t>General Fund (1000-1051000) – Increase Transfers</w:t>
      </w:r>
      <w:r w:rsidR="007F00A0" w:rsidRPr="0039614A">
        <w:rPr>
          <w:sz w:val="22"/>
          <w:szCs w:val="22"/>
        </w:rPr>
        <w:t>-</w:t>
      </w:r>
      <w:r w:rsidRPr="0039614A">
        <w:rPr>
          <w:sz w:val="22"/>
          <w:szCs w:val="22"/>
        </w:rPr>
        <w:t>Out</w:t>
      </w:r>
      <w:r w:rsidR="007F00A0" w:rsidRPr="0039614A">
        <w:rPr>
          <w:sz w:val="22"/>
          <w:szCs w:val="22"/>
        </w:rPr>
        <w:t xml:space="preserve"> </w:t>
      </w:r>
      <w:r w:rsidRPr="0039614A">
        <w:rPr>
          <w:sz w:val="22"/>
          <w:szCs w:val="22"/>
        </w:rPr>
        <w:t>Accumulated Capital Outlay by $</w:t>
      </w:r>
      <w:r w:rsidR="00E8255E" w:rsidRPr="0039614A">
        <w:rPr>
          <w:sz w:val="22"/>
          <w:szCs w:val="22"/>
        </w:rPr>
        <w:t>5,566,528</w:t>
      </w:r>
    </w:p>
    <w:p w:rsidR="00E8255E" w:rsidRPr="0039614A" w:rsidRDefault="00705F33" w:rsidP="00E8255E">
      <w:pPr>
        <w:pStyle w:val="ListParagraph"/>
        <w:suppressAutoHyphens/>
        <w:ind w:left="1080"/>
        <w:jc w:val="both"/>
        <w:rPr>
          <w:sz w:val="22"/>
          <w:szCs w:val="22"/>
        </w:rPr>
      </w:pPr>
      <w:r w:rsidRPr="0039614A">
        <w:rPr>
          <w:sz w:val="22"/>
          <w:szCs w:val="22"/>
        </w:rPr>
        <w:t>Capital Improvement Fund (30</w:t>
      </w:r>
      <w:r w:rsidR="00E8255E" w:rsidRPr="0039614A">
        <w:rPr>
          <w:sz w:val="22"/>
          <w:szCs w:val="22"/>
        </w:rPr>
        <w:t>00-3000000) – Increase Transfer-i</w:t>
      </w:r>
      <w:r w:rsidRPr="0039614A">
        <w:rPr>
          <w:sz w:val="22"/>
          <w:szCs w:val="22"/>
        </w:rPr>
        <w:t>n</w:t>
      </w:r>
      <w:r w:rsidR="00E8255E" w:rsidRPr="0039614A">
        <w:rPr>
          <w:sz w:val="22"/>
          <w:szCs w:val="22"/>
        </w:rPr>
        <w:t xml:space="preserve"> </w:t>
      </w:r>
      <w:r w:rsidRPr="0039614A">
        <w:rPr>
          <w:sz w:val="22"/>
          <w:szCs w:val="22"/>
        </w:rPr>
        <w:t>General Fund by $</w:t>
      </w:r>
      <w:r w:rsidR="00E8255E" w:rsidRPr="0039614A">
        <w:rPr>
          <w:sz w:val="22"/>
          <w:szCs w:val="22"/>
        </w:rPr>
        <w:t>5,566,528</w:t>
      </w:r>
    </w:p>
    <w:p w:rsidR="009F71D2" w:rsidRPr="0039614A" w:rsidRDefault="009F71D2" w:rsidP="00404D51">
      <w:pPr>
        <w:ind w:left="1080"/>
        <w:jc w:val="both"/>
        <w:rPr>
          <w:sz w:val="22"/>
          <w:szCs w:val="22"/>
        </w:rPr>
      </w:pPr>
    </w:p>
    <w:p w:rsidR="00CF2F57" w:rsidRPr="0039614A" w:rsidRDefault="009F71D2" w:rsidP="00CF2F57">
      <w:pPr>
        <w:pStyle w:val="Default"/>
        <w:numPr>
          <w:ilvl w:val="0"/>
          <w:numId w:val="9"/>
        </w:numPr>
        <w:suppressAutoHyphens/>
        <w:ind w:left="720"/>
        <w:jc w:val="both"/>
        <w:rPr>
          <w:sz w:val="22"/>
          <w:szCs w:val="22"/>
        </w:rPr>
      </w:pPr>
      <w:r w:rsidRPr="0039614A">
        <w:rPr>
          <w:sz w:val="22"/>
          <w:szCs w:val="22"/>
        </w:rPr>
        <w:t xml:space="preserve">Fund 2080 (Affordable Housing) – Increase appropriations </w:t>
      </w:r>
      <w:r w:rsidR="00E8255E" w:rsidRPr="0039614A">
        <w:rPr>
          <w:sz w:val="22"/>
          <w:szCs w:val="22"/>
        </w:rPr>
        <w:t xml:space="preserve">in Affordable Housing </w:t>
      </w:r>
      <w:r w:rsidR="00CC22BF" w:rsidRPr="0039614A">
        <w:rPr>
          <w:sz w:val="22"/>
          <w:szCs w:val="22"/>
        </w:rPr>
        <w:t>by $80,000</w:t>
      </w:r>
      <w:r w:rsidR="00E41725" w:rsidRPr="0039614A">
        <w:rPr>
          <w:sz w:val="22"/>
          <w:szCs w:val="22"/>
        </w:rPr>
        <w:t xml:space="preserve"> offset by use of fund balance</w:t>
      </w:r>
      <w:r w:rsidR="00CC22BF" w:rsidRPr="0039614A">
        <w:rPr>
          <w:sz w:val="22"/>
          <w:szCs w:val="22"/>
        </w:rPr>
        <w:t>. O</w:t>
      </w:r>
      <w:r w:rsidR="00952940" w:rsidRPr="0039614A">
        <w:rPr>
          <w:sz w:val="22"/>
          <w:szCs w:val="22"/>
        </w:rPr>
        <w:t>ver the course of the year the C</w:t>
      </w:r>
      <w:r w:rsidRPr="0039614A">
        <w:rPr>
          <w:sz w:val="22"/>
          <w:szCs w:val="22"/>
        </w:rPr>
        <w:t xml:space="preserve">ounty received </w:t>
      </w:r>
      <w:r w:rsidR="00952940" w:rsidRPr="0039614A">
        <w:rPr>
          <w:sz w:val="22"/>
          <w:szCs w:val="22"/>
        </w:rPr>
        <w:t>p</w:t>
      </w:r>
      <w:r w:rsidRPr="0039614A">
        <w:rPr>
          <w:sz w:val="22"/>
          <w:szCs w:val="22"/>
        </w:rPr>
        <w:t>roject proposals for affordable housing projects</w:t>
      </w:r>
      <w:r w:rsidR="000B012B">
        <w:rPr>
          <w:sz w:val="22"/>
          <w:szCs w:val="22"/>
        </w:rPr>
        <w:t>,</w:t>
      </w:r>
      <w:r w:rsidR="00952940" w:rsidRPr="0039614A">
        <w:rPr>
          <w:sz w:val="22"/>
          <w:szCs w:val="22"/>
        </w:rPr>
        <w:t xml:space="preserve"> re</w:t>
      </w:r>
      <w:r w:rsidR="000523DA" w:rsidRPr="0039614A">
        <w:rPr>
          <w:sz w:val="22"/>
          <w:szCs w:val="22"/>
        </w:rPr>
        <w:t>sult</w:t>
      </w:r>
      <w:r w:rsidR="00952940" w:rsidRPr="0039614A">
        <w:rPr>
          <w:sz w:val="22"/>
          <w:szCs w:val="22"/>
        </w:rPr>
        <w:t>i</w:t>
      </w:r>
      <w:r w:rsidR="000B012B">
        <w:rPr>
          <w:sz w:val="22"/>
          <w:szCs w:val="22"/>
        </w:rPr>
        <w:t>ng in higher costs,</w:t>
      </w:r>
      <w:r w:rsidR="00952940" w:rsidRPr="0039614A">
        <w:rPr>
          <w:sz w:val="22"/>
          <w:szCs w:val="22"/>
        </w:rPr>
        <w:t xml:space="preserve"> and no adjustments were completed during the year. </w:t>
      </w:r>
      <w:r w:rsidRPr="0039614A">
        <w:rPr>
          <w:sz w:val="22"/>
          <w:szCs w:val="22"/>
        </w:rPr>
        <w:t xml:space="preserve"> </w:t>
      </w:r>
    </w:p>
    <w:p w:rsidR="00B862EA" w:rsidRPr="0039614A" w:rsidRDefault="00B862EA" w:rsidP="009F71D2">
      <w:pPr>
        <w:suppressAutoHyphens/>
        <w:ind w:left="1080"/>
        <w:jc w:val="both"/>
        <w:rPr>
          <w:sz w:val="22"/>
          <w:szCs w:val="22"/>
        </w:rPr>
      </w:pPr>
    </w:p>
    <w:p w:rsidR="009F71D2" w:rsidRPr="0039614A" w:rsidRDefault="009F71D2" w:rsidP="009F71D2">
      <w:pPr>
        <w:suppressAutoHyphens/>
        <w:ind w:left="1080"/>
        <w:jc w:val="both"/>
        <w:rPr>
          <w:sz w:val="22"/>
          <w:szCs w:val="22"/>
        </w:rPr>
      </w:pPr>
      <w:r w:rsidRPr="0039614A">
        <w:rPr>
          <w:sz w:val="22"/>
          <w:szCs w:val="22"/>
        </w:rPr>
        <w:t>Affordable Housing (2080-2080000) – Increase Consulting Services by $70,000</w:t>
      </w:r>
    </w:p>
    <w:p w:rsidR="009F71D2" w:rsidRPr="0039614A" w:rsidRDefault="009F71D2" w:rsidP="009F71D2">
      <w:pPr>
        <w:ind w:left="360" w:firstLine="720"/>
        <w:jc w:val="both"/>
        <w:rPr>
          <w:sz w:val="22"/>
          <w:szCs w:val="22"/>
        </w:rPr>
      </w:pPr>
      <w:r w:rsidRPr="0039614A">
        <w:rPr>
          <w:sz w:val="22"/>
          <w:szCs w:val="22"/>
        </w:rPr>
        <w:t>Affordable Housing (2080-2080000) – Increase Legal Services by $10,000</w:t>
      </w:r>
    </w:p>
    <w:p w:rsidR="00B862EA" w:rsidRPr="0039614A" w:rsidRDefault="00B862EA" w:rsidP="00E96B27">
      <w:pPr>
        <w:ind w:left="360" w:firstLine="720"/>
        <w:jc w:val="both"/>
        <w:rPr>
          <w:sz w:val="22"/>
          <w:szCs w:val="22"/>
        </w:rPr>
      </w:pPr>
    </w:p>
    <w:p w:rsidR="00B862EA" w:rsidRPr="0039614A" w:rsidRDefault="00B862EA" w:rsidP="00B862EA">
      <w:pPr>
        <w:pStyle w:val="Default"/>
        <w:numPr>
          <w:ilvl w:val="0"/>
          <w:numId w:val="9"/>
        </w:numPr>
        <w:ind w:left="720"/>
        <w:jc w:val="both"/>
        <w:rPr>
          <w:sz w:val="22"/>
          <w:szCs w:val="22"/>
        </w:rPr>
      </w:pPr>
      <w:r w:rsidRPr="0039614A">
        <w:rPr>
          <w:sz w:val="22"/>
          <w:szCs w:val="22"/>
        </w:rPr>
        <w:t xml:space="preserve">Fund 2080 (Affordable Housing) - Increase appropriations </w:t>
      </w:r>
      <w:r w:rsidR="00E8255E" w:rsidRPr="0039614A">
        <w:rPr>
          <w:sz w:val="22"/>
          <w:szCs w:val="22"/>
        </w:rPr>
        <w:t>in Affordable Housing</w:t>
      </w:r>
      <w:r w:rsidRPr="0039614A">
        <w:rPr>
          <w:sz w:val="22"/>
          <w:szCs w:val="22"/>
        </w:rPr>
        <w:t xml:space="preserve"> </w:t>
      </w:r>
      <w:r w:rsidR="00E8255E" w:rsidRPr="0039614A">
        <w:rPr>
          <w:sz w:val="22"/>
          <w:szCs w:val="22"/>
        </w:rPr>
        <w:t>to fulfill its obligation to pay for</w:t>
      </w:r>
      <w:r w:rsidRPr="0039614A">
        <w:rPr>
          <w:sz w:val="22"/>
          <w:szCs w:val="22"/>
        </w:rPr>
        <w:t xml:space="preserve"> one-third of the Homeless Coordinator position</w:t>
      </w:r>
      <w:r w:rsidR="00E41725" w:rsidRPr="0039614A">
        <w:rPr>
          <w:sz w:val="22"/>
          <w:szCs w:val="22"/>
        </w:rPr>
        <w:t xml:space="preserve"> offset by use of fund balance</w:t>
      </w:r>
      <w:r w:rsidRPr="0039614A">
        <w:rPr>
          <w:sz w:val="22"/>
          <w:szCs w:val="22"/>
        </w:rPr>
        <w:t xml:space="preserve">.  The </w:t>
      </w:r>
      <w:r w:rsidR="00E41725" w:rsidRPr="0039614A">
        <w:rPr>
          <w:sz w:val="22"/>
          <w:szCs w:val="22"/>
        </w:rPr>
        <w:t xml:space="preserve">corresponding </w:t>
      </w:r>
      <w:r w:rsidRPr="0039614A">
        <w:rPr>
          <w:sz w:val="22"/>
          <w:szCs w:val="22"/>
        </w:rPr>
        <w:t>transfer-in has been budgeted in the Health and Human Services–</w:t>
      </w:r>
      <w:r w:rsidR="002D5783" w:rsidRPr="0039614A">
        <w:rPr>
          <w:sz w:val="22"/>
          <w:szCs w:val="22"/>
        </w:rPr>
        <w:t>Homeless and Housing Division</w:t>
      </w:r>
      <w:r w:rsidR="008F71B9" w:rsidRPr="0039614A">
        <w:rPr>
          <w:sz w:val="22"/>
          <w:szCs w:val="22"/>
        </w:rPr>
        <w:t>.</w:t>
      </w:r>
    </w:p>
    <w:p w:rsidR="00B862EA" w:rsidRPr="0039614A" w:rsidRDefault="00B862EA" w:rsidP="00B862EA">
      <w:pPr>
        <w:pStyle w:val="ListParagraph"/>
        <w:ind w:left="1080"/>
        <w:jc w:val="both"/>
        <w:rPr>
          <w:sz w:val="22"/>
          <w:szCs w:val="22"/>
        </w:rPr>
      </w:pPr>
    </w:p>
    <w:p w:rsidR="00B862EA" w:rsidRPr="0039614A" w:rsidRDefault="00B862EA" w:rsidP="00B862EA">
      <w:pPr>
        <w:pStyle w:val="ListParagraph"/>
        <w:ind w:left="1080"/>
        <w:jc w:val="both"/>
        <w:rPr>
          <w:sz w:val="22"/>
          <w:szCs w:val="22"/>
        </w:rPr>
      </w:pPr>
      <w:r w:rsidRPr="0039614A">
        <w:rPr>
          <w:sz w:val="22"/>
          <w:szCs w:val="22"/>
        </w:rPr>
        <w:t>Affordable Housing (2080-2080000) – Increase Transfe</w:t>
      </w:r>
      <w:r w:rsidR="00E8255E" w:rsidRPr="0039614A">
        <w:rPr>
          <w:sz w:val="22"/>
          <w:szCs w:val="22"/>
        </w:rPr>
        <w:t>r-o</w:t>
      </w:r>
      <w:r w:rsidRPr="0039614A">
        <w:rPr>
          <w:sz w:val="22"/>
          <w:szCs w:val="22"/>
        </w:rPr>
        <w:t>ut expenditures by $30,000</w:t>
      </w:r>
    </w:p>
    <w:p w:rsidR="00B862EA" w:rsidRPr="0039614A" w:rsidRDefault="00B862EA" w:rsidP="00B862EA">
      <w:pPr>
        <w:pStyle w:val="Default"/>
        <w:ind w:left="720"/>
        <w:jc w:val="both"/>
        <w:rPr>
          <w:sz w:val="22"/>
          <w:szCs w:val="22"/>
        </w:rPr>
      </w:pPr>
    </w:p>
    <w:p w:rsidR="0039614A" w:rsidRDefault="0039614A" w:rsidP="000B012B">
      <w:pPr>
        <w:pStyle w:val="Default"/>
        <w:numPr>
          <w:ilvl w:val="0"/>
          <w:numId w:val="9"/>
        </w:numPr>
        <w:ind w:left="720"/>
        <w:jc w:val="both"/>
        <w:rPr>
          <w:sz w:val="22"/>
          <w:szCs w:val="22"/>
        </w:rPr>
      </w:pPr>
      <w:r>
        <w:rPr>
          <w:sz w:val="22"/>
          <w:szCs w:val="22"/>
        </w:rPr>
        <w:t>Fund 2160 (Child Support Services) – Increase appropriations in Child Support Services to record additional OMB A87 indirect cost allocation offset by increased reimbursement allowance from Federal and State Public Assistance funding.</w:t>
      </w:r>
    </w:p>
    <w:p w:rsidR="0039614A" w:rsidRDefault="0039614A" w:rsidP="0039614A">
      <w:pPr>
        <w:jc w:val="both"/>
        <w:rPr>
          <w:sz w:val="22"/>
          <w:szCs w:val="22"/>
        </w:rPr>
      </w:pPr>
    </w:p>
    <w:p w:rsidR="00535731" w:rsidRPr="006A6943" w:rsidRDefault="00535731" w:rsidP="00535731">
      <w:pPr>
        <w:ind w:left="1080"/>
        <w:jc w:val="both"/>
        <w:rPr>
          <w:sz w:val="22"/>
          <w:szCs w:val="22"/>
        </w:rPr>
      </w:pPr>
      <w:r w:rsidRPr="006A6943">
        <w:rPr>
          <w:sz w:val="22"/>
          <w:szCs w:val="22"/>
        </w:rPr>
        <w:t>Child Support Services (2160-2160000) – Increase A87 (Cost Plan) expenditures by $132,066</w:t>
      </w:r>
    </w:p>
    <w:p w:rsidR="0039614A" w:rsidRPr="008F720C" w:rsidRDefault="0039614A" w:rsidP="0039614A">
      <w:pPr>
        <w:ind w:left="1080"/>
        <w:jc w:val="both"/>
        <w:rPr>
          <w:sz w:val="22"/>
          <w:szCs w:val="22"/>
        </w:rPr>
      </w:pPr>
      <w:r>
        <w:rPr>
          <w:sz w:val="22"/>
          <w:szCs w:val="22"/>
        </w:rPr>
        <w:t>Child Support Services (2160-2160</w:t>
      </w:r>
      <w:r w:rsidRPr="008F720C">
        <w:rPr>
          <w:sz w:val="22"/>
          <w:szCs w:val="22"/>
        </w:rPr>
        <w:t xml:space="preserve">000) – Increase </w:t>
      </w:r>
      <w:r>
        <w:rPr>
          <w:sz w:val="22"/>
          <w:szCs w:val="22"/>
        </w:rPr>
        <w:t>Federal–Public Assistance revenues</w:t>
      </w:r>
      <w:r w:rsidRPr="008F720C">
        <w:rPr>
          <w:sz w:val="22"/>
          <w:szCs w:val="22"/>
        </w:rPr>
        <w:t xml:space="preserve"> by $</w:t>
      </w:r>
      <w:r>
        <w:rPr>
          <w:sz w:val="22"/>
          <w:szCs w:val="22"/>
        </w:rPr>
        <w:t>44,902</w:t>
      </w:r>
    </w:p>
    <w:p w:rsidR="0039614A" w:rsidRPr="006A6943" w:rsidRDefault="0039614A" w:rsidP="0039614A">
      <w:pPr>
        <w:ind w:left="1080"/>
        <w:jc w:val="both"/>
        <w:rPr>
          <w:sz w:val="22"/>
          <w:szCs w:val="22"/>
        </w:rPr>
      </w:pPr>
      <w:r w:rsidRPr="006A6943">
        <w:rPr>
          <w:sz w:val="22"/>
          <w:szCs w:val="22"/>
        </w:rPr>
        <w:t xml:space="preserve">Child Support Services (2160-2160000) – Increase State–Public Assistance revenues by $87,164                                                                                                                                                                                  </w:t>
      </w:r>
    </w:p>
    <w:p w:rsidR="0039614A" w:rsidRDefault="0039614A" w:rsidP="0039614A">
      <w:pPr>
        <w:suppressAutoHyphens/>
        <w:ind w:left="630"/>
        <w:jc w:val="both"/>
        <w:rPr>
          <w:sz w:val="22"/>
          <w:szCs w:val="22"/>
        </w:rPr>
      </w:pPr>
    </w:p>
    <w:p w:rsidR="000B012B" w:rsidRPr="00023B1C" w:rsidRDefault="000B012B" w:rsidP="000B012B">
      <w:pPr>
        <w:suppressAutoHyphens/>
        <w:jc w:val="center"/>
        <w:rPr>
          <w:b/>
          <w:spacing w:val="-3"/>
          <w:sz w:val="22"/>
          <w:szCs w:val="22"/>
        </w:rPr>
      </w:pPr>
      <w:proofErr w:type="gramStart"/>
      <w:r w:rsidRPr="00023B1C">
        <w:rPr>
          <w:b/>
          <w:spacing w:val="-3"/>
          <w:sz w:val="22"/>
          <w:szCs w:val="22"/>
          <w:u w:val="single"/>
        </w:rPr>
        <w:lastRenderedPageBreak/>
        <w:t>BUDGETARY ADJUSTMENTS (FY16-17 Budget Transfer No.</w:t>
      </w:r>
      <w:proofErr w:type="gramEnd"/>
      <w:r w:rsidRPr="00023B1C">
        <w:rPr>
          <w:b/>
          <w:spacing w:val="-3"/>
          <w:sz w:val="22"/>
          <w:szCs w:val="22"/>
          <w:u w:val="single"/>
        </w:rPr>
        <w:t xml:space="preserve"> ACO007) (continued)</w:t>
      </w:r>
    </w:p>
    <w:p w:rsidR="000B012B" w:rsidRDefault="000B012B" w:rsidP="000B012B">
      <w:pPr>
        <w:suppressAutoHyphens/>
        <w:ind w:left="630"/>
        <w:jc w:val="both"/>
        <w:rPr>
          <w:sz w:val="22"/>
          <w:szCs w:val="22"/>
        </w:rPr>
      </w:pPr>
    </w:p>
    <w:p w:rsidR="006142CB" w:rsidRPr="006142CB" w:rsidRDefault="006142CB" w:rsidP="006142CB">
      <w:pPr>
        <w:pStyle w:val="ListParagraph"/>
        <w:numPr>
          <w:ilvl w:val="0"/>
          <w:numId w:val="9"/>
        </w:numPr>
        <w:suppressAutoHyphens/>
        <w:ind w:left="720"/>
        <w:jc w:val="both"/>
        <w:rPr>
          <w:spacing w:val="-3"/>
          <w:sz w:val="22"/>
          <w:szCs w:val="22"/>
          <w:u w:val="single"/>
        </w:rPr>
      </w:pPr>
      <w:r w:rsidRPr="006142CB">
        <w:rPr>
          <w:spacing w:val="-3"/>
          <w:sz w:val="22"/>
          <w:szCs w:val="22"/>
        </w:rPr>
        <w:t>Fund 2830 (NV Tourism Improvement District – Countywide) – Increase appropriations to pass through funds to Visit Napa Valley</w:t>
      </w:r>
      <w:r w:rsidR="000B676C">
        <w:rPr>
          <w:spacing w:val="-3"/>
          <w:sz w:val="22"/>
          <w:szCs w:val="22"/>
        </w:rPr>
        <w:t xml:space="preserve"> Inc.</w:t>
      </w:r>
      <w:r w:rsidRPr="006142CB">
        <w:rPr>
          <w:spacing w:val="-3"/>
          <w:sz w:val="22"/>
          <w:szCs w:val="22"/>
        </w:rPr>
        <w:t>, offset by increased assessment collections on lodging entities.</w:t>
      </w:r>
    </w:p>
    <w:p w:rsidR="006142CB" w:rsidRDefault="006142CB" w:rsidP="006142CB">
      <w:pPr>
        <w:pStyle w:val="ListParagraph"/>
        <w:suppressAutoHyphens/>
        <w:jc w:val="both"/>
        <w:rPr>
          <w:spacing w:val="-3"/>
          <w:sz w:val="22"/>
          <w:szCs w:val="22"/>
        </w:rPr>
      </w:pPr>
    </w:p>
    <w:p w:rsidR="006142CB" w:rsidRDefault="006142CB" w:rsidP="006142CB">
      <w:pPr>
        <w:tabs>
          <w:tab w:val="left" w:pos="1080"/>
        </w:tabs>
        <w:suppressAutoHyphens/>
        <w:jc w:val="both"/>
        <w:rPr>
          <w:spacing w:val="-3"/>
          <w:sz w:val="22"/>
          <w:szCs w:val="22"/>
        </w:rPr>
      </w:pPr>
      <w:r>
        <w:rPr>
          <w:spacing w:val="-3"/>
          <w:sz w:val="22"/>
          <w:szCs w:val="22"/>
        </w:rPr>
        <w:tab/>
        <w:t>NVTID – Countywide (2830-28300) – Increase Other Professional Services by $60,000</w:t>
      </w:r>
    </w:p>
    <w:p w:rsidR="006142CB" w:rsidRPr="00EB3F7A" w:rsidRDefault="006142CB" w:rsidP="006142CB">
      <w:pPr>
        <w:tabs>
          <w:tab w:val="left" w:pos="1080"/>
        </w:tabs>
        <w:suppressAutoHyphens/>
        <w:jc w:val="both"/>
        <w:rPr>
          <w:spacing w:val="-3"/>
          <w:sz w:val="22"/>
          <w:szCs w:val="22"/>
        </w:rPr>
      </w:pPr>
      <w:r>
        <w:rPr>
          <w:spacing w:val="-3"/>
          <w:sz w:val="22"/>
          <w:szCs w:val="22"/>
        </w:rPr>
        <w:tab/>
        <w:t>NVTID – Countywide (2830-28300</w:t>
      </w:r>
      <w:r w:rsidR="00CC1CEC">
        <w:rPr>
          <w:spacing w:val="-3"/>
          <w:sz w:val="22"/>
          <w:szCs w:val="22"/>
        </w:rPr>
        <w:t>)</w:t>
      </w:r>
      <w:r>
        <w:rPr>
          <w:spacing w:val="-3"/>
          <w:sz w:val="22"/>
          <w:szCs w:val="22"/>
        </w:rPr>
        <w:t xml:space="preserve"> – Increase Assessment Revenues by $60,000</w:t>
      </w:r>
    </w:p>
    <w:p w:rsidR="006142CB" w:rsidRDefault="006142CB" w:rsidP="006142CB">
      <w:pPr>
        <w:suppressAutoHyphens/>
        <w:ind w:left="720"/>
        <w:jc w:val="both"/>
        <w:rPr>
          <w:sz w:val="22"/>
          <w:szCs w:val="22"/>
        </w:rPr>
      </w:pPr>
    </w:p>
    <w:p w:rsidR="009B189F" w:rsidRPr="00C570E8" w:rsidRDefault="009B189F" w:rsidP="006142CB">
      <w:pPr>
        <w:numPr>
          <w:ilvl w:val="0"/>
          <w:numId w:val="9"/>
        </w:numPr>
        <w:suppressAutoHyphens/>
        <w:ind w:left="720"/>
        <w:jc w:val="both"/>
        <w:rPr>
          <w:sz w:val="22"/>
          <w:szCs w:val="22"/>
        </w:rPr>
      </w:pPr>
      <w:r w:rsidRPr="00C570E8">
        <w:rPr>
          <w:sz w:val="22"/>
          <w:szCs w:val="22"/>
        </w:rPr>
        <w:t>Fund 4400 (Employee-Retiree Benefits) – Increase appropriations for insurance claims and premiums by $</w:t>
      </w:r>
      <w:r w:rsidR="00C570E8" w:rsidRPr="00C570E8">
        <w:rPr>
          <w:sz w:val="22"/>
          <w:szCs w:val="22"/>
        </w:rPr>
        <w:t>78,000</w:t>
      </w:r>
      <w:r w:rsidR="005571B5" w:rsidRPr="00C570E8">
        <w:rPr>
          <w:sz w:val="22"/>
          <w:szCs w:val="22"/>
        </w:rPr>
        <w:t xml:space="preserve">. This increase is </w:t>
      </w:r>
      <w:r w:rsidR="00A87F55" w:rsidRPr="00C570E8">
        <w:rPr>
          <w:sz w:val="22"/>
          <w:szCs w:val="22"/>
        </w:rPr>
        <w:t>the result of the final Other Post</w:t>
      </w:r>
      <w:r w:rsidR="00A54210" w:rsidRPr="00C570E8">
        <w:rPr>
          <w:sz w:val="22"/>
          <w:szCs w:val="22"/>
        </w:rPr>
        <w:t>-</w:t>
      </w:r>
      <w:r w:rsidR="00A87F55" w:rsidRPr="00C570E8">
        <w:rPr>
          <w:sz w:val="22"/>
          <w:szCs w:val="22"/>
        </w:rPr>
        <w:t>Employment Benefits</w:t>
      </w:r>
      <w:r w:rsidR="00A54210" w:rsidRPr="00C570E8">
        <w:rPr>
          <w:sz w:val="22"/>
          <w:szCs w:val="22"/>
        </w:rPr>
        <w:t xml:space="preserve"> (OPEB)</w:t>
      </w:r>
      <w:r w:rsidR="00A87F55" w:rsidRPr="00C570E8">
        <w:rPr>
          <w:sz w:val="22"/>
          <w:szCs w:val="22"/>
        </w:rPr>
        <w:t xml:space="preserve"> reconciliation and is offset by charges for services revenues.</w:t>
      </w:r>
    </w:p>
    <w:p w:rsidR="006761BC" w:rsidRPr="00C570E8" w:rsidRDefault="006761BC" w:rsidP="00404D51">
      <w:pPr>
        <w:suppressAutoHyphens/>
        <w:jc w:val="both"/>
        <w:rPr>
          <w:sz w:val="22"/>
          <w:szCs w:val="22"/>
        </w:rPr>
      </w:pPr>
    </w:p>
    <w:p w:rsidR="0043727D" w:rsidRPr="00C570E8" w:rsidRDefault="0043727D" w:rsidP="0043727D">
      <w:pPr>
        <w:suppressAutoHyphens/>
        <w:ind w:left="1080"/>
        <w:jc w:val="both"/>
        <w:rPr>
          <w:sz w:val="22"/>
          <w:szCs w:val="22"/>
        </w:rPr>
      </w:pPr>
      <w:r w:rsidRPr="00C570E8">
        <w:rPr>
          <w:sz w:val="22"/>
          <w:szCs w:val="22"/>
        </w:rPr>
        <w:t>Employee-Retiree Benefits (4400-44010) – Increase Insurance Claims expen</w:t>
      </w:r>
      <w:r w:rsidR="000B6AC0">
        <w:rPr>
          <w:sz w:val="22"/>
          <w:szCs w:val="22"/>
        </w:rPr>
        <w:t>diture</w:t>
      </w:r>
      <w:r w:rsidRPr="00C570E8">
        <w:rPr>
          <w:sz w:val="22"/>
          <w:szCs w:val="22"/>
        </w:rPr>
        <w:t xml:space="preserve"> by $</w:t>
      </w:r>
      <w:r w:rsidR="00C570E8" w:rsidRPr="00C570E8">
        <w:rPr>
          <w:sz w:val="22"/>
          <w:szCs w:val="22"/>
        </w:rPr>
        <w:t>59,000</w:t>
      </w:r>
    </w:p>
    <w:p w:rsidR="009B189F" w:rsidRPr="00C570E8" w:rsidRDefault="009B189F" w:rsidP="00404D51">
      <w:pPr>
        <w:suppressAutoHyphens/>
        <w:ind w:left="1080"/>
        <w:jc w:val="both"/>
        <w:rPr>
          <w:sz w:val="22"/>
          <w:szCs w:val="22"/>
        </w:rPr>
      </w:pPr>
      <w:r w:rsidRPr="00C570E8">
        <w:rPr>
          <w:sz w:val="22"/>
          <w:szCs w:val="22"/>
        </w:rPr>
        <w:t xml:space="preserve">Employee-Retiree Benefits (4400-44010) – Increase Insurance Premiums </w:t>
      </w:r>
      <w:r w:rsidR="0043727D" w:rsidRPr="00C570E8">
        <w:rPr>
          <w:sz w:val="22"/>
          <w:szCs w:val="22"/>
        </w:rPr>
        <w:t>expen</w:t>
      </w:r>
      <w:r w:rsidR="00682B81">
        <w:rPr>
          <w:sz w:val="22"/>
          <w:szCs w:val="22"/>
        </w:rPr>
        <w:t>diture</w:t>
      </w:r>
      <w:r w:rsidR="0043727D" w:rsidRPr="00C570E8">
        <w:rPr>
          <w:sz w:val="22"/>
          <w:szCs w:val="22"/>
        </w:rPr>
        <w:t xml:space="preserve"> </w:t>
      </w:r>
      <w:r w:rsidRPr="00C570E8">
        <w:rPr>
          <w:sz w:val="22"/>
          <w:szCs w:val="22"/>
        </w:rPr>
        <w:t>by $</w:t>
      </w:r>
      <w:r w:rsidR="00C570E8" w:rsidRPr="00C570E8">
        <w:rPr>
          <w:sz w:val="22"/>
          <w:szCs w:val="22"/>
        </w:rPr>
        <w:t>19,000</w:t>
      </w:r>
    </w:p>
    <w:p w:rsidR="0043727D" w:rsidRDefault="0043727D" w:rsidP="0043727D">
      <w:pPr>
        <w:suppressAutoHyphens/>
        <w:ind w:left="1080"/>
        <w:jc w:val="both"/>
        <w:rPr>
          <w:sz w:val="22"/>
          <w:szCs w:val="22"/>
        </w:rPr>
      </w:pPr>
      <w:r w:rsidRPr="00C570E8">
        <w:rPr>
          <w:sz w:val="22"/>
          <w:szCs w:val="22"/>
        </w:rPr>
        <w:t>Employee-Retiree Benefits (4400-44010) – Increase Charges for Services revenue by $</w:t>
      </w:r>
      <w:r w:rsidR="00C570E8" w:rsidRPr="00C570E8">
        <w:rPr>
          <w:sz w:val="22"/>
          <w:szCs w:val="22"/>
        </w:rPr>
        <w:t>78,000</w:t>
      </w:r>
    </w:p>
    <w:p w:rsidR="00682B81" w:rsidRDefault="00682B81" w:rsidP="0043727D">
      <w:pPr>
        <w:suppressAutoHyphens/>
        <w:ind w:left="1080"/>
        <w:jc w:val="both"/>
        <w:rPr>
          <w:sz w:val="22"/>
          <w:szCs w:val="22"/>
        </w:rPr>
      </w:pPr>
    </w:p>
    <w:p w:rsidR="00023B1C" w:rsidRPr="006A6943" w:rsidRDefault="006A6943" w:rsidP="006142CB">
      <w:pPr>
        <w:pStyle w:val="ListParagraph"/>
        <w:numPr>
          <w:ilvl w:val="0"/>
          <w:numId w:val="9"/>
        </w:numPr>
        <w:suppressAutoHyphens/>
        <w:ind w:left="720"/>
        <w:jc w:val="both"/>
        <w:rPr>
          <w:spacing w:val="-3"/>
          <w:sz w:val="22"/>
          <w:szCs w:val="22"/>
          <w:u w:val="single"/>
        </w:rPr>
      </w:pPr>
      <w:r w:rsidRPr="006A6943">
        <w:rPr>
          <w:sz w:val="22"/>
          <w:szCs w:val="22"/>
        </w:rPr>
        <w:t>In addition to the entries listed above, increase appropriations in various Non-Operating Special Revenue Funds to allow the transfer of cash to offset allowable reimbursements in the corresponding operating departments</w:t>
      </w:r>
      <w:r w:rsidR="008F71B9">
        <w:rPr>
          <w:sz w:val="22"/>
          <w:szCs w:val="22"/>
        </w:rPr>
        <w:t xml:space="preserve"> for expenditures incurred during the year.</w:t>
      </w:r>
    </w:p>
    <w:p w:rsidR="007F00A0" w:rsidRDefault="007F00A0" w:rsidP="00404D51">
      <w:pPr>
        <w:suppressAutoHyphens/>
        <w:jc w:val="center"/>
        <w:rPr>
          <w:b/>
          <w:spacing w:val="-3"/>
          <w:sz w:val="22"/>
          <w:szCs w:val="22"/>
          <w:highlight w:val="lightGray"/>
          <w:u w:val="single"/>
        </w:rPr>
      </w:pPr>
    </w:p>
    <w:p w:rsidR="0030186E" w:rsidRPr="00C25B72" w:rsidRDefault="00F9518E" w:rsidP="00404D51">
      <w:pPr>
        <w:suppressAutoHyphens/>
        <w:jc w:val="center"/>
        <w:rPr>
          <w:b/>
          <w:spacing w:val="-3"/>
          <w:sz w:val="22"/>
          <w:szCs w:val="22"/>
          <w:u w:val="single"/>
        </w:rPr>
      </w:pPr>
      <w:r w:rsidRPr="00C25B72">
        <w:rPr>
          <w:b/>
          <w:spacing w:val="-3"/>
          <w:sz w:val="22"/>
          <w:szCs w:val="22"/>
          <w:u w:val="single"/>
        </w:rPr>
        <w:t>TEMPORARY CASH ADVANCES</w:t>
      </w:r>
    </w:p>
    <w:p w:rsidR="00F9518E" w:rsidRPr="00C25B72" w:rsidRDefault="00F9518E" w:rsidP="00404D51">
      <w:pPr>
        <w:suppressAutoHyphens/>
        <w:jc w:val="both"/>
        <w:rPr>
          <w:b/>
          <w:spacing w:val="-3"/>
          <w:sz w:val="22"/>
          <w:szCs w:val="22"/>
          <w:u w:val="single"/>
        </w:rPr>
      </w:pPr>
    </w:p>
    <w:p w:rsidR="00F9518E" w:rsidRPr="00C25B72" w:rsidRDefault="00F9518E" w:rsidP="00404D51">
      <w:pPr>
        <w:suppressAutoHyphens/>
        <w:jc w:val="both"/>
        <w:rPr>
          <w:spacing w:val="-3"/>
          <w:sz w:val="22"/>
          <w:szCs w:val="22"/>
        </w:rPr>
      </w:pPr>
      <w:r w:rsidRPr="00C25B72">
        <w:rPr>
          <w:spacing w:val="-3"/>
          <w:sz w:val="22"/>
          <w:szCs w:val="22"/>
        </w:rPr>
        <w:t xml:space="preserve">Record entries providing temporary </w:t>
      </w:r>
      <w:r w:rsidR="00D87703" w:rsidRPr="00C25B72">
        <w:rPr>
          <w:spacing w:val="-3"/>
          <w:sz w:val="22"/>
          <w:szCs w:val="22"/>
        </w:rPr>
        <w:t xml:space="preserve">cash </w:t>
      </w:r>
      <w:r w:rsidRPr="00C25B72">
        <w:rPr>
          <w:spacing w:val="-3"/>
          <w:sz w:val="22"/>
          <w:szCs w:val="22"/>
        </w:rPr>
        <w:t xml:space="preserve">advances to funds that end the fiscal year in a deficit cash position.  </w:t>
      </w:r>
      <w:r w:rsidR="00D87703" w:rsidRPr="00C25B72">
        <w:rPr>
          <w:spacing w:val="-3"/>
          <w:sz w:val="22"/>
          <w:szCs w:val="22"/>
        </w:rPr>
        <w:t>The</w:t>
      </w:r>
      <w:r w:rsidR="00E72B3B" w:rsidRPr="00C25B72">
        <w:rPr>
          <w:spacing w:val="-3"/>
          <w:sz w:val="22"/>
          <w:szCs w:val="22"/>
        </w:rPr>
        <w:t xml:space="preserve"> majority of the</w:t>
      </w:r>
      <w:r w:rsidR="00D87703" w:rsidRPr="00C25B72">
        <w:rPr>
          <w:spacing w:val="-3"/>
          <w:sz w:val="22"/>
          <w:szCs w:val="22"/>
        </w:rPr>
        <w:t xml:space="preserve">se </w:t>
      </w:r>
      <w:r w:rsidR="007F1C84" w:rsidRPr="00C25B72">
        <w:rPr>
          <w:spacing w:val="-3"/>
          <w:sz w:val="22"/>
          <w:szCs w:val="22"/>
        </w:rPr>
        <w:t>advances are needed when</w:t>
      </w:r>
      <w:r w:rsidR="00E72B3B" w:rsidRPr="00C25B72">
        <w:rPr>
          <w:spacing w:val="-3"/>
          <w:sz w:val="22"/>
          <w:szCs w:val="22"/>
        </w:rPr>
        <w:t xml:space="preserve"> State </w:t>
      </w:r>
      <w:r w:rsidR="007F1C84" w:rsidRPr="00C25B72">
        <w:rPr>
          <w:spacing w:val="-3"/>
          <w:sz w:val="22"/>
          <w:szCs w:val="22"/>
        </w:rPr>
        <w:t>reimbursements for program expenditures are not received by year-end</w:t>
      </w:r>
      <w:r w:rsidR="00E72B3B" w:rsidRPr="00C25B72">
        <w:rPr>
          <w:spacing w:val="-3"/>
          <w:sz w:val="22"/>
          <w:szCs w:val="22"/>
        </w:rPr>
        <w:t xml:space="preserve">, as is the case with </w:t>
      </w:r>
      <w:r w:rsidR="00351761" w:rsidRPr="00C25B72">
        <w:rPr>
          <w:spacing w:val="-3"/>
          <w:sz w:val="22"/>
          <w:szCs w:val="22"/>
        </w:rPr>
        <w:t xml:space="preserve">the </w:t>
      </w:r>
      <w:r w:rsidR="004E417A" w:rsidRPr="00C25B72">
        <w:rPr>
          <w:spacing w:val="-3"/>
          <w:sz w:val="22"/>
          <w:szCs w:val="22"/>
        </w:rPr>
        <w:t>I</w:t>
      </w:r>
      <w:r w:rsidR="00EC0CEE" w:rsidRPr="00C25B72">
        <w:rPr>
          <w:spacing w:val="-3"/>
          <w:sz w:val="22"/>
          <w:szCs w:val="22"/>
        </w:rPr>
        <w:t>n-</w:t>
      </w:r>
      <w:r w:rsidR="004E417A" w:rsidRPr="00C25B72">
        <w:rPr>
          <w:spacing w:val="-3"/>
          <w:sz w:val="22"/>
          <w:szCs w:val="22"/>
        </w:rPr>
        <w:t>H</w:t>
      </w:r>
      <w:r w:rsidR="00EC0CEE" w:rsidRPr="00C25B72">
        <w:rPr>
          <w:spacing w:val="-3"/>
          <w:sz w:val="22"/>
          <w:szCs w:val="22"/>
        </w:rPr>
        <w:t xml:space="preserve">ome </w:t>
      </w:r>
      <w:r w:rsidR="004E417A" w:rsidRPr="00C25B72">
        <w:rPr>
          <w:spacing w:val="-3"/>
          <w:sz w:val="22"/>
          <w:szCs w:val="22"/>
        </w:rPr>
        <w:t>S</w:t>
      </w:r>
      <w:r w:rsidR="00EC0CEE" w:rsidRPr="00C25B72">
        <w:rPr>
          <w:spacing w:val="-3"/>
          <w:sz w:val="22"/>
          <w:szCs w:val="22"/>
        </w:rPr>
        <w:t xml:space="preserve">upportive </w:t>
      </w:r>
      <w:r w:rsidR="004E417A" w:rsidRPr="00C25B72">
        <w:rPr>
          <w:spacing w:val="-3"/>
          <w:sz w:val="22"/>
          <w:szCs w:val="22"/>
        </w:rPr>
        <w:t>S</w:t>
      </w:r>
      <w:r w:rsidR="00EC0CEE" w:rsidRPr="00C25B72">
        <w:rPr>
          <w:spacing w:val="-3"/>
          <w:sz w:val="22"/>
          <w:szCs w:val="22"/>
        </w:rPr>
        <w:t>ervices</w:t>
      </w:r>
      <w:r w:rsidR="00351761" w:rsidRPr="00C25B72">
        <w:rPr>
          <w:spacing w:val="-3"/>
          <w:sz w:val="22"/>
          <w:szCs w:val="22"/>
        </w:rPr>
        <w:t xml:space="preserve"> Authority</w:t>
      </w:r>
      <w:r w:rsidR="00E72B3B" w:rsidRPr="00C25B72">
        <w:rPr>
          <w:spacing w:val="-3"/>
          <w:sz w:val="22"/>
          <w:szCs w:val="22"/>
        </w:rPr>
        <w:t xml:space="preserve">. </w:t>
      </w:r>
      <w:r w:rsidR="00AC0451" w:rsidRPr="00C25B72">
        <w:rPr>
          <w:spacing w:val="-3"/>
          <w:sz w:val="22"/>
          <w:szCs w:val="22"/>
        </w:rPr>
        <w:t xml:space="preserve">  Temporary cash advances are </w:t>
      </w:r>
      <w:r w:rsidR="002C173C" w:rsidRPr="00C25B72">
        <w:rPr>
          <w:spacing w:val="-3"/>
          <w:sz w:val="22"/>
          <w:szCs w:val="22"/>
        </w:rPr>
        <w:t>re</w:t>
      </w:r>
      <w:r w:rsidR="00AC0451" w:rsidRPr="00C25B72">
        <w:rPr>
          <w:spacing w:val="-3"/>
          <w:sz w:val="22"/>
          <w:szCs w:val="22"/>
        </w:rPr>
        <w:t xml:space="preserve">paid </w:t>
      </w:r>
      <w:r w:rsidR="002C173C" w:rsidRPr="00C25B72">
        <w:rPr>
          <w:spacing w:val="-3"/>
          <w:sz w:val="22"/>
          <w:szCs w:val="22"/>
        </w:rPr>
        <w:t xml:space="preserve">immediately </w:t>
      </w:r>
      <w:r w:rsidR="00AC0451" w:rsidRPr="00C25B72">
        <w:rPr>
          <w:spacing w:val="-3"/>
          <w:sz w:val="22"/>
          <w:szCs w:val="22"/>
        </w:rPr>
        <w:t>with</w:t>
      </w:r>
      <w:r w:rsidR="002C173C" w:rsidRPr="00C25B72">
        <w:rPr>
          <w:spacing w:val="-3"/>
          <w:sz w:val="22"/>
          <w:szCs w:val="22"/>
        </w:rPr>
        <w:t xml:space="preserve"> first </w:t>
      </w:r>
      <w:r w:rsidR="00AC0451" w:rsidRPr="00C25B72">
        <w:rPr>
          <w:spacing w:val="-3"/>
          <w:sz w:val="22"/>
          <w:szCs w:val="22"/>
        </w:rPr>
        <w:t>revenue</w:t>
      </w:r>
      <w:r w:rsidR="002C173C" w:rsidRPr="00C25B72">
        <w:rPr>
          <w:spacing w:val="-3"/>
          <w:sz w:val="22"/>
          <w:szCs w:val="22"/>
        </w:rPr>
        <w:t>s</w:t>
      </w:r>
      <w:r w:rsidR="00AC0451" w:rsidRPr="00C25B72">
        <w:rPr>
          <w:spacing w:val="-3"/>
          <w:sz w:val="22"/>
          <w:szCs w:val="22"/>
        </w:rPr>
        <w:t xml:space="preserve"> collected </w:t>
      </w:r>
      <w:r w:rsidR="002C173C" w:rsidRPr="00C25B72">
        <w:rPr>
          <w:spacing w:val="-3"/>
          <w:sz w:val="22"/>
          <w:szCs w:val="22"/>
        </w:rPr>
        <w:t xml:space="preserve">in the new </w:t>
      </w:r>
      <w:r w:rsidR="00037666" w:rsidRPr="00C25B72">
        <w:rPr>
          <w:spacing w:val="-3"/>
          <w:sz w:val="22"/>
          <w:szCs w:val="22"/>
        </w:rPr>
        <w:t xml:space="preserve">fiscal </w:t>
      </w:r>
      <w:r w:rsidR="002C173C" w:rsidRPr="00C25B72">
        <w:rPr>
          <w:spacing w:val="-3"/>
          <w:sz w:val="22"/>
          <w:szCs w:val="22"/>
        </w:rPr>
        <w:t>year</w:t>
      </w:r>
      <w:r w:rsidR="00AC0451" w:rsidRPr="00C25B72">
        <w:rPr>
          <w:spacing w:val="-3"/>
          <w:sz w:val="22"/>
          <w:szCs w:val="22"/>
        </w:rPr>
        <w:t>.</w:t>
      </w:r>
    </w:p>
    <w:p w:rsidR="00D564EE" w:rsidRDefault="00D564EE" w:rsidP="00404D51">
      <w:pPr>
        <w:suppressAutoHyphens/>
        <w:jc w:val="center"/>
        <w:rPr>
          <w:b/>
          <w:spacing w:val="-3"/>
          <w:sz w:val="22"/>
          <w:szCs w:val="22"/>
          <w:highlight w:val="lightGray"/>
          <w:u w:val="single"/>
        </w:rPr>
      </w:pPr>
    </w:p>
    <w:p w:rsidR="00B86FB4" w:rsidRPr="00023B1C" w:rsidRDefault="00B86FB4" w:rsidP="00404D51">
      <w:pPr>
        <w:suppressAutoHyphens/>
        <w:jc w:val="center"/>
        <w:rPr>
          <w:b/>
          <w:spacing w:val="-3"/>
          <w:sz w:val="22"/>
          <w:szCs w:val="22"/>
          <w:u w:val="single"/>
        </w:rPr>
      </w:pPr>
      <w:proofErr w:type="gramStart"/>
      <w:r w:rsidRPr="00023B1C">
        <w:rPr>
          <w:b/>
          <w:spacing w:val="-3"/>
          <w:sz w:val="22"/>
          <w:szCs w:val="22"/>
          <w:u w:val="single"/>
        </w:rPr>
        <w:t>ENCUMBRANCES</w:t>
      </w:r>
      <w:r w:rsidR="00950079" w:rsidRPr="00023B1C">
        <w:rPr>
          <w:b/>
          <w:spacing w:val="-3"/>
          <w:sz w:val="22"/>
          <w:szCs w:val="22"/>
          <w:u w:val="single"/>
        </w:rPr>
        <w:t xml:space="preserve"> (FY17-18</w:t>
      </w:r>
      <w:r w:rsidR="00023B1C" w:rsidRPr="00023B1C">
        <w:rPr>
          <w:b/>
          <w:spacing w:val="-3"/>
          <w:sz w:val="22"/>
          <w:szCs w:val="22"/>
          <w:u w:val="single"/>
        </w:rPr>
        <w:t xml:space="preserve"> Budget Transfer No.</w:t>
      </w:r>
      <w:proofErr w:type="gramEnd"/>
      <w:r w:rsidR="00023B1C" w:rsidRPr="00023B1C">
        <w:rPr>
          <w:b/>
          <w:spacing w:val="-3"/>
          <w:sz w:val="22"/>
          <w:szCs w:val="22"/>
          <w:u w:val="single"/>
        </w:rPr>
        <w:t xml:space="preserve"> ACO002</w:t>
      </w:r>
      <w:r w:rsidR="00EE6D89" w:rsidRPr="00023B1C">
        <w:rPr>
          <w:b/>
          <w:spacing w:val="-3"/>
          <w:sz w:val="22"/>
          <w:szCs w:val="22"/>
          <w:u w:val="single"/>
        </w:rPr>
        <w:t>)</w:t>
      </w:r>
    </w:p>
    <w:p w:rsidR="00B86FB4" w:rsidRPr="000945F9" w:rsidRDefault="00B86FB4" w:rsidP="00404D51">
      <w:pPr>
        <w:suppressAutoHyphens/>
        <w:ind w:left="360"/>
        <w:jc w:val="both"/>
        <w:rPr>
          <w:spacing w:val="-3"/>
          <w:sz w:val="22"/>
          <w:szCs w:val="22"/>
          <w:highlight w:val="lightGray"/>
        </w:rPr>
      </w:pPr>
    </w:p>
    <w:p w:rsidR="00B86FB4" w:rsidRPr="005D2A91" w:rsidRDefault="00B86FB4" w:rsidP="00404D51">
      <w:pPr>
        <w:suppressAutoHyphens/>
        <w:jc w:val="both"/>
        <w:rPr>
          <w:spacing w:val="-3"/>
          <w:sz w:val="22"/>
          <w:szCs w:val="22"/>
        </w:rPr>
      </w:pPr>
      <w:r w:rsidRPr="005D2A91">
        <w:rPr>
          <w:color w:val="000000" w:themeColor="text1"/>
          <w:spacing w:val="-3"/>
          <w:sz w:val="22"/>
          <w:szCs w:val="22"/>
        </w:rPr>
        <w:t>Complete a budget adjustment to carry-forward budget appropriations of $</w:t>
      </w:r>
      <w:r w:rsidR="00062BEB">
        <w:rPr>
          <w:color w:val="000000" w:themeColor="text1"/>
          <w:spacing w:val="-3"/>
          <w:sz w:val="22"/>
          <w:szCs w:val="22"/>
        </w:rPr>
        <w:t>1</w:t>
      </w:r>
      <w:r w:rsidR="00864978" w:rsidRPr="005D2A91">
        <w:rPr>
          <w:color w:val="000000" w:themeColor="text1"/>
          <w:spacing w:val="-3"/>
          <w:sz w:val="22"/>
          <w:szCs w:val="22"/>
        </w:rPr>
        <w:t>,</w:t>
      </w:r>
      <w:r w:rsidR="00062BEB">
        <w:rPr>
          <w:color w:val="000000" w:themeColor="text1"/>
          <w:spacing w:val="-3"/>
          <w:sz w:val="22"/>
          <w:szCs w:val="22"/>
        </w:rPr>
        <w:t>3</w:t>
      </w:r>
      <w:r w:rsidR="00061068">
        <w:rPr>
          <w:color w:val="000000" w:themeColor="text1"/>
          <w:spacing w:val="-3"/>
          <w:sz w:val="22"/>
          <w:szCs w:val="22"/>
        </w:rPr>
        <w:t>98</w:t>
      </w:r>
      <w:r w:rsidR="00326ED6" w:rsidRPr="005D2A91">
        <w:rPr>
          <w:color w:val="000000" w:themeColor="text1"/>
          <w:spacing w:val="-3"/>
          <w:sz w:val="22"/>
          <w:szCs w:val="22"/>
        </w:rPr>
        <w:t>,</w:t>
      </w:r>
      <w:r w:rsidR="00061068">
        <w:rPr>
          <w:color w:val="000000" w:themeColor="text1"/>
          <w:spacing w:val="-3"/>
          <w:sz w:val="22"/>
          <w:szCs w:val="22"/>
        </w:rPr>
        <w:t>48</w:t>
      </w:r>
      <w:r w:rsidR="00062BEB">
        <w:rPr>
          <w:color w:val="000000" w:themeColor="text1"/>
          <w:spacing w:val="-3"/>
          <w:sz w:val="22"/>
          <w:szCs w:val="22"/>
        </w:rPr>
        <w:t>0</w:t>
      </w:r>
      <w:r w:rsidR="00340CFE" w:rsidRPr="005D2A91">
        <w:rPr>
          <w:color w:val="000000" w:themeColor="text1"/>
          <w:spacing w:val="-3"/>
          <w:sz w:val="22"/>
          <w:szCs w:val="22"/>
        </w:rPr>
        <w:t xml:space="preserve"> </w:t>
      </w:r>
      <w:r w:rsidRPr="005D2A91">
        <w:rPr>
          <w:color w:val="000000" w:themeColor="text1"/>
          <w:spacing w:val="-3"/>
          <w:sz w:val="22"/>
          <w:szCs w:val="22"/>
        </w:rPr>
        <w:t>from</w:t>
      </w:r>
      <w:r w:rsidR="00FD67B4" w:rsidRPr="005D2A91">
        <w:rPr>
          <w:color w:val="000000" w:themeColor="text1"/>
          <w:spacing w:val="-3"/>
          <w:sz w:val="22"/>
          <w:szCs w:val="22"/>
        </w:rPr>
        <w:t xml:space="preserve"> fiscal year 201</w:t>
      </w:r>
      <w:r w:rsidR="00993053" w:rsidRPr="005D2A91">
        <w:rPr>
          <w:color w:val="000000" w:themeColor="text1"/>
          <w:spacing w:val="-3"/>
          <w:sz w:val="22"/>
          <w:szCs w:val="22"/>
        </w:rPr>
        <w:t>6</w:t>
      </w:r>
      <w:r w:rsidR="00FD67B4" w:rsidRPr="005D2A91">
        <w:rPr>
          <w:color w:val="000000" w:themeColor="text1"/>
          <w:spacing w:val="-3"/>
          <w:sz w:val="22"/>
          <w:szCs w:val="22"/>
        </w:rPr>
        <w:t>-201</w:t>
      </w:r>
      <w:r w:rsidR="00993053" w:rsidRPr="005D2A91">
        <w:rPr>
          <w:color w:val="000000" w:themeColor="text1"/>
          <w:spacing w:val="-3"/>
          <w:sz w:val="22"/>
          <w:szCs w:val="22"/>
        </w:rPr>
        <w:t>7</w:t>
      </w:r>
      <w:r w:rsidRPr="005D2A91">
        <w:rPr>
          <w:color w:val="000000" w:themeColor="text1"/>
          <w:spacing w:val="-3"/>
          <w:sz w:val="22"/>
          <w:szCs w:val="22"/>
        </w:rPr>
        <w:t xml:space="preserve"> to 201</w:t>
      </w:r>
      <w:r w:rsidR="00993053" w:rsidRPr="005D2A91">
        <w:rPr>
          <w:color w:val="000000" w:themeColor="text1"/>
          <w:spacing w:val="-3"/>
          <w:sz w:val="22"/>
          <w:szCs w:val="22"/>
        </w:rPr>
        <w:t>7</w:t>
      </w:r>
      <w:r w:rsidR="00FD67B4" w:rsidRPr="005D2A91">
        <w:rPr>
          <w:color w:val="000000" w:themeColor="text1"/>
          <w:spacing w:val="-3"/>
          <w:sz w:val="22"/>
          <w:szCs w:val="22"/>
        </w:rPr>
        <w:t>-201</w:t>
      </w:r>
      <w:r w:rsidR="00993053" w:rsidRPr="005D2A91">
        <w:rPr>
          <w:color w:val="000000" w:themeColor="text1"/>
          <w:spacing w:val="-3"/>
          <w:sz w:val="22"/>
          <w:szCs w:val="22"/>
        </w:rPr>
        <w:t>8</w:t>
      </w:r>
      <w:r w:rsidR="00864978" w:rsidRPr="005D2A91">
        <w:rPr>
          <w:color w:val="000000" w:themeColor="text1"/>
          <w:spacing w:val="-3"/>
          <w:sz w:val="22"/>
          <w:szCs w:val="22"/>
        </w:rPr>
        <w:t xml:space="preserve"> for </w:t>
      </w:r>
      <w:r w:rsidR="008F71B9">
        <w:rPr>
          <w:color w:val="000000" w:themeColor="text1"/>
          <w:spacing w:val="-3"/>
          <w:sz w:val="22"/>
          <w:szCs w:val="22"/>
        </w:rPr>
        <w:t>commitments (</w:t>
      </w:r>
      <w:r w:rsidRPr="005D2A91">
        <w:rPr>
          <w:color w:val="000000" w:themeColor="text1"/>
          <w:spacing w:val="-3"/>
          <w:sz w:val="22"/>
          <w:szCs w:val="22"/>
        </w:rPr>
        <w:t>encumbrances</w:t>
      </w:r>
      <w:r w:rsidR="008F71B9">
        <w:rPr>
          <w:color w:val="000000" w:themeColor="text1"/>
          <w:spacing w:val="-3"/>
          <w:sz w:val="22"/>
          <w:szCs w:val="22"/>
        </w:rPr>
        <w:t>)</w:t>
      </w:r>
      <w:r w:rsidRPr="005D2A91">
        <w:rPr>
          <w:color w:val="000000" w:themeColor="text1"/>
          <w:spacing w:val="-3"/>
          <w:sz w:val="22"/>
          <w:szCs w:val="22"/>
        </w:rPr>
        <w:t xml:space="preserve"> existing during fiscal year that have not been </w:t>
      </w:r>
      <w:r w:rsidRPr="005D2A91">
        <w:rPr>
          <w:spacing w:val="-3"/>
          <w:sz w:val="22"/>
          <w:szCs w:val="22"/>
        </w:rPr>
        <w:t>complet</w:t>
      </w:r>
      <w:r w:rsidR="00FD67B4" w:rsidRPr="005D2A91">
        <w:rPr>
          <w:spacing w:val="-3"/>
          <w:sz w:val="22"/>
          <w:szCs w:val="22"/>
        </w:rPr>
        <w:t>ed or fulfilled by June 30, 201</w:t>
      </w:r>
      <w:r w:rsidR="00993053" w:rsidRPr="005D2A91">
        <w:rPr>
          <w:spacing w:val="-3"/>
          <w:sz w:val="22"/>
          <w:szCs w:val="22"/>
        </w:rPr>
        <w:t>7</w:t>
      </w:r>
      <w:r w:rsidRPr="005D2A91">
        <w:rPr>
          <w:spacing w:val="-3"/>
          <w:sz w:val="22"/>
          <w:szCs w:val="22"/>
        </w:rPr>
        <w:t xml:space="preserve">.  A list of re-encumbrances is </w:t>
      </w:r>
      <w:r w:rsidR="00CA20C1" w:rsidRPr="005D2A91">
        <w:rPr>
          <w:spacing w:val="-3"/>
          <w:sz w:val="22"/>
          <w:szCs w:val="22"/>
        </w:rPr>
        <w:t>provided in Attachm</w:t>
      </w:r>
      <w:r w:rsidR="00340CFE" w:rsidRPr="005D2A91">
        <w:rPr>
          <w:spacing w:val="-3"/>
          <w:sz w:val="22"/>
          <w:szCs w:val="22"/>
        </w:rPr>
        <w:t>ent A</w:t>
      </w:r>
      <w:r w:rsidRPr="005D2A91">
        <w:rPr>
          <w:spacing w:val="-3"/>
          <w:sz w:val="22"/>
          <w:szCs w:val="22"/>
        </w:rPr>
        <w:t>.</w:t>
      </w:r>
    </w:p>
    <w:p w:rsidR="005B5F19" w:rsidRDefault="005B5F19" w:rsidP="005B5F19">
      <w:pPr>
        <w:suppressAutoHyphens/>
        <w:jc w:val="center"/>
        <w:rPr>
          <w:b/>
          <w:spacing w:val="-3"/>
          <w:sz w:val="22"/>
          <w:szCs w:val="22"/>
          <w:u w:val="single"/>
        </w:rPr>
      </w:pPr>
    </w:p>
    <w:p w:rsidR="000B012B" w:rsidRPr="000B012B" w:rsidRDefault="000B012B" w:rsidP="000B012B">
      <w:pPr>
        <w:suppressAutoHyphens/>
        <w:jc w:val="center"/>
        <w:rPr>
          <w:b/>
          <w:spacing w:val="-3"/>
          <w:sz w:val="22"/>
          <w:szCs w:val="22"/>
          <w:u w:val="single"/>
        </w:rPr>
      </w:pPr>
      <w:r w:rsidRPr="000B012B">
        <w:rPr>
          <w:b/>
          <w:spacing w:val="-3"/>
          <w:sz w:val="22"/>
          <w:szCs w:val="22"/>
          <w:u w:val="single"/>
        </w:rPr>
        <w:t>RATIFY FINAL CARRY</w:t>
      </w:r>
      <w:r>
        <w:rPr>
          <w:b/>
          <w:spacing w:val="-3"/>
          <w:sz w:val="22"/>
          <w:szCs w:val="22"/>
          <w:u w:val="single"/>
        </w:rPr>
        <w:t xml:space="preserve"> </w:t>
      </w:r>
      <w:r w:rsidRPr="000B012B">
        <w:rPr>
          <w:b/>
          <w:spacing w:val="-3"/>
          <w:sz w:val="22"/>
          <w:szCs w:val="22"/>
          <w:u w:val="single"/>
        </w:rPr>
        <w:t>FORWARD CAPITAL PROJECT BUDGETS AND CONTRACTS</w:t>
      </w:r>
    </w:p>
    <w:p w:rsidR="000B012B" w:rsidRDefault="000B012B" w:rsidP="005B5F19">
      <w:pPr>
        <w:suppressAutoHyphens/>
        <w:jc w:val="both"/>
        <w:rPr>
          <w:spacing w:val="-3"/>
          <w:sz w:val="22"/>
          <w:szCs w:val="22"/>
        </w:rPr>
      </w:pPr>
    </w:p>
    <w:p w:rsidR="005B5F19" w:rsidRPr="0039614A" w:rsidRDefault="005B5F19" w:rsidP="005B5F19">
      <w:pPr>
        <w:suppressAutoHyphens/>
        <w:jc w:val="both"/>
        <w:rPr>
          <w:spacing w:val="-3"/>
          <w:sz w:val="22"/>
          <w:szCs w:val="22"/>
        </w:rPr>
      </w:pPr>
      <w:r>
        <w:rPr>
          <w:spacing w:val="-3"/>
          <w:sz w:val="22"/>
          <w:szCs w:val="22"/>
        </w:rPr>
        <w:t xml:space="preserve">On June 20, 2017, a budget adjustment carrying forward </w:t>
      </w:r>
      <w:r w:rsidR="00D4659C">
        <w:rPr>
          <w:spacing w:val="-3"/>
          <w:sz w:val="22"/>
          <w:szCs w:val="22"/>
        </w:rPr>
        <w:t xml:space="preserve">preliminary </w:t>
      </w:r>
      <w:r>
        <w:rPr>
          <w:spacing w:val="-3"/>
          <w:sz w:val="22"/>
          <w:szCs w:val="22"/>
        </w:rPr>
        <w:t>remaining balances of capital project budgets and contracts associated with the projects was approved.  These estimates were provided to</w:t>
      </w:r>
      <w:r w:rsidR="00D4659C">
        <w:rPr>
          <w:spacing w:val="-3"/>
          <w:sz w:val="22"/>
          <w:szCs w:val="22"/>
        </w:rPr>
        <w:t xml:space="preserve"> the Board to</w:t>
      </w:r>
      <w:r>
        <w:rPr>
          <w:spacing w:val="-3"/>
          <w:sz w:val="22"/>
          <w:szCs w:val="22"/>
        </w:rPr>
        <w:t xml:space="preserve"> ensure the projects could continue into the new fiscal year without delay</w:t>
      </w:r>
      <w:r w:rsidR="00B636DD">
        <w:rPr>
          <w:spacing w:val="-3"/>
          <w:sz w:val="22"/>
          <w:szCs w:val="22"/>
        </w:rPr>
        <w:t xml:space="preserve"> from budgetary restraints</w:t>
      </w:r>
      <w:r>
        <w:rPr>
          <w:spacing w:val="-3"/>
          <w:sz w:val="22"/>
          <w:szCs w:val="22"/>
        </w:rPr>
        <w:t xml:space="preserve">.  Attachment B provides updated </w:t>
      </w:r>
      <w:r w:rsidR="000B012B">
        <w:rPr>
          <w:spacing w:val="-3"/>
          <w:sz w:val="22"/>
          <w:szCs w:val="22"/>
        </w:rPr>
        <w:t xml:space="preserve">projects and </w:t>
      </w:r>
      <w:r w:rsidR="00D4659C">
        <w:rPr>
          <w:spacing w:val="-3"/>
          <w:sz w:val="22"/>
          <w:szCs w:val="22"/>
        </w:rPr>
        <w:t xml:space="preserve">remaining budgets required </w:t>
      </w:r>
      <w:r>
        <w:rPr>
          <w:spacing w:val="-3"/>
          <w:sz w:val="22"/>
          <w:szCs w:val="22"/>
        </w:rPr>
        <w:t xml:space="preserve">to date, </w:t>
      </w:r>
      <w:r w:rsidR="009C422D">
        <w:rPr>
          <w:spacing w:val="-3"/>
          <w:sz w:val="22"/>
          <w:szCs w:val="22"/>
        </w:rPr>
        <w:t>for total carry forward appropriations into fiscal year 2017-2018 of $45,146,025,</w:t>
      </w:r>
      <w:r>
        <w:rPr>
          <w:spacing w:val="-3"/>
          <w:sz w:val="22"/>
          <w:szCs w:val="22"/>
        </w:rPr>
        <w:t xml:space="preserve"> a decrease of approximately</w:t>
      </w:r>
      <w:r w:rsidR="000B012B">
        <w:rPr>
          <w:spacing w:val="-3"/>
          <w:sz w:val="22"/>
          <w:szCs w:val="22"/>
        </w:rPr>
        <w:t xml:space="preserve"> $7.2 million</w:t>
      </w:r>
      <w:r w:rsidR="009C422D">
        <w:rPr>
          <w:spacing w:val="-3"/>
          <w:sz w:val="22"/>
          <w:szCs w:val="22"/>
        </w:rPr>
        <w:t xml:space="preserve"> from the original estimates</w:t>
      </w:r>
      <w:r w:rsidR="000B012B">
        <w:rPr>
          <w:spacing w:val="-3"/>
          <w:sz w:val="22"/>
          <w:szCs w:val="22"/>
        </w:rPr>
        <w:t>.</w:t>
      </w:r>
    </w:p>
    <w:p w:rsidR="00340CFE" w:rsidRPr="000945F9" w:rsidRDefault="00340CFE" w:rsidP="00404D51">
      <w:pPr>
        <w:suppressAutoHyphens/>
        <w:jc w:val="both"/>
        <w:rPr>
          <w:color w:val="000000" w:themeColor="text1"/>
          <w:spacing w:val="-3"/>
          <w:sz w:val="22"/>
          <w:szCs w:val="22"/>
          <w:highlight w:val="lightGray"/>
        </w:rPr>
      </w:pPr>
    </w:p>
    <w:p w:rsidR="0072385F" w:rsidRPr="00023B1C" w:rsidRDefault="0072385F" w:rsidP="00404D51">
      <w:pPr>
        <w:jc w:val="center"/>
        <w:rPr>
          <w:b/>
          <w:spacing w:val="-3"/>
          <w:sz w:val="22"/>
          <w:szCs w:val="22"/>
          <w:u w:val="single"/>
        </w:rPr>
      </w:pPr>
      <w:r w:rsidRPr="00023B1C">
        <w:rPr>
          <w:b/>
          <w:spacing w:val="-3"/>
          <w:sz w:val="22"/>
          <w:szCs w:val="22"/>
          <w:u w:val="single"/>
        </w:rPr>
        <w:t>CONTRACT INCREASES</w:t>
      </w:r>
    </w:p>
    <w:p w:rsidR="0072385F" w:rsidRPr="000945F9" w:rsidRDefault="0072385F" w:rsidP="00404D51">
      <w:pPr>
        <w:suppressAutoHyphens/>
        <w:jc w:val="both"/>
        <w:rPr>
          <w:b/>
          <w:spacing w:val="-3"/>
          <w:sz w:val="22"/>
          <w:szCs w:val="22"/>
          <w:highlight w:val="lightGray"/>
          <w:u w:val="single"/>
        </w:rPr>
      </w:pPr>
    </w:p>
    <w:p w:rsidR="0072385F" w:rsidRDefault="0072385F" w:rsidP="00404D51">
      <w:pPr>
        <w:suppressAutoHyphens/>
        <w:jc w:val="both"/>
        <w:rPr>
          <w:spacing w:val="-3"/>
          <w:sz w:val="22"/>
          <w:szCs w:val="22"/>
        </w:rPr>
      </w:pPr>
      <w:r w:rsidRPr="00867638">
        <w:rPr>
          <w:spacing w:val="-3"/>
          <w:sz w:val="22"/>
          <w:szCs w:val="22"/>
        </w:rPr>
        <w:t>Increase the following contract</w:t>
      </w:r>
      <w:r w:rsidR="006D101D" w:rsidRPr="00867638">
        <w:rPr>
          <w:spacing w:val="-3"/>
          <w:sz w:val="22"/>
          <w:szCs w:val="22"/>
        </w:rPr>
        <w:t>s</w:t>
      </w:r>
      <w:r w:rsidRPr="00867638">
        <w:rPr>
          <w:spacing w:val="-3"/>
          <w:sz w:val="22"/>
          <w:szCs w:val="22"/>
        </w:rPr>
        <w:t xml:space="preserve"> to </w:t>
      </w:r>
      <w:r w:rsidR="006D101D" w:rsidRPr="00867638">
        <w:rPr>
          <w:spacing w:val="-3"/>
          <w:sz w:val="22"/>
          <w:szCs w:val="22"/>
        </w:rPr>
        <w:t>pay for services received</w:t>
      </w:r>
      <w:r w:rsidRPr="00867638">
        <w:rPr>
          <w:spacing w:val="-3"/>
          <w:sz w:val="22"/>
          <w:szCs w:val="22"/>
        </w:rPr>
        <w:t xml:space="preserve"> as </w:t>
      </w:r>
      <w:r w:rsidR="00867638" w:rsidRPr="00867638">
        <w:rPr>
          <w:spacing w:val="-3"/>
          <w:sz w:val="22"/>
          <w:szCs w:val="22"/>
        </w:rPr>
        <w:t>of June 30, 2017</w:t>
      </w:r>
      <w:r w:rsidRPr="00867638">
        <w:rPr>
          <w:spacing w:val="-3"/>
          <w:sz w:val="22"/>
          <w:szCs w:val="22"/>
        </w:rPr>
        <w:t xml:space="preserve">: </w:t>
      </w:r>
    </w:p>
    <w:p w:rsidR="000B6AC0" w:rsidRPr="00867638" w:rsidRDefault="000B6AC0" w:rsidP="00404D51">
      <w:pPr>
        <w:suppressAutoHyphens/>
        <w:jc w:val="both"/>
        <w:rPr>
          <w:spacing w:val="-3"/>
          <w:sz w:val="22"/>
          <w:szCs w:val="22"/>
          <w:u w:val="single"/>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1260"/>
        <w:gridCol w:w="1350"/>
        <w:gridCol w:w="1260"/>
        <w:gridCol w:w="3420"/>
      </w:tblGrid>
      <w:tr w:rsidR="00E97641" w:rsidRPr="00867638" w:rsidTr="00B636DD">
        <w:trPr>
          <w:trHeight w:val="512"/>
        </w:trPr>
        <w:tc>
          <w:tcPr>
            <w:tcW w:w="2340" w:type="dxa"/>
            <w:vAlign w:val="bottom"/>
          </w:tcPr>
          <w:p w:rsidR="00E97641" w:rsidRPr="00867638" w:rsidRDefault="00E97641" w:rsidP="00B636DD">
            <w:pPr>
              <w:tabs>
                <w:tab w:val="center" w:pos="2160"/>
                <w:tab w:val="left" w:pos="3600"/>
              </w:tabs>
              <w:suppressAutoHyphens/>
              <w:jc w:val="center"/>
              <w:rPr>
                <w:b/>
                <w:spacing w:val="-3"/>
                <w:sz w:val="22"/>
                <w:szCs w:val="22"/>
              </w:rPr>
            </w:pPr>
            <w:r w:rsidRPr="00867638">
              <w:rPr>
                <w:b/>
                <w:spacing w:val="-3"/>
                <w:sz w:val="22"/>
                <w:szCs w:val="22"/>
              </w:rPr>
              <w:t>Vendor Name</w:t>
            </w:r>
          </w:p>
        </w:tc>
        <w:tc>
          <w:tcPr>
            <w:tcW w:w="1260" w:type="dxa"/>
            <w:vAlign w:val="bottom"/>
          </w:tcPr>
          <w:p w:rsidR="00E97641" w:rsidRPr="00867638" w:rsidRDefault="00E97641" w:rsidP="00B636DD">
            <w:pPr>
              <w:tabs>
                <w:tab w:val="center" w:pos="2160"/>
                <w:tab w:val="left" w:pos="3600"/>
              </w:tabs>
              <w:suppressAutoHyphens/>
              <w:jc w:val="center"/>
              <w:rPr>
                <w:b/>
                <w:spacing w:val="-3"/>
                <w:sz w:val="22"/>
                <w:szCs w:val="22"/>
              </w:rPr>
            </w:pPr>
            <w:r w:rsidRPr="00867638">
              <w:rPr>
                <w:b/>
                <w:spacing w:val="-3"/>
                <w:sz w:val="22"/>
                <w:szCs w:val="22"/>
              </w:rPr>
              <w:t>Contract #</w:t>
            </w:r>
          </w:p>
        </w:tc>
        <w:tc>
          <w:tcPr>
            <w:tcW w:w="1260" w:type="dxa"/>
            <w:vAlign w:val="bottom"/>
          </w:tcPr>
          <w:p w:rsidR="00E97641" w:rsidRPr="00867638" w:rsidRDefault="00E97641" w:rsidP="00B636DD">
            <w:pPr>
              <w:tabs>
                <w:tab w:val="center" w:pos="2160"/>
                <w:tab w:val="left" w:pos="3600"/>
              </w:tabs>
              <w:suppressAutoHyphens/>
              <w:jc w:val="center"/>
              <w:rPr>
                <w:b/>
                <w:spacing w:val="-3"/>
                <w:sz w:val="22"/>
                <w:szCs w:val="22"/>
              </w:rPr>
            </w:pPr>
            <w:r w:rsidRPr="00867638">
              <w:rPr>
                <w:b/>
                <w:spacing w:val="-3"/>
                <w:sz w:val="22"/>
                <w:szCs w:val="22"/>
              </w:rPr>
              <w:t>Current Contract Amount</w:t>
            </w:r>
          </w:p>
        </w:tc>
        <w:tc>
          <w:tcPr>
            <w:tcW w:w="1350" w:type="dxa"/>
            <w:vAlign w:val="bottom"/>
          </w:tcPr>
          <w:p w:rsidR="00E97641" w:rsidRPr="00867638" w:rsidRDefault="00E97641" w:rsidP="00B636DD">
            <w:pPr>
              <w:tabs>
                <w:tab w:val="center" w:pos="2160"/>
                <w:tab w:val="left" w:pos="3600"/>
              </w:tabs>
              <w:suppressAutoHyphens/>
              <w:jc w:val="center"/>
              <w:rPr>
                <w:b/>
                <w:spacing w:val="-3"/>
                <w:sz w:val="22"/>
                <w:szCs w:val="22"/>
              </w:rPr>
            </w:pPr>
            <w:r w:rsidRPr="00867638">
              <w:rPr>
                <w:b/>
                <w:spacing w:val="-3"/>
                <w:sz w:val="22"/>
                <w:szCs w:val="22"/>
              </w:rPr>
              <w:t>Increase Requested</w:t>
            </w:r>
          </w:p>
        </w:tc>
        <w:tc>
          <w:tcPr>
            <w:tcW w:w="1260" w:type="dxa"/>
            <w:vAlign w:val="bottom"/>
          </w:tcPr>
          <w:p w:rsidR="00E97641" w:rsidRPr="00867638" w:rsidRDefault="00E97641" w:rsidP="00B636DD">
            <w:pPr>
              <w:tabs>
                <w:tab w:val="center" w:pos="2160"/>
                <w:tab w:val="left" w:pos="3600"/>
              </w:tabs>
              <w:suppressAutoHyphens/>
              <w:jc w:val="center"/>
              <w:rPr>
                <w:b/>
                <w:spacing w:val="-3"/>
                <w:sz w:val="22"/>
                <w:szCs w:val="22"/>
              </w:rPr>
            </w:pPr>
            <w:r w:rsidRPr="00867638">
              <w:rPr>
                <w:b/>
                <w:spacing w:val="-3"/>
                <w:sz w:val="22"/>
                <w:szCs w:val="22"/>
              </w:rPr>
              <w:t>Increased Contract Amount</w:t>
            </w:r>
          </w:p>
        </w:tc>
        <w:tc>
          <w:tcPr>
            <w:tcW w:w="3420" w:type="dxa"/>
            <w:vAlign w:val="bottom"/>
          </w:tcPr>
          <w:p w:rsidR="00E97641" w:rsidRPr="00867638" w:rsidRDefault="00E97641" w:rsidP="00B636DD">
            <w:pPr>
              <w:tabs>
                <w:tab w:val="center" w:pos="2160"/>
                <w:tab w:val="left" w:pos="3600"/>
              </w:tabs>
              <w:suppressAutoHyphens/>
              <w:jc w:val="center"/>
              <w:rPr>
                <w:b/>
                <w:spacing w:val="-3"/>
                <w:sz w:val="22"/>
                <w:szCs w:val="22"/>
              </w:rPr>
            </w:pPr>
            <w:r w:rsidRPr="00867638">
              <w:rPr>
                <w:b/>
                <w:spacing w:val="-3"/>
                <w:sz w:val="22"/>
                <w:szCs w:val="22"/>
              </w:rPr>
              <w:t>Reason for Increase</w:t>
            </w:r>
          </w:p>
        </w:tc>
      </w:tr>
      <w:tr w:rsidR="00B60453" w:rsidRPr="000945F9" w:rsidTr="00B636DD">
        <w:trPr>
          <w:trHeight w:val="503"/>
        </w:trPr>
        <w:tc>
          <w:tcPr>
            <w:tcW w:w="2340" w:type="dxa"/>
            <w:vAlign w:val="bottom"/>
          </w:tcPr>
          <w:p w:rsidR="00B60453" w:rsidRPr="00867638" w:rsidRDefault="00867638" w:rsidP="00404D51">
            <w:pPr>
              <w:tabs>
                <w:tab w:val="center" w:pos="2160"/>
                <w:tab w:val="left" w:pos="3600"/>
              </w:tabs>
              <w:suppressAutoHyphens/>
              <w:jc w:val="both"/>
              <w:rPr>
                <w:spacing w:val="-3"/>
                <w:sz w:val="22"/>
                <w:szCs w:val="22"/>
              </w:rPr>
            </w:pPr>
            <w:r w:rsidRPr="00867638">
              <w:rPr>
                <w:spacing w:val="-3"/>
                <w:sz w:val="22"/>
                <w:szCs w:val="22"/>
              </w:rPr>
              <w:t xml:space="preserve">Goldfarb &amp; </w:t>
            </w:r>
            <w:proofErr w:type="spellStart"/>
            <w:r w:rsidRPr="00867638">
              <w:rPr>
                <w:spacing w:val="-3"/>
                <w:sz w:val="22"/>
                <w:szCs w:val="22"/>
              </w:rPr>
              <w:t>Lipman</w:t>
            </w:r>
            <w:proofErr w:type="spellEnd"/>
          </w:p>
        </w:tc>
        <w:tc>
          <w:tcPr>
            <w:tcW w:w="1260" w:type="dxa"/>
            <w:vAlign w:val="bottom"/>
          </w:tcPr>
          <w:p w:rsidR="00B60453" w:rsidRPr="00867638" w:rsidRDefault="00867638" w:rsidP="0039614A">
            <w:pPr>
              <w:tabs>
                <w:tab w:val="center" w:pos="2160"/>
                <w:tab w:val="left" w:pos="3600"/>
              </w:tabs>
              <w:suppressAutoHyphens/>
              <w:jc w:val="both"/>
              <w:rPr>
                <w:spacing w:val="-3"/>
                <w:sz w:val="22"/>
                <w:szCs w:val="22"/>
              </w:rPr>
            </w:pPr>
            <w:r w:rsidRPr="00867638">
              <w:rPr>
                <w:spacing w:val="-3"/>
                <w:sz w:val="22"/>
                <w:szCs w:val="22"/>
              </w:rPr>
              <w:t>170438</w:t>
            </w:r>
          </w:p>
        </w:tc>
        <w:tc>
          <w:tcPr>
            <w:tcW w:w="1260" w:type="dxa"/>
            <w:vAlign w:val="bottom"/>
          </w:tcPr>
          <w:p w:rsidR="00B60453" w:rsidRPr="00867638" w:rsidRDefault="001F2228" w:rsidP="000B012B">
            <w:pPr>
              <w:tabs>
                <w:tab w:val="center" w:pos="2160"/>
                <w:tab w:val="left" w:pos="3600"/>
              </w:tabs>
              <w:suppressAutoHyphens/>
              <w:jc w:val="right"/>
              <w:rPr>
                <w:spacing w:val="-3"/>
                <w:sz w:val="22"/>
                <w:szCs w:val="22"/>
              </w:rPr>
            </w:pPr>
            <w:r>
              <w:rPr>
                <w:spacing w:val="-3"/>
                <w:sz w:val="22"/>
                <w:szCs w:val="22"/>
              </w:rPr>
              <w:t>$</w:t>
            </w:r>
            <w:r w:rsidR="00867638" w:rsidRPr="00867638">
              <w:rPr>
                <w:spacing w:val="-3"/>
                <w:sz w:val="22"/>
                <w:szCs w:val="22"/>
              </w:rPr>
              <w:t>100,000</w:t>
            </w:r>
          </w:p>
        </w:tc>
        <w:tc>
          <w:tcPr>
            <w:tcW w:w="1350" w:type="dxa"/>
            <w:vAlign w:val="bottom"/>
          </w:tcPr>
          <w:p w:rsidR="00B60453" w:rsidRPr="00867638" w:rsidRDefault="001F2228" w:rsidP="000B012B">
            <w:pPr>
              <w:tabs>
                <w:tab w:val="center" w:pos="2160"/>
                <w:tab w:val="left" w:pos="3600"/>
              </w:tabs>
              <w:suppressAutoHyphens/>
              <w:jc w:val="right"/>
              <w:rPr>
                <w:spacing w:val="-3"/>
                <w:sz w:val="22"/>
                <w:szCs w:val="22"/>
              </w:rPr>
            </w:pPr>
            <w:r>
              <w:rPr>
                <w:spacing w:val="-3"/>
                <w:sz w:val="22"/>
                <w:szCs w:val="22"/>
              </w:rPr>
              <w:t>$</w:t>
            </w:r>
            <w:r w:rsidR="00867638" w:rsidRPr="00867638">
              <w:rPr>
                <w:spacing w:val="-3"/>
                <w:sz w:val="22"/>
                <w:szCs w:val="22"/>
              </w:rPr>
              <w:t>10,000</w:t>
            </w:r>
          </w:p>
        </w:tc>
        <w:tc>
          <w:tcPr>
            <w:tcW w:w="1260" w:type="dxa"/>
            <w:vAlign w:val="bottom"/>
          </w:tcPr>
          <w:p w:rsidR="00B60453" w:rsidRPr="00867638" w:rsidRDefault="001F2228" w:rsidP="000B012B">
            <w:pPr>
              <w:tabs>
                <w:tab w:val="center" w:pos="2160"/>
                <w:tab w:val="left" w:pos="3600"/>
              </w:tabs>
              <w:suppressAutoHyphens/>
              <w:jc w:val="right"/>
              <w:rPr>
                <w:spacing w:val="-3"/>
                <w:sz w:val="22"/>
                <w:szCs w:val="22"/>
              </w:rPr>
            </w:pPr>
            <w:r>
              <w:rPr>
                <w:spacing w:val="-3"/>
                <w:sz w:val="22"/>
                <w:szCs w:val="22"/>
              </w:rPr>
              <w:t>$</w:t>
            </w:r>
            <w:r w:rsidR="00867638" w:rsidRPr="00867638">
              <w:rPr>
                <w:spacing w:val="-3"/>
                <w:sz w:val="22"/>
                <w:szCs w:val="22"/>
              </w:rPr>
              <w:t>110,000</w:t>
            </w:r>
          </w:p>
        </w:tc>
        <w:tc>
          <w:tcPr>
            <w:tcW w:w="3420" w:type="dxa"/>
            <w:vAlign w:val="bottom"/>
          </w:tcPr>
          <w:p w:rsidR="00B60453" w:rsidRPr="00867638" w:rsidRDefault="00867638" w:rsidP="00E41725">
            <w:pPr>
              <w:tabs>
                <w:tab w:val="center" w:pos="2160"/>
                <w:tab w:val="left" w:pos="3600"/>
              </w:tabs>
              <w:suppressAutoHyphens/>
              <w:rPr>
                <w:spacing w:val="-3"/>
                <w:sz w:val="22"/>
                <w:szCs w:val="22"/>
              </w:rPr>
            </w:pPr>
            <w:r w:rsidRPr="00867638">
              <w:rPr>
                <w:spacing w:val="-3"/>
                <w:sz w:val="22"/>
                <w:szCs w:val="22"/>
              </w:rPr>
              <w:t xml:space="preserve">Increased requests for funding for Affordable Housing Projects resulted </w:t>
            </w:r>
            <w:r w:rsidR="00E41725">
              <w:rPr>
                <w:spacing w:val="-3"/>
                <w:sz w:val="22"/>
                <w:szCs w:val="22"/>
              </w:rPr>
              <w:t xml:space="preserve">in hours of service provided above the </w:t>
            </w:r>
            <w:r w:rsidRPr="00867638">
              <w:rPr>
                <w:spacing w:val="-3"/>
                <w:sz w:val="22"/>
                <w:szCs w:val="22"/>
              </w:rPr>
              <w:t>maximum</w:t>
            </w:r>
            <w:r w:rsidR="00E41725">
              <w:rPr>
                <w:spacing w:val="-3"/>
                <w:sz w:val="22"/>
                <w:szCs w:val="22"/>
              </w:rPr>
              <w:t xml:space="preserve"> contracted</w:t>
            </w:r>
            <w:r w:rsidRPr="00867638">
              <w:rPr>
                <w:spacing w:val="-3"/>
                <w:sz w:val="22"/>
                <w:szCs w:val="22"/>
              </w:rPr>
              <w:t xml:space="preserve"> amount.</w:t>
            </w:r>
          </w:p>
        </w:tc>
      </w:tr>
      <w:tr w:rsidR="0039614A" w:rsidRPr="000945F9" w:rsidTr="00B636DD">
        <w:trPr>
          <w:trHeight w:val="503"/>
        </w:trPr>
        <w:tc>
          <w:tcPr>
            <w:tcW w:w="2340" w:type="dxa"/>
            <w:vAlign w:val="bottom"/>
          </w:tcPr>
          <w:p w:rsidR="0039614A" w:rsidRPr="00867638" w:rsidRDefault="0039614A" w:rsidP="00404D51">
            <w:pPr>
              <w:tabs>
                <w:tab w:val="center" w:pos="2160"/>
                <w:tab w:val="left" w:pos="3600"/>
              </w:tabs>
              <w:suppressAutoHyphens/>
              <w:jc w:val="both"/>
              <w:rPr>
                <w:spacing w:val="-3"/>
                <w:sz w:val="22"/>
                <w:szCs w:val="22"/>
              </w:rPr>
            </w:pPr>
            <w:r>
              <w:rPr>
                <w:spacing w:val="-3"/>
                <w:sz w:val="22"/>
                <w:szCs w:val="22"/>
              </w:rPr>
              <w:t>Visit Napa Valley</w:t>
            </w:r>
            <w:r w:rsidR="00EB3F7A">
              <w:rPr>
                <w:spacing w:val="-3"/>
                <w:sz w:val="22"/>
                <w:szCs w:val="22"/>
              </w:rPr>
              <w:t>, Inc.</w:t>
            </w:r>
          </w:p>
        </w:tc>
        <w:tc>
          <w:tcPr>
            <w:tcW w:w="1260" w:type="dxa"/>
            <w:vAlign w:val="bottom"/>
          </w:tcPr>
          <w:p w:rsidR="0039614A" w:rsidRPr="00867638" w:rsidRDefault="00EB3F7A" w:rsidP="00867638">
            <w:pPr>
              <w:tabs>
                <w:tab w:val="center" w:pos="2160"/>
                <w:tab w:val="left" w:pos="3600"/>
              </w:tabs>
              <w:suppressAutoHyphens/>
              <w:jc w:val="both"/>
              <w:rPr>
                <w:spacing w:val="-3"/>
                <w:sz w:val="22"/>
                <w:szCs w:val="22"/>
              </w:rPr>
            </w:pPr>
            <w:r>
              <w:rPr>
                <w:spacing w:val="-3"/>
                <w:sz w:val="22"/>
                <w:szCs w:val="22"/>
              </w:rPr>
              <w:t>170218</w:t>
            </w:r>
          </w:p>
        </w:tc>
        <w:tc>
          <w:tcPr>
            <w:tcW w:w="1260" w:type="dxa"/>
            <w:vAlign w:val="bottom"/>
          </w:tcPr>
          <w:p w:rsidR="0039614A" w:rsidRDefault="000B012B" w:rsidP="000B012B">
            <w:pPr>
              <w:tabs>
                <w:tab w:val="center" w:pos="2160"/>
                <w:tab w:val="left" w:pos="3600"/>
              </w:tabs>
              <w:suppressAutoHyphens/>
              <w:jc w:val="right"/>
              <w:rPr>
                <w:spacing w:val="-3"/>
                <w:sz w:val="22"/>
                <w:szCs w:val="22"/>
              </w:rPr>
            </w:pPr>
            <w:r>
              <w:rPr>
                <w:spacing w:val="-3"/>
                <w:sz w:val="22"/>
                <w:szCs w:val="22"/>
              </w:rPr>
              <w:t>$5,988,000</w:t>
            </w:r>
          </w:p>
        </w:tc>
        <w:tc>
          <w:tcPr>
            <w:tcW w:w="1350" w:type="dxa"/>
            <w:vAlign w:val="bottom"/>
          </w:tcPr>
          <w:p w:rsidR="0039614A" w:rsidRDefault="00EB3F7A" w:rsidP="000B012B">
            <w:pPr>
              <w:tabs>
                <w:tab w:val="center" w:pos="2160"/>
                <w:tab w:val="left" w:pos="3600"/>
              </w:tabs>
              <w:suppressAutoHyphens/>
              <w:jc w:val="right"/>
              <w:rPr>
                <w:spacing w:val="-3"/>
                <w:sz w:val="22"/>
                <w:szCs w:val="22"/>
              </w:rPr>
            </w:pPr>
            <w:r>
              <w:rPr>
                <w:spacing w:val="-3"/>
                <w:sz w:val="22"/>
                <w:szCs w:val="22"/>
              </w:rPr>
              <w:t>$850,000</w:t>
            </w:r>
          </w:p>
        </w:tc>
        <w:tc>
          <w:tcPr>
            <w:tcW w:w="1260" w:type="dxa"/>
            <w:vAlign w:val="bottom"/>
          </w:tcPr>
          <w:p w:rsidR="0039614A" w:rsidRDefault="00EB3F7A" w:rsidP="000B012B">
            <w:pPr>
              <w:tabs>
                <w:tab w:val="center" w:pos="2160"/>
                <w:tab w:val="left" w:pos="3600"/>
              </w:tabs>
              <w:suppressAutoHyphens/>
              <w:jc w:val="right"/>
              <w:rPr>
                <w:spacing w:val="-3"/>
                <w:sz w:val="22"/>
                <w:szCs w:val="22"/>
              </w:rPr>
            </w:pPr>
            <w:r>
              <w:rPr>
                <w:spacing w:val="-3"/>
                <w:sz w:val="22"/>
                <w:szCs w:val="22"/>
              </w:rPr>
              <w:t>$6,838,00</w:t>
            </w:r>
            <w:r w:rsidR="000B6AC0">
              <w:rPr>
                <w:spacing w:val="-3"/>
                <w:sz w:val="22"/>
                <w:szCs w:val="22"/>
              </w:rPr>
              <w:t>0</w:t>
            </w:r>
          </w:p>
        </w:tc>
        <w:tc>
          <w:tcPr>
            <w:tcW w:w="3420" w:type="dxa"/>
            <w:vAlign w:val="bottom"/>
          </w:tcPr>
          <w:p w:rsidR="0039614A" w:rsidRPr="00867638" w:rsidRDefault="000B012B" w:rsidP="00E41725">
            <w:pPr>
              <w:tabs>
                <w:tab w:val="center" w:pos="2160"/>
                <w:tab w:val="left" w:pos="3600"/>
              </w:tabs>
              <w:suppressAutoHyphens/>
              <w:rPr>
                <w:spacing w:val="-3"/>
                <w:sz w:val="22"/>
                <w:szCs w:val="22"/>
              </w:rPr>
            </w:pPr>
            <w:r>
              <w:rPr>
                <w:spacing w:val="-3"/>
                <w:sz w:val="22"/>
                <w:szCs w:val="22"/>
              </w:rPr>
              <w:t xml:space="preserve">TID </w:t>
            </w:r>
            <w:r w:rsidR="00EB3F7A">
              <w:rPr>
                <w:spacing w:val="-3"/>
                <w:sz w:val="22"/>
                <w:szCs w:val="22"/>
              </w:rPr>
              <w:t>assessment c</w:t>
            </w:r>
            <w:r>
              <w:rPr>
                <w:spacing w:val="-3"/>
                <w:sz w:val="22"/>
                <w:szCs w:val="22"/>
              </w:rPr>
              <w:t>ollections higher than anticipated</w:t>
            </w:r>
          </w:p>
        </w:tc>
      </w:tr>
    </w:tbl>
    <w:p w:rsidR="00196745" w:rsidRPr="00023B1C" w:rsidRDefault="000B012B" w:rsidP="00EB3F7A">
      <w:pPr>
        <w:jc w:val="center"/>
        <w:rPr>
          <w:b/>
          <w:spacing w:val="-3"/>
          <w:sz w:val="22"/>
          <w:szCs w:val="22"/>
          <w:u w:val="single"/>
        </w:rPr>
      </w:pPr>
      <w:r>
        <w:rPr>
          <w:b/>
          <w:spacing w:val="-3"/>
          <w:sz w:val="22"/>
          <w:szCs w:val="22"/>
          <w:u w:val="single"/>
        </w:rPr>
        <w:br w:type="page"/>
      </w:r>
      <w:r w:rsidR="00196745" w:rsidRPr="00023B1C">
        <w:rPr>
          <w:b/>
          <w:spacing w:val="-3"/>
          <w:sz w:val="22"/>
          <w:szCs w:val="22"/>
          <w:u w:val="single"/>
        </w:rPr>
        <w:lastRenderedPageBreak/>
        <w:t>CASH SHORTAGES</w:t>
      </w:r>
    </w:p>
    <w:p w:rsidR="00196745" w:rsidRPr="000945F9" w:rsidRDefault="00196745" w:rsidP="00404D51">
      <w:pPr>
        <w:suppressAutoHyphens/>
        <w:jc w:val="both"/>
        <w:rPr>
          <w:spacing w:val="-3"/>
          <w:sz w:val="22"/>
          <w:szCs w:val="22"/>
          <w:highlight w:val="lightGray"/>
          <w:u w:val="single"/>
        </w:rPr>
      </w:pPr>
    </w:p>
    <w:p w:rsidR="00196745" w:rsidRPr="002D5D2F" w:rsidRDefault="00196745" w:rsidP="00404D51">
      <w:pPr>
        <w:suppressAutoHyphens/>
        <w:jc w:val="both"/>
        <w:rPr>
          <w:spacing w:val="-3"/>
          <w:sz w:val="22"/>
          <w:szCs w:val="22"/>
        </w:rPr>
      </w:pPr>
      <w:r w:rsidRPr="002D5D2F">
        <w:rPr>
          <w:spacing w:val="-3"/>
          <w:sz w:val="22"/>
          <w:szCs w:val="22"/>
        </w:rPr>
        <w:t>Report cash shortages and record the related expenditures.</w:t>
      </w:r>
      <w:r w:rsidR="006A6943">
        <w:rPr>
          <w:spacing w:val="-3"/>
          <w:sz w:val="22"/>
          <w:szCs w:val="22"/>
        </w:rPr>
        <w:t xml:space="preserve">  </w:t>
      </w:r>
      <w:r w:rsidRPr="002D5D2F">
        <w:rPr>
          <w:spacing w:val="-3"/>
          <w:sz w:val="22"/>
          <w:szCs w:val="22"/>
        </w:rPr>
        <w:t xml:space="preserve">On September 17, 2002, the Board of Supervisors authorized the Auditor-Controller to </w:t>
      </w:r>
      <w:r w:rsidR="00D4659C">
        <w:rPr>
          <w:spacing w:val="-3"/>
          <w:sz w:val="22"/>
          <w:szCs w:val="22"/>
        </w:rPr>
        <w:t>address</w:t>
      </w:r>
      <w:r w:rsidRPr="002D5D2F">
        <w:rPr>
          <w:spacing w:val="-3"/>
          <w:sz w:val="22"/>
          <w:szCs w:val="22"/>
        </w:rPr>
        <w:t xml:space="preserve"> all cash shortages of $500 or less.  This same Board action requires the Auditor-Controller to advise the Board of Supervisors in writing and give an accounting of such sho</w:t>
      </w:r>
      <w:r w:rsidR="00176336" w:rsidRPr="002D5D2F">
        <w:rPr>
          <w:spacing w:val="-3"/>
          <w:sz w:val="22"/>
          <w:szCs w:val="22"/>
        </w:rPr>
        <w:t>rtages.  During fiscal year 201</w:t>
      </w:r>
      <w:r w:rsidR="002D5D2F" w:rsidRPr="002D5D2F">
        <w:rPr>
          <w:spacing w:val="-3"/>
          <w:sz w:val="22"/>
          <w:szCs w:val="22"/>
        </w:rPr>
        <w:t>6</w:t>
      </w:r>
      <w:r w:rsidR="000E1F1D" w:rsidRPr="002D5D2F">
        <w:rPr>
          <w:spacing w:val="-3"/>
          <w:sz w:val="22"/>
          <w:szCs w:val="22"/>
        </w:rPr>
        <w:t>-201</w:t>
      </w:r>
      <w:r w:rsidR="002D5D2F" w:rsidRPr="002D5D2F">
        <w:rPr>
          <w:spacing w:val="-3"/>
          <w:sz w:val="22"/>
          <w:szCs w:val="22"/>
        </w:rPr>
        <w:t>7</w:t>
      </w:r>
      <w:r w:rsidRPr="002D5D2F">
        <w:rPr>
          <w:spacing w:val="-3"/>
          <w:sz w:val="22"/>
          <w:szCs w:val="22"/>
        </w:rPr>
        <w:t>, the following shortages</w:t>
      </w:r>
      <w:r w:rsidR="00086D41" w:rsidRPr="002D5D2F">
        <w:rPr>
          <w:spacing w:val="-3"/>
          <w:sz w:val="22"/>
          <w:szCs w:val="22"/>
        </w:rPr>
        <w:t>, totaling $</w:t>
      </w:r>
      <w:r w:rsidR="002D5D2F" w:rsidRPr="002D5D2F">
        <w:rPr>
          <w:spacing w:val="-3"/>
          <w:sz w:val="22"/>
          <w:szCs w:val="22"/>
        </w:rPr>
        <w:t>293.34</w:t>
      </w:r>
      <w:r w:rsidR="00086D41" w:rsidRPr="002D5D2F">
        <w:rPr>
          <w:spacing w:val="-3"/>
          <w:sz w:val="22"/>
          <w:szCs w:val="22"/>
        </w:rPr>
        <w:t>,</w:t>
      </w:r>
      <w:r w:rsidRPr="002D5D2F">
        <w:rPr>
          <w:spacing w:val="-3"/>
          <w:sz w:val="22"/>
          <w:szCs w:val="22"/>
        </w:rPr>
        <w:t xml:space="preserve"> were acknowledged and</w:t>
      </w:r>
      <w:r w:rsidR="00086D41" w:rsidRPr="002D5D2F">
        <w:rPr>
          <w:spacing w:val="-3"/>
          <w:sz w:val="22"/>
          <w:szCs w:val="22"/>
        </w:rPr>
        <w:t xml:space="preserve"> booked to the departments as</w:t>
      </w:r>
      <w:r w:rsidRPr="002D5D2F">
        <w:rPr>
          <w:spacing w:val="-3"/>
          <w:sz w:val="22"/>
          <w:szCs w:val="22"/>
        </w:rPr>
        <w:t xml:space="preserve"> expense item</w:t>
      </w:r>
      <w:r w:rsidR="00086D41" w:rsidRPr="002D5D2F">
        <w:rPr>
          <w:spacing w:val="-3"/>
          <w:sz w:val="22"/>
          <w:szCs w:val="22"/>
        </w:rPr>
        <w:t>s</w:t>
      </w:r>
      <w:r w:rsidRPr="002D5D2F">
        <w:rPr>
          <w:spacing w:val="-3"/>
          <w:sz w:val="22"/>
          <w:szCs w:val="22"/>
        </w:rPr>
        <w:t>:</w:t>
      </w:r>
    </w:p>
    <w:p w:rsidR="00196745" w:rsidRPr="002D5D2F" w:rsidRDefault="00196745" w:rsidP="00404D51">
      <w:pPr>
        <w:suppressAutoHyphens/>
        <w:jc w:val="both"/>
        <w:rPr>
          <w:spacing w:val="-3"/>
          <w:sz w:val="22"/>
          <w:szCs w:val="22"/>
        </w:rPr>
      </w:pPr>
    </w:p>
    <w:p w:rsidR="004E6B2F" w:rsidRPr="002D5D2F" w:rsidRDefault="004E6B2F" w:rsidP="00404D51">
      <w:pPr>
        <w:numPr>
          <w:ilvl w:val="0"/>
          <w:numId w:val="2"/>
        </w:numPr>
        <w:suppressAutoHyphens/>
        <w:jc w:val="both"/>
        <w:rPr>
          <w:spacing w:val="-3"/>
          <w:sz w:val="22"/>
          <w:szCs w:val="22"/>
        </w:rPr>
      </w:pPr>
      <w:r w:rsidRPr="002D5D2F">
        <w:rPr>
          <w:spacing w:val="-3"/>
          <w:sz w:val="22"/>
          <w:szCs w:val="22"/>
        </w:rPr>
        <w:t xml:space="preserve">Library - </w:t>
      </w:r>
      <w:r w:rsidR="002D5D2F" w:rsidRPr="002D5D2F">
        <w:rPr>
          <w:spacing w:val="-3"/>
          <w:sz w:val="22"/>
          <w:szCs w:val="22"/>
        </w:rPr>
        <w:t>short collections of $14.01.</w:t>
      </w:r>
      <w:r w:rsidR="00404D51" w:rsidRPr="002D5D2F">
        <w:rPr>
          <w:spacing w:val="-3"/>
          <w:sz w:val="22"/>
          <w:szCs w:val="22"/>
        </w:rPr>
        <w:t xml:space="preserve"> </w:t>
      </w:r>
    </w:p>
    <w:p w:rsidR="00196745" w:rsidRPr="002D5D2F" w:rsidRDefault="00196745" w:rsidP="00404D51">
      <w:pPr>
        <w:numPr>
          <w:ilvl w:val="0"/>
          <w:numId w:val="2"/>
        </w:numPr>
        <w:suppressAutoHyphens/>
        <w:jc w:val="both"/>
        <w:rPr>
          <w:spacing w:val="-3"/>
          <w:sz w:val="22"/>
          <w:szCs w:val="22"/>
        </w:rPr>
      </w:pPr>
      <w:r w:rsidRPr="002D5D2F">
        <w:rPr>
          <w:spacing w:val="-3"/>
          <w:sz w:val="22"/>
          <w:szCs w:val="22"/>
        </w:rPr>
        <w:t>Corrections</w:t>
      </w:r>
      <w:r w:rsidR="00176336" w:rsidRPr="002D5D2F">
        <w:rPr>
          <w:spacing w:val="-3"/>
          <w:sz w:val="22"/>
          <w:szCs w:val="22"/>
        </w:rPr>
        <w:t xml:space="preserve"> </w:t>
      </w:r>
      <w:r w:rsidR="004E6B2F" w:rsidRPr="002D5D2F">
        <w:rPr>
          <w:spacing w:val="-3"/>
          <w:sz w:val="22"/>
          <w:szCs w:val="22"/>
        </w:rPr>
        <w:t>–</w:t>
      </w:r>
      <w:r w:rsidRPr="002D5D2F">
        <w:rPr>
          <w:spacing w:val="-3"/>
          <w:sz w:val="22"/>
          <w:szCs w:val="22"/>
        </w:rPr>
        <w:t xml:space="preserve"> </w:t>
      </w:r>
      <w:r w:rsidR="004E6B2F" w:rsidRPr="002D5D2F">
        <w:rPr>
          <w:spacing w:val="-3"/>
          <w:sz w:val="22"/>
          <w:szCs w:val="22"/>
        </w:rPr>
        <w:t xml:space="preserve">short </w:t>
      </w:r>
      <w:r w:rsidR="00176336" w:rsidRPr="002D5D2F">
        <w:rPr>
          <w:spacing w:val="-3"/>
          <w:sz w:val="22"/>
          <w:szCs w:val="22"/>
        </w:rPr>
        <w:t>collection of $</w:t>
      </w:r>
      <w:r w:rsidR="002D5D2F" w:rsidRPr="002D5D2F">
        <w:rPr>
          <w:spacing w:val="-3"/>
          <w:sz w:val="22"/>
          <w:szCs w:val="22"/>
        </w:rPr>
        <w:t>54.19</w:t>
      </w:r>
      <w:r w:rsidR="00176336" w:rsidRPr="002D5D2F">
        <w:rPr>
          <w:spacing w:val="-3"/>
          <w:sz w:val="22"/>
          <w:szCs w:val="22"/>
        </w:rPr>
        <w:t>.</w:t>
      </w:r>
    </w:p>
    <w:p w:rsidR="004E6B2F" w:rsidRDefault="002D5D2F" w:rsidP="00404D51">
      <w:pPr>
        <w:numPr>
          <w:ilvl w:val="0"/>
          <w:numId w:val="2"/>
        </w:numPr>
        <w:suppressAutoHyphens/>
        <w:jc w:val="both"/>
        <w:rPr>
          <w:spacing w:val="-3"/>
          <w:sz w:val="22"/>
          <w:szCs w:val="22"/>
        </w:rPr>
      </w:pPr>
      <w:r w:rsidRPr="002D5D2F">
        <w:rPr>
          <w:spacing w:val="-3"/>
          <w:sz w:val="22"/>
          <w:szCs w:val="22"/>
        </w:rPr>
        <w:t>Treasurer-Tax Collector</w:t>
      </w:r>
      <w:r w:rsidR="004E6B2F" w:rsidRPr="002D5D2F">
        <w:rPr>
          <w:spacing w:val="-3"/>
          <w:sz w:val="22"/>
          <w:szCs w:val="22"/>
        </w:rPr>
        <w:t xml:space="preserve"> – short collection of $</w:t>
      </w:r>
      <w:r w:rsidRPr="002D5D2F">
        <w:rPr>
          <w:spacing w:val="-3"/>
          <w:sz w:val="22"/>
          <w:szCs w:val="22"/>
        </w:rPr>
        <w:t>225.14</w:t>
      </w:r>
      <w:r w:rsidR="004E6B2F" w:rsidRPr="002D5D2F">
        <w:rPr>
          <w:spacing w:val="-3"/>
          <w:sz w:val="22"/>
          <w:szCs w:val="22"/>
        </w:rPr>
        <w:t>.</w:t>
      </w:r>
    </w:p>
    <w:p w:rsidR="00E41725" w:rsidRPr="002D5D2F" w:rsidRDefault="00E41725" w:rsidP="00E41725">
      <w:pPr>
        <w:suppressAutoHyphens/>
        <w:ind w:left="720"/>
        <w:jc w:val="both"/>
        <w:rPr>
          <w:spacing w:val="-3"/>
          <w:sz w:val="22"/>
          <w:szCs w:val="22"/>
        </w:rPr>
      </w:pPr>
      <w:r>
        <w:rPr>
          <w:spacing w:val="-3"/>
          <w:sz w:val="22"/>
          <w:szCs w:val="22"/>
        </w:rPr>
        <w:t>(</w:t>
      </w:r>
      <w:proofErr w:type="gramStart"/>
      <w:r w:rsidR="00626E86">
        <w:rPr>
          <w:spacing w:val="-3"/>
          <w:sz w:val="22"/>
          <w:szCs w:val="22"/>
        </w:rPr>
        <w:t>due</w:t>
      </w:r>
      <w:proofErr w:type="gramEnd"/>
      <w:r w:rsidR="00626E86">
        <w:rPr>
          <w:spacing w:val="-3"/>
          <w:sz w:val="22"/>
          <w:szCs w:val="22"/>
        </w:rPr>
        <w:t xml:space="preserve"> to</w:t>
      </w:r>
      <w:r>
        <w:rPr>
          <w:spacing w:val="-3"/>
          <w:sz w:val="22"/>
          <w:szCs w:val="22"/>
        </w:rPr>
        <w:t xml:space="preserve"> two counterfeit $100 bills and one counterfeit $20 bill, for a net drawer shortage of $5.14)</w:t>
      </w:r>
    </w:p>
    <w:p w:rsidR="00746A5B" w:rsidRPr="000945F9" w:rsidRDefault="00746A5B" w:rsidP="00404D51">
      <w:pPr>
        <w:suppressAutoHyphens/>
        <w:ind w:left="360"/>
        <w:jc w:val="both"/>
        <w:rPr>
          <w:b/>
          <w:spacing w:val="-3"/>
          <w:sz w:val="22"/>
          <w:szCs w:val="22"/>
          <w:highlight w:val="lightGray"/>
          <w:u w:val="single"/>
        </w:rPr>
      </w:pPr>
    </w:p>
    <w:p w:rsidR="00793816" w:rsidRPr="000945F9" w:rsidRDefault="00793816" w:rsidP="00404D51">
      <w:pPr>
        <w:suppressAutoHyphens/>
        <w:ind w:left="360"/>
        <w:jc w:val="both"/>
        <w:rPr>
          <w:b/>
          <w:spacing w:val="-3"/>
          <w:sz w:val="22"/>
          <w:szCs w:val="22"/>
          <w:highlight w:val="lightGray"/>
          <w:u w:val="single"/>
        </w:rPr>
      </w:pPr>
    </w:p>
    <w:p w:rsidR="00196745" w:rsidRPr="00420E3F" w:rsidRDefault="00196745" w:rsidP="00404D51">
      <w:pPr>
        <w:suppressAutoHyphens/>
        <w:ind w:left="360"/>
        <w:jc w:val="center"/>
        <w:rPr>
          <w:b/>
          <w:spacing w:val="-3"/>
          <w:sz w:val="22"/>
          <w:szCs w:val="22"/>
          <w:u w:val="single"/>
        </w:rPr>
      </w:pPr>
      <w:r w:rsidRPr="00420E3F">
        <w:rPr>
          <w:b/>
          <w:spacing w:val="-3"/>
          <w:sz w:val="22"/>
          <w:szCs w:val="22"/>
          <w:u w:val="single"/>
        </w:rPr>
        <w:t>ADDITIONAL APPROVAL REQUEST</w:t>
      </w:r>
    </w:p>
    <w:p w:rsidR="00196745" w:rsidRPr="00420E3F" w:rsidRDefault="00196745" w:rsidP="00404D51">
      <w:pPr>
        <w:suppressAutoHyphens/>
        <w:ind w:left="360"/>
        <w:jc w:val="both"/>
        <w:rPr>
          <w:b/>
          <w:spacing w:val="-3"/>
          <w:sz w:val="22"/>
          <w:szCs w:val="22"/>
        </w:rPr>
      </w:pPr>
    </w:p>
    <w:p w:rsidR="00B86FB4" w:rsidRPr="00420E3F" w:rsidRDefault="00196745" w:rsidP="00404D51">
      <w:pPr>
        <w:suppressAutoHyphens/>
        <w:jc w:val="both"/>
        <w:rPr>
          <w:spacing w:val="-3"/>
          <w:sz w:val="22"/>
          <w:szCs w:val="22"/>
        </w:rPr>
      </w:pPr>
      <w:r w:rsidRPr="00420E3F">
        <w:rPr>
          <w:spacing w:val="-3"/>
          <w:sz w:val="22"/>
          <w:szCs w:val="22"/>
        </w:rPr>
        <w:t>Record other accounting and budgetary entries as needed to balance and close</w:t>
      </w:r>
      <w:r w:rsidR="00535731">
        <w:rPr>
          <w:spacing w:val="-3"/>
          <w:sz w:val="22"/>
          <w:szCs w:val="22"/>
        </w:rPr>
        <w:t xml:space="preserve"> </w:t>
      </w:r>
      <w:r w:rsidRPr="00420E3F">
        <w:rPr>
          <w:spacing w:val="-3"/>
          <w:sz w:val="22"/>
          <w:szCs w:val="22"/>
        </w:rPr>
        <w:t xml:space="preserve">the </w:t>
      </w:r>
      <w:r w:rsidR="00FD67B4" w:rsidRPr="00420E3F">
        <w:rPr>
          <w:spacing w:val="-3"/>
          <w:sz w:val="22"/>
          <w:szCs w:val="22"/>
        </w:rPr>
        <w:t>201</w:t>
      </w:r>
      <w:r w:rsidR="00420E3F" w:rsidRPr="00420E3F">
        <w:rPr>
          <w:spacing w:val="-3"/>
          <w:sz w:val="22"/>
          <w:szCs w:val="22"/>
        </w:rPr>
        <w:t>6</w:t>
      </w:r>
      <w:r w:rsidR="00FD67B4" w:rsidRPr="00420E3F">
        <w:rPr>
          <w:spacing w:val="-3"/>
          <w:sz w:val="22"/>
          <w:szCs w:val="22"/>
        </w:rPr>
        <w:t>-201</w:t>
      </w:r>
      <w:r w:rsidR="00420E3F" w:rsidRPr="00420E3F">
        <w:rPr>
          <w:spacing w:val="-3"/>
          <w:sz w:val="22"/>
          <w:szCs w:val="22"/>
        </w:rPr>
        <w:t>7</w:t>
      </w:r>
      <w:r w:rsidRPr="00420E3F">
        <w:rPr>
          <w:spacing w:val="-3"/>
          <w:sz w:val="22"/>
          <w:szCs w:val="22"/>
        </w:rPr>
        <w:t xml:space="preserve"> fiscal year for all funds controlled by the Board of Supervisors.  This authorization will ensure the financial records of the County are recorded in accordance with Generally Accepted Accounting Principles (GAAP), following all Governmental Accounting Standards Board (GASB) procedures.</w:t>
      </w:r>
    </w:p>
    <w:p w:rsidR="00B86FB4" w:rsidRPr="000945F9" w:rsidRDefault="00B86FB4" w:rsidP="00404D51">
      <w:pPr>
        <w:suppressAutoHyphens/>
        <w:jc w:val="both"/>
        <w:rPr>
          <w:b/>
          <w:spacing w:val="-3"/>
          <w:sz w:val="22"/>
          <w:szCs w:val="22"/>
          <w:highlight w:val="lightGray"/>
          <w:u w:val="single"/>
        </w:rPr>
      </w:pPr>
    </w:p>
    <w:p w:rsidR="00404D51" w:rsidRPr="000945F9" w:rsidRDefault="00404D51" w:rsidP="00404D51">
      <w:pPr>
        <w:suppressAutoHyphens/>
        <w:jc w:val="both"/>
        <w:rPr>
          <w:b/>
          <w:spacing w:val="-3"/>
          <w:sz w:val="22"/>
          <w:szCs w:val="22"/>
          <w:highlight w:val="lightGray"/>
          <w:u w:val="single"/>
        </w:rPr>
      </w:pPr>
    </w:p>
    <w:p w:rsidR="00275311" w:rsidRPr="00D16997" w:rsidRDefault="006946DA" w:rsidP="00404D51">
      <w:pPr>
        <w:suppressAutoHyphens/>
        <w:jc w:val="center"/>
        <w:rPr>
          <w:b/>
          <w:spacing w:val="-3"/>
          <w:sz w:val="22"/>
          <w:szCs w:val="22"/>
          <w:u w:val="single"/>
        </w:rPr>
      </w:pPr>
      <w:r w:rsidRPr="00D16997">
        <w:rPr>
          <w:b/>
          <w:spacing w:val="-3"/>
          <w:sz w:val="22"/>
          <w:szCs w:val="22"/>
          <w:u w:val="single"/>
        </w:rPr>
        <w:t>EXCESS</w:t>
      </w:r>
      <w:r w:rsidR="00275311" w:rsidRPr="00D16997">
        <w:rPr>
          <w:b/>
          <w:spacing w:val="-3"/>
          <w:sz w:val="22"/>
          <w:szCs w:val="22"/>
          <w:u w:val="single"/>
        </w:rPr>
        <w:t xml:space="preserve"> ERAF (</w:t>
      </w:r>
      <w:r w:rsidR="00196745" w:rsidRPr="00D16997">
        <w:rPr>
          <w:b/>
          <w:spacing w:val="-3"/>
          <w:sz w:val="22"/>
          <w:szCs w:val="22"/>
          <w:u w:val="single"/>
        </w:rPr>
        <w:t>Informational Item</w:t>
      </w:r>
      <w:r w:rsidR="00275311" w:rsidRPr="00D16997">
        <w:rPr>
          <w:b/>
          <w:spacing w:val="-3"/>
          <w:sz w:val="22"/>
          <w:szCs w:val="22"/>
          <w:u w:val="single"/>
        </w:rPr>
        <w:t>)</w:t>
      </w:r>
    </w:p>
    <w:p w:rsidR="00275311" w:rsidRPr="00D16997" w:rsidRDefault="00275311" w:rsidP="00404D51">
      <w:pPr>
        <w:suppressAutoHyphens/>
        <w:jc w:val="both"/>
        <w:rPr>
          <w:spacing w:val="-3"/>
          <w:sz w:val="22"/>
          <w:szCs w:val="22"/>
        </w:rPr>
      </w:pPr>
    </w:p>
    <w:p w:rsidR="00557EB4" w:rsidRPr="00D16997" w:rsidRDefault="00275311" w:rsidP="00404D51">
      <w:pPr>
        <w:suppressAutoHyphens/>
        <w:jc w:val="both"/>
        <w:rPr>
          <w:sz w:val="22"/>
          <w:szCs w:val="22"/>
        </w:rPr>
      </w:pPr>
      <w:r w:rsidRPr="00D16997">
        <w:rPr>
          <w:sz w:val="22"/>
          <w:szCs w:val="22"/>
        </w:rPr>
        <w:t xml:space="preserve">We have now completed all allocations to ERAF for fiscal year </w:t>
      </w:r>
      <w:r w:rsidR="0016025F" w:rsidRPr="00D16997">
        <w:rPr>
          <w:sz w:val="22"/>
          <w:szCs w:val="22"/>
        </w:rPr>
        <w:t>2016</w:t>
      </w:r>
      <w:r w:rsidR="00192762" w:rsidRPr="00D16997">
        <w:rPr>
          <w:sz w:val="22"/>
          <w:szCs w:val="22"/>
        </w:rPr>
        <w:t>-</w:t>
      </w:r>
      <w:r w:rsidR="00535E18" w:rsidRPr="00D16997">
        <w:rPr>
          <w:sz w:val="22"/>
          <w:szCs w:val="22"/>
        </w:rPr>
        <w:t>20</w:t>
      </w:r>
      <w:r w:rsidR="0016025F" w:rsidRPr="00D16997">
        <w:rPr>
          <w:sz w:val="22"/>
          <w:szCs w:val="22"/>
        </w:rPr>
        <w:t>17</w:t>
      </w:r>
      <w:r w:rsidRPr="00D16997">
        <w:rPr>
          <w:sz w:val="22"/>
          <w:szCs w:val="22"/>
        </w:rPr>
        <w:t xml:space="preserve"> as required by State Revenue &amp; Taxation Code (R&amp;T) 97.  Following the allocations, we calculated the ERAF distributions using State apportionment factors and information provided by the State Department of Education and the California Community College Chancellor’s Office.  The calculation resulted in an excess amount in ERAF above the amounts required </w:t>
      </w:r>
      <w:r w:rsidR="00416E91" w:rsidRPr="00D16997">
        <w:rPr>
          <w:sz w:val="22"/>
          <w:szCs w:val="22"/>
        </w:rPr>
        <w:t>to fully fund</w:t>
      </w:r>
      <w:r w:rsidRPr="00D16997">
        <w:rPr>
          <w:sz w:val="22"/>
          <w:szCs w:val="22"/>
        </w:rPr>
        <w:t xml:space="preserve"> </w:t>
      </w:r>
      <w:r w:rsidR="00755E32" w:rsidRPr="00D16997">
        <w:rPr>
          <w:sz w:val="22"/>
          <w:szCs w:val="22"/>
        </w:rPr>
        <w:t xml:space="preserve">all public </w:t>
      </w:r>
      <w:r w:rsidRPr="00D16997">
        <w:rPr>
          <w:sz w:val="22"/>
          <w:szCs w:val="22"/>
        </w:rPr>
        <w:t>schools</w:t>
      </w:r>
      <w:r w:rsidR="00755E32" w:rsidRPr="00D16997">
        <w:rPr>
          <w:sz w:val="22"/>
          <w:szCs w:val="22"/>
        </w:rPr>
        <w:t xml:space="preserve"> within the county</w:t>
      </w:r>
      <w:r w:rsidRPr="00D16997">
        <w:rPr>
          <w:sz w:val="22"/>
          <w:szCs w:val="22"/>
        </w:rPr>
        <w:t>.  R&amp;T 97.70(f</w:t>
      </w:r>
      <w:proofErr w:type="gramStart"/>
      <w:r w:rsidRPr="00D16997">
        <w:rPr>
          <w:sz w:val="22"/>
          <w:szCs w:val="22"/>
        </w:rPr>
        <w:t>)(</w:t>
      </w:r>
      <w:proofErr w:type="gramEnd"/>
      <w:r w:rsidRPr="00D16997">
        <w:rPr>
          <w:sz w:val="22"/>
          <w:szCs w:val="22"/>
        </w:rPr>
        <w:t xml:space="preserve">1) has a provision to ‘hold the entities harmless’ for excess funds that would otherwise have been allocated.  This provision </w:t>
      </w:r>
      <w:r w:rsidR="00196745" w:rsidRPr="00D16997">
        <w:rPr>
          <w:sz w:val="22"/>
          <w:szCs w:val="22"/>
        </w:rPr>
        <w:t xml:space="preserve">requires </w:t>
      </w:r>
      <w:r w:rsidRPr="00D16997">
        <w:rPr>
          <w:sz w:val="22"/>
          <w:szCs w:val="22"/>
        </w:rPr>
        <w:t xml:space="preserve">Napa County to return </w:t>
      </w:r>
      <w:r w:rsidR="00196745" w:rsidRPr="00D16997">
        <w:rPr>
          <w:sz w:val="22"/>
          <w:szCs w:val="22"/>
        </w:rPr>
        <w:t xml:space="preserve">excess ERAF </w:t>
      </w:r>
      <w:r w:rsidRPr="00D16997">
        <w:rPr>
          <w:sz w:val="22"/>
          <w:szCs w:val="22"/>
        </w:rPr>
        <w:t xml:space="preserve">funds to the entities that are required to </w:t>
      </w:r>
      <w:r w:rsidR="005D2759" w:rsidRPr="00D16997">
        <w:rPr>
          <w:sz w:val="22"/>
          <w:szCs w:val="22"/>
        </w:rPr>
        <w:t>shift property tax funds to</w:t>
      </w:r>
      <w:r w:rsidRPr="00D16997">
        <w:rPr>
          <w:sz w:val="22"/>
          <w:szCs w:val="22"/>
        </w:rPr>
        <w:t xml:space="preserve"> ERAF.  Certain informat</w:t>
      </w:r>
      <w:r w:rsidR="0030186E" w:rsidRPr="00D16997">
        <w:rPr>
          <w:sz w:val="22"/>
          <w:szCs w:val="22"/>
        </w:rPr>
        <w:t>ion used in the calculation of e</w:t>
      </w:r>
      <w:r w:rsidRPr="00D16997">
        <w:rPr>
          <w:sz w:val="22"/>
          <w:szCs w:val="22"/>
        </w:rPr>
        <w:t>xcess ERAF for fiscal year 20</w:t>
      </w:r>
      <w:r w:rsidR="0016025F" w:rsidRPr="00D16997">
        <w:rPr>
          <w:sz w:val="22"/>
          <w:szCs w:val="22"/>
        </w:rPr>
        <w:t>16</w:t>
      </w:r>
      <w:r w:rsidRPr="00D16997">
        <w:rPr>
          <w:sz w:val="22"/>
          <w:szCs w:val="22"/>
        </w:rPr>
        <w:t>-</w:t>
      </w:r>
      <w:r w:rsidR="00535E18" w:rsidRPr="00D16997">
        <w:rPr>
          <w:sz w:val="22"/>
          <w:szCs w:val="22"/>
        </w:rPr>
        <w:t>20</w:t>
      </w:r>
      <w:r w:rsidRPr="00D16997">
        <w:rPr>
          <w:sz w:val="22"/>
          <w:szCs w:val="22"/>
        </w:rPr>
        <w:t>1</w:t>
      </w:r>
      <w:r w:rsidR="0016025F" w:rsidRPr="00D16997">
        <w:rPr>
          <w:sz w:val="22"/>
          <w:szCs w:val="22"/>
        </w:rPr>
        <w:t>7</w:t>
      </w:r>
      <w:r w:rsidRPr="00D16997">
        <w:rPr>
          <w:sz w:val="22"/>
          <w:szCs w:val="22"/>
        </w:rPr>
        <w:t xml:space="preserve"> will not become final until the end of fiscal year 201</w:t>
      </w:r>
      <w:r w:rsidR="007F3472" w:rsidRPr="00D16997">
        <w:rPr>
          <w:sz w:val="22"/>
          <w:szCs w:val="22"/>
        </w:rPr>
        <w:t>7</w:t>
      </w:r>
      <w:r w:rsidRPr="00D16997">
        <w:rPr>
          <w:sz w:val="22"/>
          <w:szCs w:val="22"/>
        </w:rPr>
        <w:t>-</w:t>
      </w:r>
      <w:r w:rsidR="00535E18" w:rsidRPr="00D16997">
        <w:rPr>
          <w:sz w:val="22"/>
          <w:szCs w:val="22"/>
        </w:rPr>
        <w:t>20</w:t>
      </w:r>
      <w:r w:rsidRPr="00D16997">
        <w:rPr>
          <w:sz w:val="22"/>
          <w:szCs w:val="22"/>
        </w:rPr>
        <w:t>1</w:t>
      </w:r>
      <w:r w:rsidR="007F3472" w:rsidRPr="00D16997">
        <w:rPr>
          <w:sz w:val="22"/>
          <w:szCs w:val="22"/>
        </w:rPr>
        <w:t>8</w:t>
      </w:r>
      <w:r w:rsidRPr="00D16997">
        <w:rPr>
          <w:sz w:val="22"/>
          <w:szCs w:val="22"/>
        </w:rPr>
        <w:t xml:space="preserve">.  </w:t>
      </w:r>
      <w:r w:rsidR="0016025F" w:rsidRPr="00D16997">
        <w:rPr>
          <w:sz w:val="22"/>
          <w:szCs w:val="22"/>
        </w:rPr>
        <w:t>Additionally, the 2016</w:t>
      </w:r>
      <w:r w:rsidR="00755E32" w:rsidRPr="00D16997">
        <w:rPr>
          <w:sz w:val="22"/>
          <w:szCs w:val="22"/>
        </w:rPr>
        <w:t>-</w:t>
      </w:r>
      <w:r w:rsidR="00535E18" w:rsidRPr="00D16997">
        <w:rPr>
          <w:sz w:val="22"/>
          <w:szCs w:val="22"/>
        </w:rPr>
        <w:t>20</w:t>
      </w:r>
      <w:r w:rsidR="0016025F" w:rsidRPr="00D16997">
        <w:rPr>
          <w:sz w:val="22"/>
          <w:szCs w:val="22"/>
        </w:rPr>
        <w:t>17</w:t>
      </w:r>
      <w:r w:rsidR="00755E32" w:rsidRPr="00D16997">
        <w:rPr>
          <w:sz w:val="22"/>
          <w:szCs w:val="22"/>
        </w:rPr>
        <w:t xml:space="preserve"> excess ERAF calculation is subject to change due to potential legislative changes dealing with distributions made from the former redevelopment agency.  </w:t>
      </w:r>
      <w:r w:rsidRPr="00D16997">
        <w:rPr>
          <w:sz w:val="22"/>
          <w:szCs w:val="22"/>
        </w:rPr>
        <w:t>In order to insulate future fiscal years from the ef</w:t>
      </w:r>
      <w:r w:rsidR="00B36BD4" w:rsidRPr="00D16997">
        <w:rPr>
          <w:sz w:val="22"/>
          <w:szCs w:val="22"/>
        </w:rPr>
        <w:t xml:space="preserve">fect of potential changes, a </w:t>
      </w:r>
      <w:r w:rsidRPr="00D16997">
        <w:rPr>
          <w:sz w:val="22"/>
          <w:szCs w:val="22"/>
        </w:rPr>
        <w:t>reserve has been created within the ERAF fund which will be released in fiscal year 201</w:t>
      </w:r>
      <w:r w:rsidR="00D16997" w:rsidRPr="00D16997">
        <w:rPr>
          <w:sz w:val="22"/>
          <w:szCs w:val="22"/>
        </w:rPr>
        <w:t>9</w:t>
      </w:r>
      <w:r w:rsidRPr="00D16997">
        <w:rPr>
          <w:sz w:val="22"/>
          <w:szCs w:val="22"/>
        </w:rPr>
        <w:t>-</w:t>
      </w:r>
      <w:r w:rsidR="00535E18" w:rsidRPr="00D16997">
        <w:rPr>
          <w:sz w:val="22"/>
          <w:szCs w:val="22"/>
        </w:rPr>
        <w:t>20</w:t>
      </w:r>
      <w:r w:rsidR="00D16997" w:rsidRPr="00D16997">
        <w:rPr>
          <w:sz w:val="22"/>
          <w:szCs w:val="22"/>
        </w:rPr>
        <w:t>20</w:t>
      </w:r>
      <w:r w:rsidRPr="00D16997">
        <w:rPr>
          <w:sz w:val="22"/>
          <w:szCs w:val="22"/>
        </w:rPr>
        <w:t>.</w:t>
      </w:r>
    </w:p>
    <w:p w:rsidR="00557EB4" w:rsidRPr="00D16997" w:rsidRDefault="00557EB4" w:rsidP="00404D51">
      <w:pPr>
        <w:suppressAutoHyphens/>
        <w:jc w:val="both"/>
        <w:rPr>
          <w:sz w:val="22"/>
          <w:szCs w:val="22"/>
        </w:rPr>
      </w:pPr>
    </w:p>
    <w:p w:rsidR="00591459" w:rsidRPr="00D16997" w:rsidRDefault="00894BD1" w:rsidP="00404D51">
      <w:pPr>
        <w:suppressAutoHyphens/>
        <w:jc w:val="both"/>
        <w:rPr>
          <w:sz w:val="22"/>
          <w:szCs w:val="22"/>
        </w:rPr>
      </w:pPr>
      <w:r w:rsidRPr="00D16997">
        <w:rPr>
          <w:sz w:val="22"/>
          <w:szCs w:val="22"/>
        </w:rPr>
        <w:t>Beginning in fiscal year 2013-2014, the State revised the school funding formula by instituting the Local Control Funding Formula (LCFF).  The LCFF repl</w:t>
      </w:r>
      <w:r w:rsidR="00037666" w:rsidRPr="00D16997">
        <w:rPr>
          <w:sz w:val="22"/>
          <w:szCs w:val="22"/>
        </w:rPr>
        <w:t>aced</w:t>
      </w:r>
      <w:r w:rsidRPr="00D16997">
        <w:rPr>
          <w:sz w:val="22"/>
          <w:szCs w:val="22"/>
        </w:rPr>
        <w:t xml:space="preserve"> most categorical funding with the new unduplicated student premiums which provide additional funding for students who </w:t>
      </w:r>
      <w:r w:rsidR="00037666" w:rsidRPr="00D16997">
        <w:rPr>
          <w:sz w:val="22"/>
          <w:szCs w:val="22"/>
        </w:rPr>
        <w:t xml:space="preserve">are considered English learners </w:t>
      </w:r>
      <w:r w:rsidRPr="00D16997">
        <w:rPr>
          <w:sz w:val="22"/>
          <w:szCs w:val="22"/>
        </w:rPr>
        <w:t>and/or participate in the free or reduced meal program</w:t>
      </w:r>
      <w:r w:rsidR="00D16997" w:rsidRPr="00D16997">
        <w:rPr>
          <w:sz w:val="22"/>
          <w:szCs w:val="22"/>
        </w:rPr>
        <w:t>s</w:t>
      </w:r>
      <w:r w:rsidRPr="00D16997">
        <w:rPr>
          <w:sz w:val="22"/>
          <w:szCs w:val="22"/>
        </w:rPr>
        <w:t>.  In addition, the LCFF provides funding escalators which will eliminate the State deficit factor over a number of years.</w:t>
      </w:r>
      <w:r w:rsidR="00051E19" w:rsidRPr="00D16997">
        <w:rPr>
          <w:sz w:val="22"/>
          <w:szCs w:val="22"/>
        </w:rPr>
        <w:t xml:space="preserve">  </w:t>
      </w:r>
    </w:p>
    <w:p w:rsidR="00DA1732" w:rsidRPr="00D16997" w:rsidRDefault="00DA1732" w:rsidP="00404D51">
      <w:pPr>
        <w:suppressAutoHyphens/>
        <w:jc w:val="both"/>
        <w:rPr>
          <w:sz w:val="22"/>
          <w:szCs w:val="22"/>
        </w:rPr>
      </w:pPr>
    </w:p>
    <w:p w:rsidR="00F52B9E" w:rsidRPr="00D16997" w:rsidRDefault="00416E91" w:rsidP="00404D51">
      <w:pPr>
        <w:suppressAutoHyphens/>
        <w:jc w:val="both"/>
        <w:rPr>
          <w:sz w:val="22"/>
          <w:szCs w:val="22"/>
        </w:rPr>
      </w:pPr>
      <w:r w:rsidRPr="00D16997">
        <w:rPr>
          <w:sz w:val="22"/>
          <w:szCs w:val="22"/>
        </w:rPr>
        <w:t>For fiscal year 2016-2017</w:t>
      </w:r>
      <w:r w:rsidR="007D65A3" w:rsidRPr="00D16997">
        <w:rPr>
          <w:sz w:val="22"/>
          <w:szCs w:val="22"/>
        </w:rPr>
        <w:t>, t</w:t>
      </w:r>
      <w:r w:rsidR="00591459" w:rsidRPr="00D16997">
        <w:rPr>
          <w:sz w:val="22"/>
          <w:szCs w:val="22"/>
        </w:rPr>
        <w:t>he funding formula changes</w:t>
      </w:r>
      <w:r w:rsidR="00037666" w:rsidRPr="00D16997">
        <w:rPr>
          <w:sz w:val="22"/>
          <w:szCs w:val="22"/>
        </w:rPr>
        <w:t xml:space="preserve"> related to </w:t>
      </w:r>
      <w:r w:rsidR="00591459" w:rsidRPr="00D16997">
        <w:rPr>
          <w:sz w:val="22"/>
          <w:szCs w:val="22"/>
        </w:rPr>
        <w:t xml:space="preserve">the </w:t>
      </w:r>
      <w:r w:rsidR="00037666" w:rsidRPr="00D16997">
        <w:rPr>
          <w:sz w:val="22"/>
          <w:szCs w:val="22"/>
        </w:rPr>
        <w:t>reduction of the deficit factor</w:t>
      </w:r>
      <w:r w:rsidR="00591459" w:rsidRPr="00D16997">
        <w:rPr>
          <w:sz w:val="22"/>
          <w:szCs w:val="22"/>
        </w:rPr>
        <w:t xml:space="preserve"> increased N</w:t>
      </w:r>
      <w:r w:rsidR="00037666" w:rsidRPr="00D16997">
        <w:rPr>
          <w:sz w:val="22"/>
          <w:szCs w:val="22"/>
        </w:rPr>
        <w:t>apa Valley Unified School District</w:t>
      </w:r>
      <w:r w:rsidR="00591459" w:rsidRPr="00D16997">
        <w:rPr>
          <w:sz w:val="22"/>
          <w:szCs w:val="22"/>
        </w:rPr>
        <w:t>’s ERAF requirement by approximately $</w:t>
      </w:r>
      <w:r w:rsidRPr="00D16997">
        <w:rPr>
          <w:sz w:val="22"/>
          <w:szCs w:val="22"/>
        </w:rPr>
        <w:t>7.8</w:t>
      </w:r>
      <w:r w:rsidR="00591459" w:rsidRPr="00D16997">
        <w:rPr>
          <w:sz w:val="22"/>
          <w:szCs w:val="22"/>
        </w:rPr>
        <w:t xml:space="preserve"> million.  </w:t>
      </w:r>
      <w:r w:rsidR="008E2175" w:rsidRPr="00D16997">
        <w:rPr>
          <w:sz w:val="22"/>
          <w:szCs w:val="22"/>
        </w:rPr>
        <w:t>The ERAF funding requirement</w:t>
      </w:r>
      <w:r w:rsidR="00037666" w:rsidRPr="00D16997">
        <w:rPr>
          <w:sz w:val="22"/>
          <w:szCs w:val="22"/>
        </w:rPr>
        <w:t xml:space="preserve"> for </w:t>
      </w:r>
      <w:r w:rsidR="008E2175" w:rsidRPr="00D16997">
        <w:rPr>
          <w:sz w:val="22"/>
          <w:szCs w:val="22"/>
        </w:rPr>
        <w:t xml:space="preserve">Napa Valley Community College </w:t>
      </w:r>
      <w:r w:rsidR="00D16997" w:rsidRPr="00D16997">
        <w:rPr>
          <w:sz w:val="22"/>
          <w:szCs w:val="22"/>
        </w:rPr>
        <w:t>de</w:t>
      </w:r>
      <w:r w:rsidR="00037666" w:rsidRPr="00D16997">
        <w:rPr>
          <w:sz w:val="22"/>
          <w:szCs w:val="22"/>
        </w:rPr>
        <w:t>creased by approximately $</w:t>
      </w:r>
      <w:r w:rsidR="00D16997" w:rsidRPr="00D16997">
        <w:rPr>
          <w:sz w:val="22"/>
          <w:szCs w:val="22"/>
        </w:rPr>
        <w:t xml:space="preserve">1.2 </w:t>
      </w:r>
      <w:r w:rsidR="00037666" w:rsidRPr="00D16997">
        <w:rPr>
          <w:sz w:val="22"/>
          <w:szCs w:val="22"/>
        </w:rPr>
        <w:t xml:space="preserve">million due to </w:t>
      </w:r>
      <w:proofErr w:type="gramStart"/>
      <w:r w:rsidR="00D16997" w:rsidRPr="00D16997">
        <w:rPr>
          <w:sz w:val="22"/>
          <w:szCs w:val="22"/>
        </w:rPr>
        <w:t>a steady</w:t>
      </w:r>
      <w:proofErr w:type="gramEnd"/>
      <w:r w:rsidR="00D16997" w:rsidRPr="00D16997">
        <w:rPr>
          <w:sz w:val="22"/>
          <w:szCs w:val="22"/>
        </w:rPr>
        <w:t xml:space="preserve"> funding requirement</w:t>
      </w:r>
      <w:r w:rsidR="007F00A0">
        <w:rPr>
          <w:sz w:val="22"/>
          <w:szCs w:val="22"/>
        </w:rPr>
        <w:t>,</w:t>
      </w:r>
      <w:r w:rsidR="008E2175" w:rsidRPr="00D16997">
        <w:rPr>
          <w:sz w:val="22"/>
          <w:szCs w:val="22"/>
        </w:rPr>
        <w:t xml:space="preserve"> increased property tax revenue and increased fees</w:t>
      </w:r>
      <w:r w:rsidR="00037666" w:rsidRPr="00D16997">
        <w:rPr>
          <w:sz w:val="22"/>
          <w:szCs w:val="22"/>
        </w:rPr>
        <w:t xml:space="preserve">.  </w:t>
      </w:r>
      <w:r w:rsidR="00B640A2" w:rsidRPr="00D16997">
        <w:rPr>
          <w:sz w:val="22"/>
          <w:szCs w:val="22"/>
        </w:rPr>
        <w:t>Total property taxes shifted to ERAF increased by approximately $</w:t>
      </w:r>
      <w:r w:rsidR="00D16997" w:rsidRPr="00D16997">
        <w:rPr>
          <w:sz w:val="22"/>
          <w:szCs w:val="22"/>
        </w:rPr>
        <w:t>1.4</w:t>
      </w:r>
      <w:r w:rsidR="00037666" w:rsidRPr="00D16997">
        <w:rPr>
          <w:sz w:val="22"/>
          <w:szCs w:val="22"/>
        </w:rPr>
        <w:t xml:space="preserve"> </w:t>
      </w:r>
      <w:r w:rsidR="007F00A0">
        <w:rPr>
          <w:sz w:val="22"/>
          <w:szCs w:val="22"/>
        </w:rPr>
        <w:t>million, for a total shift of $42.7 million.</w:t>
      </w:r>
    </w:p>
    <w:p w:rsidR="00F52B9E" w:rsidRPr="00D16997" w:rsidRDefault="00F52B9E" w:rsidP="00404D51">
      <w:pPr>
        <w:suppressAutoHyphens/>
        <w:jc w:val="both"/>
        <w:rPr>
          <w:sz w:val="22"/>
          <w:szCs w:val="22"/>
        </w:rPr>
      </w:pPr>
    </w:p>
    <w:p w:rsidR="004F339F" w:rsidRPr="00D16997" w:rsidRDefault="00275311" w:rsidP="00404D51">
      <w:pPr>
        <w:suppressAutoHyphens/>
        <w:jc w:val="both"/>
        <w:rPr>
          <w:sz w:val="22"/>
          <w:szCs w:val="22"/>
        </w:rPr>
      </w:pPr>
      <w:r w:rsidRPr="00D16997">
        <w:rPr>
          <w:sz w:val="22"/>
          <w:szCs w:val="22"/>
        </w:rPr>
        <w:t xml:space="preserve">The </w:t>
      </w:r>
      <w:r w:rsidR="00404D51" w:rsidRPr="00D16997">
        <w:rPr>
          <w:sz w:val="22"/>
          <w:szCs w:val="22"/>
        </w:rPr>
        <w:t>c</w:t>
      </w:r>
      <w:r w:rsidRPr="00D16997">
        <w:rPr>
          <w:sz w:val="22"/>
          <w:szCs w:val="22"/>
        </w:rPr>
        <w:t xml:space="preserve">hart </w:t>
      </w:r>
      <w:r w:rsidR="00404D51" w:rsidRPr="00D16997">
        <w:rPr>
          <w:sz w:val="22"/>
          <w:szCs w:val="22"/>
        </w:rPr>
        <w:t xml:space="preserve">on the following page </w:t>
      </w:r>
      <w:r w:rsidRPr="00D16997">
        <w:rPr>
          <w:sz w:val="22"/>
          <w:szCs w:val="22"/>
        </w:rPr>
        <w:t>shows</w:t>
      </w:r>
      <w:r w:rsidR="00755E32" w:rsidRPr="00D16997">
        <w:rPr>
          <w:sz w:val="22"/>
          <w:szCs w:val="22"/>
        </w:rPr>
        <w:t xml:space="preserve"> the calculated e</w:t>
      </w:r>
      <w:r w:rsidRPr="00D16997">
        <w:rPr>
          <w:sz w:val="22"/>
          <w:szCs w:val="22"/>
        </w:rPr>
        <w:t>xcess ERAF,</w:t>
      </w:r>
      <w:r w:rsidR="00192762" w:rsidRPr="00D16997">
        <w:rPr>
          <w:sz w:val="22"/>
          <w:szCs w:val="22"/>
        </w:rPr>
        <w:t xml:space="preserve"> the amounts distributed as </w:t>
      </w:r>
      <w:r w:rsidRPr="00D16997">
        <w:rPr>
          <w:sz w:val="22"/>
          <w:szCs w:val="22"/>
        </w:rPr>
        <w:t>revenues and the amounts held in reserve</w:t>
      </w:r>
      <w:r w:rsidR="006438AD" w:rsidRPr="00D16997">
        <w:rPr>
          <w:sz w:val="22"/>
          <w:szCs w:val="22"/>
        </w:rPr>
        <w:t xml:space="preserve"> for </w:t>
      </w:r>
      <w:r w:rsidR="0043727D" w:rsidRPr="00D16997">
        <w:rPr>
          <w:sz w:val="22"/>
          <w:szCs w:val="22"/>
        </w:rPr>
        <w:t>future state settlements</w:t>
      </w:r>
      <w:r w:rsidRPr="00D16997">
        <w:rPr>
          <w:sz w:val="22"/>
          <w:szCs w:val="22"/>
        </w:rPr>
        <w:t xml:space="preserve">.  </w:t>
      </w:r>
      <w:bookmarkStart w:id="1" w:name="_MON_1405496085"/>
      <w:bookmarkStart w:id="2" w:name="_MON_1405496136"/>
      <w:bookmarkStart w:id="3" w:name="_MON_1405496195"/>
      <w:bookmarkStart w:id="4" w:name="_MON_1405496232"/>
      <w:bookmarkStart w:id="5" w:name="_MON_1406005872"/>
      <w:bookmarkStart w:id="6" w:name="_MON_1406094091"/>
      <w:bookmarkStart w:id="7" w:name="_MON_1343112310"/>
      <w:bookmarkStart w:id="8" w:name="_MON_1343112711"/>
      <w:bookmarkStart w:id="9" w:name="_MON_1343113613"/>
      <w:bookmarkStart w:id="10" w:name="_MON_1343113865"/>
      <w:bookmarkStart w:id="11" w:name="_MON_1343113889"/>
      <w:bookmarkStart w:id="12" w:name="_MON_1343113925"/>
      <w:bookmarkStart w:id="13" w:name="_MON_1343211179"/>
      <w:bookmarkStart w:id="14" w:name="_MON_1343211194"/>
      <w:bookmarkStart w:id="15" w:name="_MON_1373984665"/>
      <w:bookmarkStart w:id="16" w:name="_MON_1373985541"/>
      <w:bookmarkStart w:id="17" w:name="_MON_1373985590"/>
      <w:bookmarkStart w:id="18" w:name="_MON_1374039716"/>
      <w:bookmarkStart w:id="19" w:name="_MON_1374052165"/>
      <w:bookmarkStart w:id="20" w:name="_MON_1374401657"/>
      <w:bookmarkStart w:id="21" w:name="_MON_1405494178"/>
      <w:bookmarkStart w:id="22" w:name="_MON_14054943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E70CF" w:rsidRDefault="008E70CF" w:rsidP="00404D51">
      <w:pPr>
        <w:suppressAutoHyphens/>
        <w:jc w:val="center"/>
        <w:rPr>
          <w:sz w:val="22"/>
          <w:szCs w:val="22"/>
        </w:rPr>
      </w:pPr>
    </w:p>
    <w:p w:rsidR="008E70CF" w:rsidRDefault="008E70CF" w:rsidP="00404D51">
      <w:pPr>
        <w:suppressAutoHyphens/>
        <w:jc w:val="center"/>
        <w:rPr>
          <w:sz w:val="22"/>
          <w:szCs w:val="22"/>
        </w:rPr>
      </w:pPr>
    </w:p>
    <w:p w:rsidR="008E70CF" w:rsidRDefault="008E70CF" w:rsidP="00404D51">
      <w:pPr>
        <w:suppressAutoHyphens/>
        <w:jc w:val="center"/>
        <w:rPr>
          <w:sz w:val="22"/>
          <w:szCs w:val="22"/>
        </w:rPr>
      </w:pPr>
    </w:p>
    <w:p w:rsidR="000B6AC0" w:rsidRDefault="000B6AC0" w:rsidP="00404D51">
      <w:pPr>
        <w:suppressAutoHyphens/>
        <w:jc w:val="center"/>
        <w:rPr>
          <w:sz w:val="22"/>
          <w:szCs w:val="22"/>
        </w:rPr>
      </w:pPr>
    </w:p>
    <w:p w:rsidR="008E70CF" w:rsidRDefault="00063440" w:rsidP="00404D51">
      <w:pPr>
        <w:suppressAutoHyphens/>
        <w:jc w:val="center"/>
        <w:rPr>
          <w:sz w:val="22"/>
          <w:szCs w:val="22"/>
        </w:rPr>
      </w:pPr>
      <w:r>
        <w:rPr>
          <w:noProof/>
          <w:sz w:val="22"/>
          <w:szCs w:val="22"/>
        </w:rPr>
        <w:pict w14:anchorId="5E999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3pt;margin-top:2.2pt;width:417.05pt;height:333.8pt;z-index:251658240">
            <v:imagedata r:id="rId9" o:title=""/>
          </v:shape>
          <o:OLEObject Type="Embed" ProgID="Excel.Sheet.12" ShapeID="_x0000_s1027" DrawAspect="Content" ObjectID="_1563781727" r:id="rId10"/>
        </w:pict>
      </w:r>
    </w:p>
    <w:p w:rsidR="008E70CF" w:rsidRDefault="008E70CF" w:rsidP="00404D51">
      <w:pPr>
        <w:suppressAutoHyphens/>
        <w:jc w:val="center"/>
        <w:rPr>
          <w:sz w:val="22"/>
          <w:szCs w:val="22"/>
        </w:rPr>
      </w:pPr>
    </w:p>
    <w:p w:rsidR="003D1727" w:rsidRDefault="003D1727" w:rsidP="00404D51">
      <w:pPr>
        <w:suppressAutoHyphens/>
        <w:jc w:val="center"/>
        <w:rPr>
          <w:sz w:val="22"/>
          <w:szCs w:val="22"/>
          <w:highlight w:val="lightGray"/>
        </w:rPr>
      </w:pPr>
    </w:p>
    <w:p w:rsidR="008E70CF" w:rsidRDefault="008E70CF" w:rsidP="00404D51">
      <w:pPr>
        <w:suppressAutoHyphens/>
        <w:jc w:val="center"/>
        <w:rPr>
          <w:sz w:val="22"/>
          <w:szCs w:val="22"/>
          <w:highlight w:val="lightGray"/>
        </w:rPr>
      </w:pPr>
    </w:p>
    <w:p w:rsidR="00023B1C" w:rsidRPr="000945F9" w:rsidRDefault="00023B1C" w:rsidP="00404D51">
      <w:pPr>
        <w:suppressAutoHyphens/>
        <w:jc w:val="center"/>
        <w:rPr>
          <w:sz w:val="22"/>
          <w:szCs w:val="22"/>
          <w:highlight w:val="lightGray"/>
        </w:rPr>
      </w:pPr>
    </w:p>
    <w:p w:rsidR="004F339F" w:rsidRPr="000945F9" w:rsidRDefault="004F339F" w:rsidP="00404D51">
      <w:pPr>
        <w:jc w:val="both"/>
        <w:rPr>
          <w:spacing w:val="-3"/>
          <w:sz w:val="22"/>
          <w:szCs w:val="22"/>
          <w:highlight w:val="lightGray"/>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70CF" w:rsidRDefault="008E70CF" w:rsidP="00404D51">
      <w:pPr>
        <w:suppressAutoHyphens/>
        <w:jc w:val="center"/>
        <w:rPr>
          <w:b/>
          <w:spacing w:val="-3"/>
          <w:sz w:val="22"/>
          <w:szCs w:val="22"/>
          <w:u w:val="single"/>
        </w:rPr>
      </w:pPr>
    </w:p>
    <w:p w:rsidR="008E2175" w:rsidRPr="00023B1C" w:rsidRDefault="008E2175" w:rsidP="00404D51">
      <w:pPr>
        <w:suppressAutoHyphens/>
        <w:jc w:val="center"/>
        <w:rPr>
          <w:b/>
          <w:spacing w:val="-3"/>
          <w:sz w:val="22"/>
          <w:szCs w:val="22"/>
          <w:u w:val="single"/>
        </w:rPr>
      </w:pPr>
      <w:r w:rsidRPr="00023B1C">
        <w:rPr>
          <w:b/>
          <w:spacing w:val="-3"/>
          <w:sz w:val="22"/>
          <w:szCs w:val="22"/>
          <w:u w:val="single"/>
        </w:rPr>
        <w:t>PERS PREPAYMENT</w:t>
      </w:r>
      <w:r w:rsidR="00A54210" w:rsidRPr="00023B1C">
        <w:rPr>
          <w:b/>
          <w:spacing w:val="-3"/>
          <w:sz w:val="22"/>
          <w:szCs w:val="22"/>
          <w:u w:val="single"/>
        </w:rPr>
        <w:t xml:space="preserve"> (Informational Item)</w:t>
      </w:r>
    </w:p>
    <w:p w:rsidR="008E2175" w:rsidRDefault="008E2175" w:rsidP="00404D51">
      <w:pPr>
        <w:suppressAutoHyphens/>
        <w:jc w:val="both"/>
        <w:rPr>
          <w:spacing w:val="-3"/>
          <w:sz w:val="22"/>
          <w:szCs w:val="22"/>
          <w:highlight w:val="lightGray"/>
        </w:rPr>
      </w:pPr>
    </w:p>
    <w:p w:rsidR="000868C9" w:rsidRDefault="00B913A3" w:rsidP="00404D51">
      <w:pPr>
        <w:suppressAutoHyphens/>
        <w:jc w:val="both"/>
        <w:rPr>
          <w:spacing w:val="-3"/>
          <w:sz w:val="22"/>
          <w:szCs w:val="22"/>
        </w:rPr>
      </w:pPr>
      <w:r w:rsidRPr="00D564EE">
        <w:rPr>
          <w:spacing w:val="-3"/>
          <w:sz w:val="22"/>
          <w:szCs w:val="22"/>
        </w:rPr>
        <w:t xml:space="preserve">Beginning with fiscal year 2010-11, the County has consistently prepaid the Employer’s Contribution </w:t>
      </w:r>
      <w:r w:rsidR="00E926DC" w:rsidRPr="00D564EE">
        <w:rPr>
          <w:spacing w:val="-3"/>
          <w:sz w:val="22"/>
          <w:szCs w:val="22"/>
        </w:rPr>
        <w:t xml:space="preserve">related to the Miscellaneous Plan </w:t>
      </w:r>
      <w:r w:rsidRPr="00D564EE">
        <w:rPr>
          <w:spacing w:val="-3"/>
          <w:sz w:val="22"/>
          <w:szCs w:val="22"/>
        </w:rPr>
        <w:t>in order to take advan</w:t>
      </w:r>
      <w:r w:rsidR="00E926DC" w:rsidRPr="00D564EE">
        <w:rPr>
          <w:spacing w:val="-3"/>
          <w:sz w:val="22"/>
          <w:szCs w:val="22"/>
        </w:rPr>
        <w:t>tage of discounted rates.  Effective July 1, 2015, PERS has changed the way it handles Employer Contributions related to pooled plans (covering the County’s Safety bargaining unit).  PERS now requires lump sum payments co</w:t>
      </w:r>
      <w:r w:rsidR="0045544C" w:rsidRPr="00D564EE">
        <w:rPr>
          <w:spacing w:val="-3"/>
          <w:sz w:val="22"/>
          <w:szCs w:val="22"/>
        </w:rPr>
        <w:t xml:space="preserve">vering that portion of </w:t>
      </w:r>
      <w:r w:rsidR="00E926DC" w:rsidRPr="00D564EE">
        <w:rPr>
          <w:spacing w:val="-3"/>
          <w:sz w:val="22"/>
          <w:szCs w:val="22"/>
        </w:rPr>
        <w:t>Employer’s Contribution attributable to the agency’s unfunded actuarial accrued liability</w:t>
      </w:r>
      <w:r w:rsidR="0045544C" w:rsidRPr="00D564EE">
        <w:rPr>
          <w:spacing w:val="-3"/>
          <w:sz w:val="22"/>
          <w:szCs w:val="22"/>
        </w:rPr>
        <w:t>.  In order to spread these lump sum payments to the appropriate departments, the County includes pension rates that records the pension expense each payroll which offsets against the prepayment</w:t>
      </w:r>
      <w:r w:rsidR="00420E3F" w:rsidRPr="00D564EE">
        <w:rPr>
          <w:spacing w:val="-3"/>
          <w:sz w:val="22"/>
          <w:szCs w:val="22"/>
        </w:rPr>
        <w:t xml:space="preserve"> balances.  For fiscal year 2016-17</w:t>
      </w:r>
      <w:r w:rsidR="0045544C" w:rsidRPr="00D564EE">
        <w:rPr>
          <w:spacing w:val="-3"/>
          <w:sz w:val="22"/>
          <w:szCs w:val="22"/>
        </w:rPr>
        <w:t>, the rates charged resulted in an over allocation of pension payments totaling $</w:t>
      </w:r>
      <w:r w:rsidR="00D564EE" w:rsidRPr="00D564EE">
        <w:rPr>
          <w:spacing w:val="-3"/>
          <w:sz w:val="22"/>
          <w:szCs w:val="22"/>
        </w:rPr>
        <w:t>1,060,056.88</w:t>
      </w:r>
      <w:r w:rsidR="000868C9" w:rsidRPr="00D564EE">
        <w:rPr>
          <w:spacing w:val="-3"/>
          <w:sz w:val="22"/>
          <w:szCs w:val="22"/>
        </w:rPr>
        <w:t xml:space="preserve">.  </w:t>
      </w:r>
      <w:r w:rsidR="000868C9" w:rsidRPr="00686D4C">
        <w:rPr>
          <w:spacing w:val="-3"/>
          <w:sz w:val="22"/>
          <w:szCs w:val="22"/>
        </w:rPr>
        <w:t>A breakdown of the benefitting f</w:t>
      </w:r>
      <w:r w:rsidR="00340CFE" w:rsidRPr="00686D4C">
        <w:rPr>
          <w:spacing w:val="-3"/>
          <w:sz w:val="22"/>
          <w:szCs w:val="22"/>
        </w:rPr>
        <w:t xml:space="preserve">unds and departments is provided in Attachment </w:t>
      </w:r>
      <w:r w:rsidR="000B012B">
        <w:rPr>
          <w:spacing w:val="-3"/>
          <w:sz w:val="22"/>
          <w:szCs w:val="22"/>
        </w:rPr>
        <w:t>C.</w:t>
      </w:r>
    </w:p>
    <w:p w:rsidR="0039614A" w:rsidRDefault="0039614A" w:rsidP="00404D51">
      <w:pPr>
        <w:suppressAutoHyphens/>
        <w:jc w:val="both"/>
        <w:rPr>
          <w:spacing w:val="-3"/>
          <w:sz w:val="22"/>
          <w:szCs w:val="22"/>
        </w:rPr>
      </w:pPr>
    </w:p>
    <w:p w:rsidR="00275311" w:rsidRPr="00023B1C" w:rsidRDefault="00275311" w:rsidP="00404D51">
      <w:pPr>
        <w:suppressAutoHyphens/>
        <w:jc w:val="both"/>
        <w:rPr>
          <w:spacing w:val="-3"/>
          <w:sz w:val="22"/>
          <w:szCs w:val="22"/>
        </w:rPr>
      </w:pPr>
      <w:r w:rsidRPr="00023B1C">
        <w:rPr>
          <w:spacing w:val="-3"/>
          <w:sz w:val="22"/>
          <w:szCs w:val="22"/>
        </w:rPr>
        <w:t>I will be available at the Board meeting to answer any questions you may have regarding the above requests.</w:t>
      </w:r>
    </w:p>
    <w:p w:rsidR="001E66A3" w:rsidRPr="000945F9" w:rsidRDefault="001E66A3" w:rsidP="00404D51">
      <w:pPr>
        <w:suppressAutoHyphens/>
        <w:jc w:val="both"/>
        <w:rPr>
          <w:spacing w:val="-3"/>
          <w:sz w:val="22"/>
          <w:szCs w:val="22"/>
          <w:highlight w:val="lightGray"/>
        </w:rPr>
      </w:pPr>
    </w:p>
    <w:p w:rsidR="00275311" w:rsidRPr="000945F9" w:rsidRDefault="00275311" w:rsidP="00404D51">
      <w:pPr>
        <w:suppressAutoHyphens/>
        <w:jc w:val="both"/>
        <w:rPr>
          <w:spacing w:val="-3"/>
          <w:sz w:val="22"/>
          <w:szCs w:val="22"/>
          <w:highlight w:val="lightGray"/>
        </w:rPr>
      </w:pPr>
    </w:p>
    <w:p w:rsidR="00275311" w:rsidRPr="008F720C" w:rsidRDefault="008E2175" w:rsidP="00404D51">
      <w:pPr>
        <w:suppressAutoHyphens/>
        <w:jc w:val="both"/>
        <w:rPr>
          <w:spacing w:val="-3"/>
          <w:sz w:val="22"/>
          <w:szCs w:val="22"/>
        </w:rPr>
      </w:pPr>
      <w:r w:rsidRPr="008F720C">
        <w:rPr>
          <w:spacing w:val="-3"/>
          <w:sz w:val="22"/>
          <w:szCs w:val="22"/>
        </w:rPr>
        <w:t>Cc:</w:t>
      </w:r>
      <w:r w:rsidRPr="008F720C">
        <w:rPr>
          <w:spacing w:val="-3"/>
          <w:sz w:val="22"/>
          <w:szCs w:val="22"/>
        </w:rPr>
        <w:tab/>
      </w:r>
      <w:r w:rsidR="008F720C" w:rsidRPr="008F720C">
        <w:rPr>
          <w:spacing w:val="-3"/>
          <w:sz w:val="22"/>
          <w:szCs w:val="22"/>
        </w:rPr>
        <w:t>Mi</w:t>
      </w:r>
      <w:r w:rsidR="00063440">
        <w:rPr>
          <w:spacing w:val="-3"/>
          <w:sz w:val="22"/>
          <w:szCs w:val="22"/>
        </w:rPr>
        <w:t>nh</w:t>
      </w:r>
      <w:r w:rsidR="008F720C" w:rsidRPr="008F720C">
        <w:rPr>
          <w:spacing w:val="-3"/>
          <w:sz w:val="22"/>
          <w:szCs w:val="22"/>
        </w:rPr>
        <w:t xml:space="preserve"> Tran</w:t>
      </w:r>
      <w:r w:rsidR="00275311" w:rsidRPr="008F720C">
        <w:rPr>
          <w:spacing w:val="-3"/>
          <w:sz w:val="22"/>
          <w:szCs w:val="22"/>
        </w:rPr>
        <w:t xml:space="preserve">, </w:t>
      </w:r>
      <w:r w:rsidR="008F720C" w:rsidRPr="008F720C">
        <w:rPr>
          <w:spacing w:val="-3"/>
          <w:sz w:val="22"/>
          <w:szCs w:val="22"/>
        </w:rPr>
        <w:t xml:space="preserve">Interim </w:t>
      </w:r>
      <w:r w:rsidR="00275311" w:rsidRPr="008F720C">
        <w:rPr>
          <w:spacing w:val="-3"/>
          <w:sz w:val="22"/>
          <w:szCs w:val="22"/>
        </w:rPr>
        <w:t>County Executive Officer</w:t>
      </w:r>
    </w:p>
    <w:p w:rsidR="00275311" w:rsidRPr="008F720C" w:rsidRDefault="00275311" w:rsidP="00404D51">
      <w:pPr>
        <w:suppressAutoHyphens/>
        <w:jc w:val="both"/>
        <w:rPr>
          <w:spacing w:val="-3"/>
          <w:sz w:val="22"/>
          <w:szCs w:val="22"/>
        </w:rPr>
      </w:pPr>
      <w:r w:rsidRPr="008F720C">
        <w:rPr>
          <w:spacing w:val="-3"/>
          <w:sz w:val="22"/>
          <w:szCs w:val="22"/>
        </w:rPr>
        <w:tab/>
      </w:r>
      <w:r w:rsidR="008E2175" w:rsidRPr="008F720C">
        <w:rPr>
          <w:spacing w:val="-3"/>
          <w:sz w:val="22"/>
          <w:szCs w:val="22"/>
        </w:rPr>
        <w:t>Alice Hughey</w:t>
      </w:r>
      <w:r w:rsidRPr="008F720C">
        <w:rPr>
          <w:spacing w:val="-3"/>
          <w:sz w:val="22"/>
          <w:szCs w:val="22"/>
        </w:rPr>
        <w:t xml:space="preserve">, </w:t>
      </w:r>
      <w:r w:rsidR="00023337" w:rsidRPr="008F720C">
        <w:rPr>
          <w:spacing w:val="-3"/>
          <w:sz w:val="22"/>
          <w:szCs w:val="22"/>
        </w:rPr>
        <w:t>Assistan</w:t>
      </w:r>
      <w:r w:rsidR="008E2175" w:rsidRPr="008F720C">
        <w:rPr>
          <w:spacing w:val="-3"/>
          <w:sz w:val="22"/>
          <w:szCs w:val="22"/>
        </w:rPr>
        <w:t xml:space="preserve">t </w:t>
      </w:r>
      <w:r w:rsidRPr="008F720C">
        <w:rPr>
          <w:spacing w:val="-3"/>
          <w:sz w:val="22"/>
          <w:szCs w:val="22"/>
        </w:rPr>
        <w:t>County Executive Officer</w:t>
      </w:r>
    </w:p>
    <w:p w:rsidR="006D101D" w:rsidRPr="006D101D" w:rsidRDefault="00275311" w:rsidP="00404D51">
      <w:pPr>
        <w:suppressAutoHyphens/>
        <w:jc w:val="both"/>
        <w:rPr>
          <w:sz w:val="22"/>
          <w:szCs w:val="22"/>
        </w:rPr>
      </w:pPr>
      <w:r w:rsidRPr="008F720C">
        <w:rPr>
          <w:spacing w:val="-3"/>
          <w:sz w:val="22"/>
          <w:szCs w:val="22"/>
        </w:rPr>
        <w:tab/>
        <w:t>Bob Minahen, Assistant Auditor-Controller</w:t>
      </w:r>
      <w:r w:rsidRPr="00275311">
        <w:rPr>
          <w:spacing w:val="-3"/>
          <w:sz w:val="22"/>
          <w:szCs w:val="22"/>
        </w:rPr>
        <w:t xml:space="preserve"> </w:t>
      </w:r>
    </w:p>
    <w:p w:rsidR="006D101D" w:rsidRDefault="006D101D" w:rsidP="00404D51">
      <w:pPr>
        <w:jc w:val="both"/>
        <w:rPr>
          <w:sz w:val="22"/>
          <w:szCs w:val="22"/>
        </w:rPr>
      </w:pPr>
    </w:p>
    <w:p w:rsidR="00CA20C1" w:rsidRPr="006D101D" w:rsidRDefault="006D101D" w:rsidP="00404D51">
      <w:pPr>
        <w:tabs>
          <w:tab w:val="left" w:pos="8029"/>
        </w:tabs>
        <w:jc w:val="both"/>
        <w:rPr>
          <w:sz w:val="22"/>
          <w:szCs w:val="22"/>
        </w:rPr>
      </w:pPr>
      <w:r>
        <w:rPr>
          <w:sz w:val="22"/>
          <w:szCs w:val="22"/>
        </w:rPr>
        <w:tab/>
      </w:r>
    </w:p>
    <w:sectPr w:rsidR="00CA20C1" w:rsidRPr="006D101D" w:rsidSect="00404D51">
      <w:footerReference w:type="default" r:id="rId11"/>
      <w:headerReference w:type="first" r:id="rId12"/>
      <w:pgSz w:w="12240" w:h="15840"/>
      <w:pgMar w:top="900" w:right="990" w:bottom="270" w:left="1080" w:header="720" w:footer="4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C8" w:rsidRDefault="002248C8">
      <w:r>
        <w:separator/>
      </w:r>
    </w:p>
  </w:endnote>
  <w:endnote w:type="continuationSeparator" w:id="0">
    <w:p w:rsidR="002248C8" w:rsidRDefault="0022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435638"/>
      <w:docPartObj>
        <w:docPartGallery w:val="Page Numbers (Bottom of Page)"/>
        <w:docPartUnique/>
      </w:docPartObj>
    </w:sdtPr>
    <w:sdtEndPr>
      <w:rPr>
        <w:color w:val="808080" w:themeColor="background1" w:themeShade="80"/>
        <w:spacing w:val="60"/>
      </w:rPr>
    </w:sdtEndPr>
    <w:sdtContent>
      <w:p w:rsidR="006D101D" w:rsidRDefault="006D10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3440">
          <w:rPr>
            <w:noProof/>
          </w:rPr>
          <w:t>2</w:t>
        </w:r>
        <w:r>
          <w:rPr>
            <w:noProof/>
          </w:rPr>
          <w:fldChar w:fldCharType="end"/>
        </w:r>
        <w:r>
          <w:t xml:space="preserve"> | </w:t>
        </w:r>
        <w:r>
          <w:rPr>
            <w:color w:val="808080" w:themeColor="background1" w:themeShade="80"/>
            <w:spacing w:val="60"/>
          </w:rPr>
          <w:t>Page</w:t>
        </w:r>
      </w:p>
    </w:sdtContent>
  </w:sdt>
  <w:p w:rsidR="001226C5" w:rsidRDefault="00122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C8" w:rsidRDefault="002248C8">
      <w:r>
        <w:separator/>
      </w:r>
    </w:p>
  </w:footnote>
  <w:footnote w:type="continuationSeparator" w:id="0">
    <w:p w:rsidR="002248C8" w:rsidRDefault="0022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64" w:rsidRDefault="00176336" w:rsidP="00FA5BE2">
    <w:pPr>
      <w:tabs>
        <w:tab w:val="left" w:pos="7380"/>
      </w:tabs>
      <w:jc w:val="right"/>
      <w:rPr>
        <w:rFonts w:ascii="Arial" w:hAnsi="Arial" w:cs="Arial"/>
        <w:b/>
        <w:color w:val="8FD400"/>
        <w:sz w:val="16"/>
        <w:szCs w:val="16"/>
      </w:rPr>
    </w:pPr>
    <w:r>
      <w:rPr>
        <w:rFonts w:ascii="Arial" w:hAnsi="Arial" w:cs="Arial"/>
        <w:b/>
        <w:noProof/>
        <w:sz w:val="16"/>
        <w:szCs w:val="16"/>
      </w:rPr>
      <w:drawing>
        <wp:anchor distT="0" distB="0" distL="114300" distR="114300" simplePos="0" relativeHeight="251657728" behindDoc="0" locked="0" layoutInCell="1" allowOverlap="0" wp14:anchorId="48C25DF1" wp14:editId="639AC6E8">
          <wp:simplePos x="0" y="0"/>
          <wp:positionH relativeFrom="column">
            <wp:align>left</wp:align>
          </wp:positionH>
          <wp:positionV relativeFrom="paragraph">
            <wp:posOffset>-8890</wp:posOffset>
          </wp:positionV>
          <wp:extent cx="1038225" cy="1362075"/>
          <wp:effectExtent l="0" t="0" r="9525" b="9525"/>
          <wp:wrapSquare wrapText="bothSides"/>
          <wp:docPr id="1" name="Picture 1"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264">
      <w:rPr>
        <w:rFonts w:ascii="Arial" w:hAnsi="Arial" w:cs="Arial"/>
        <w:b/>
        <w:sz w:val="16"/>
        <w:szCs w:val="16"/>
      </w:rPr>
      <w:t>Auditor-Controller</w:t>
    </w:r>
    <w:r w:rsidR="00B17264" w:rsidRPr="00D348D6">
      <w:rPr>
        <w:rFonts w:ascii="Arial" w:hAnsi="Arial" w:cs="Arial"/>
        <w:b/>
        <w:sz w:val="16"/>
        <w:szCs w:val="16"/>
      </w:rPr>
      <w:br/>
    </w:r>
  </w:p>
  <w:p w:rsidR="00B17264" w:rsidRPr="00D348D6" w:rsidRDefault="00B17264" w:rsidP="00497909">
    <w:pPr>
      <w:jc w:val="right"/>
      <w:rPr>
        <w:rFonts w:ascii="Arial" w:hAnsi="Arial" w:cs="Arial"/>
        <w:color w:val="8FD400"/>
        <w:sz w:val="16"/>
        <w:szCs w:val="16"/>
      </w:rPr>
    </w:pPr>
  </w:p>
  <w:p w:rsidR="00B17264" w:rsidRPr="00D348D6" w:rsidRDefault="00B17264" w:rsidP="00497909">
    <w:pPr>
      <w:jc w:val="right"/>
      <w:rPr>
        <w:rFonts w:ascii="Arial" w:hAnsi="Arial" w:cs="Arial"/>
        <w:sz w:val="16"/>
        <w:szCs w:val="16"/>
      </w:rPr>
    </w:pPr>
    <w:r>
      <w:rPr>
        <w:rFonts w:ascii="Arial" w:hAnsi="Arial" w:cs="Arial"/>
        <w:sz w:val="16"/>
        <w:szCs w:val="16"/>
      </w:rPr>
      <w:t xml:space="preserve">1195 Third Street </w:t>
    </w:r>
    <w:r>
      <w:rPr>
        <w:rFonts w:ascii="Agency FB" w:hAnsi="Agency FB" w:cs="Arial"/>
        <w:sz w:val="16"/>
        <w:szCs w:val="16"/>
      </w:rPr>
      <w:t>·</w:t>
    </w:r>
    <w:r>
      <w:rPr>
        <w:rFonts w:ascii="Arial" w:hAnsi="Arial" w:cs="Arial"/>
        <w:sz w:val="16"/>
        <w:szCs w:val="16"/>
      </w:rPr>
      <w:t xml:space="preserve"> Room B10</w:t>
    </w:r>
  </w:p>
  <w:p w:rsidR="00B17264" w:rsidRPr="00D348D6" w:rsidRDefault="00784576" w:rsidP="00784576">
    <w:pPr>
      <w:tabs>
        <w:tab w:val="left" w:pos="4148"/>
        <w:tab w:val="right" w:pos="10080"/>
      </w:tabs>
      <w:jc w:val="right"/>
      <w:rPr>
        <w:rFonts w:ascii="Arial" w:hAnsi="Arial" w:cs="Arial"/>
        <w:sz w:val="16"/>
        <w:szCs w:val="16"/>
      </w:rPr>
    </w:pPr>
    <w:r>
      <w:rPr>
        <w:rFonts w:ascii="Arial" w:hAnsi="Arial" w:cs="Arial"/>
        <w:sz w:val="16"/>
        <w:szCs w:val="16"/>
      </w:rPr>
      <w:tab/>
    </w:r>
    <w:r>
      <w:rPr>
        <w:rFonts w:ascii="Arial" w:hAnsi="Arial" w:cs="Arial"/>
        <w:sz w:val="16"/>
        <w:szCs w:val="16"/>
      </w:rPr>
      <w:tab/>
    </w:r>
    <w:r w:rsidR="00B17264">
      <w:rPr>
        <w:rFonts w:ascii="Arial" w:hAnsi="Arial" w:cs="Arial"/>
        <w:sz w:val="16"/>
        <w:szCs w:val="16"/>
      </w:rPr>
      <w:t>Napa</w:t>
    </w:r>
    <w:r w:rsidR="00B17264" w:rsidRPr="00D348D6">
      <w:rPr>
        <w:rFonts w:ascii="Arial" w:hAnsi="Arial" w:cs="Arial"/>
        <w:sz w:val="16"/>
        <w:szCs w:val="16"/>
      </w:rPr>
      <w:t xml:space="preserve">, </w:t>
    </w:r>
    <w:r w:rsidR="00B17264">
      <w:rPr>
        <w:rFonts w:ascii="Arial" w:hAnsi="Arial" w:cs="Arial"/>
        <w:sz w:val="16"/>
        <w:szCs w:val="16"/>
      </w:rPr>
      <w:t>CA</w:t>
    </w:r>
    <w:r w:rsidR="00B17264" w:rsidRPr="00D348D6">
      <w:rPr>
        <w:rFonts w:ascii="Arial" w:hAnsi="Arial" w:cs="Arial"/>
        <w:sz w:val="16"/>
        <w:szCs w:val="16"/>
      </w:rPr>
      <w:t xml:space="preserve"> </w:t>
    </w:r>
    <w:r>
      <w:rPr>
        <w:rFonts w:ascii="Arial" w:hAnsi="Arial" w:cs="Arial"/>
        <w:sz w:val="16"/>
        <w:szCs w:val="16"/>
      </w:rPr>
      <w:t>9455</w:t>
    </w:r>
    <w:r w:rsidR="00B17264" w:rsidRPr="00D348D6">
      <w:rPr>
        <w:rFonts w:ascii="Arial" w:hAnsi="Arial" w:cs="Arial"/>
        <w:sz w:val="16"/>
        <w:szCs w:val="16"/>
      </w:rPr>
      <w:t xml:space="preserve"> </w:t>
    </w:r>
    <w:r w:rsidR="00B17264">
      <w:rPr>
        <w:rFonts w:ascii="Arial" w:hAnsi="Arial" w:cs="Arial"/>
        <w:sz w:val="16"/>
        <w:szCs w:val="16"/>
      </w:rPr>
      <w:tab/>
    </w:r>
  </w:p>
  <w:p w:rsidR="00B17264" w:rsidRPr="00D348D6" w:rsidRDefault="00B17264" w:rsidP="00497909">
    <w:pPr>
      <w:jc w:val="right"/>
      <w:rPr>
        <w:rFonts w:ascii="Arial" w:hAnsi="Arial" w:cs="Arial"/>
        <w:sz w:val="16"/>
        <w:szCs w:val="16"/>
      </w:rPr>
    </w:pPr>
    <w:r>
      <w:rPr>
        <w:rFonts w:ascii="Arial" w:hAnsi="Arial" w:cs="Arial"/>
        <w:sz w:val="16"/>
        <w:szCs w:val="16"/>
      </w:rPr>
      <w:t>www.countyofnapa.org</w:t>
    </w:r>
  </w:p>
  <w:p w:rsidR="00B17264" w:rsidRPr="00D348D6" w:rsidRDefault="00B17264" w:rsidP="00497909">
    <w:pPr>
      <w:jc w:val="right"/>
      <w:rPr>
        <w:rFonts w:ascii="Arial" w:hAnsi="Arial" w:cs="Arial"/>
        <w:sz w:val="16"/>
        <w:szCs w:val="16"/>
      </w:rPr>
    </w:pPr>
  </w:p>
  <w:p w:rsidR="00B17264" w:rsidRPr="00D348D6" w:rsidRDefault="00B17264" w:rsidP="00497909">
    <w:pPr>
      <w:jc w:val="right"/>
      <w:rPr>
        <w:rFonts w:ascii="Arial" w:hAnsi="Arial" w:cs="Arial"/>
        <w:sz w:val="16"/>
        <w:szCs w:val="16"/>
      </w:rPr>
    </w:pPr>
    <w:r w:rsidRPr="00D348D6">
      <w:rPr>
        <w:rFonts w:ascii="Arial" w:hAnsi="Arial" w:cs="Arial"/>
        <w:sz w:val="16"/>
        <w:szCs w:val="16"/>
      </w:rPr>
      <w:t>Main:</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253-4551</w:t>
    </w:r>
  </w:p>
  <w:p w:rsidR="00B17264" w:rsidRPr="00D348D6" w:rsidRDefault="00B17264" w:rsidP="00497909">
    <w:pPr>
      <w:jc w:val="right"/>
      <w:rPr>
        <w:rFonts w:ascii="Arial" w:hAnsi="Arial" w:cs="Arial"/>
        <w:sz w:val="16"/>
        <w:szCs w:val="16"/>
      </w:rPr>
    </w:pPr>
    <w:r w:rsidRPr="00D348D6">
      <w:rPr>
        <w:rFonts w:ascii="Arial" w:hAnsi="Arial" w:cs="Arial"/>
        <w:sz w:val="16"/>
        <w:szCs w:val="16"/>
      </w:rPr>
      <w:t xml:space="preserve">Fax: (707) </w:t>
    </w:r>
    <w:r>
      <w:rPr>
        <w:rFonts w:ascii="Arial" w:hAnsi="Arial" w:cs="Arial"/>
        <w:sz w:val="16"/>
        <w:szCs w:val="16"/>
      </w:rPr>
      <w:t>226-9065</w:t>
    </w:r>
  </w:p>
  <w:p w:rsidR="00B17264" w:rsidRPr="00D348D6" w:rsidRDefault="00B17264" w:rsidP="00497909">
    <w:pPr>
      <w:jc w:val="right"/>
      <w:rPr>
        <w:rFonts w:ascii="Arial" w:hAnsi="Arial" w:cs="Arial"/>
        <w:b/>
        <w:sz w:val="16"/>
        <w:szCs w:val="16"/>
      </w:rPr>
    </w:pPr>
    <w:r w:rsidRPr="00D348D6">
      <w:rPr>
        <w:rFonts w:ascii="Arial" w:hAnsi="Arial" w:cs="Arial"/>
        <w:sz w:val="16"/>
        <w:szCs w:val="16"/>
      </w:rPr>
      <w:br/>
    </w:r>
    <w:r>
      <w:rPr>
        <w:rFonts w:ascii="Arial" w:hAnsi="Arial" w:cs="Arial"/>
        <w:b/>
        <w:sz w:val="16"/>
        <w:szCs w:val="16"/>
      </w:rPr>
      <w:t>Tracy A. Schulze</w:t>
    </w:r>
  </w:p>
  <w:p w:rsidR="00B17264" w:rsidRPr="00D348D6" w:rsidRDefault="00B17264" w:rsidP="00497909">
    <w:pPr>
      <w:jc w:val="right"/>
      <w:rPr>
        <w:rFonts w:ascii="Arial" w:hAnsi="Arial" w:cs="Arial"/>
        <w:sz w:val="16"/>
        <w:szCs w:val="16"/>
      </w:rPr>
    </w:pPr>
    <w:r>
      <w:rPr>
        <w:rFonts w:ascii="Arial" w:hAnsi="Arial" w:cs="Arial"/>
        <w:sz w:val="16"/>
        <w:szCs w:val="16"/>
      </w:rPr>
      <w:t>Auditor-Controller</w:t>
    </w:r>
  </w:p>
  <w:p w:rsidR="00B17264" w:rsidRDefault="00B17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C66"/>
    <w:multiLevelType w:val="hybridMultilevel"/>
    <w:tmpl w:val="C1D813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B670D"/>
    <w:multiLevelType w:val="hybridMultilevel"/>
    <w:tmpl w:val="3850A1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118C2"/>
    <w:multiLevelType w:val="hybridMultilevel"/>
    <w:tmpl w:val="19761F48"/>
    <w:lvl w:ilvl="0" w:tplc="04090015">
      <w:start w:val="1"/>
      <w:numFmt w:val="upperLetter"/>
      <w:lvlText w:val="%1."/>
      <w:lvlJc w:val="left"/>
      <w:pPr>
        <w:ind w:left="63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A50AA"/>
    <w:multiLevelType w:val="hybridMultilevel"/>
    <w:tmpl w:val="AC1A05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43B07"/>
    <w:multiLevelType w:val="hybridMultilevel"/>
    <w:tmpl w:val="5C98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D696D"/>
    <w:multiLevelType w:val="hybridMultilevel"/>
    <w:tmpl w:val="7B5E2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3A1080"/>
    <w:multiLevelType w:val="hybridMultilevel"/>
    <w:tmpl w:val="19761F48"/>
    <w:lvl w:ilvl="0" w:tplc="04090015">
      <w:start w:val="1"/>
      <w:numFmt w:val="upperLetter"/>
      <w:lvlText w:val="%1."/>
      <w:lvlJc w:val="left"/>
      <w:pPr>
        <w:ind w:left="63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A7A85"/>
    <w:multiLevelType w:val="hybridMultilevel"/>
    <w:tmpl w:val="BF3C026A"/>
    <w:lvl w:ilvl="0" w:tplc="303E35B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115DCC"/>
    <w:multiLevelType w:val="hybridMultilevel"/>
    <w:tmpl w:val="569620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CC19EB"/>
    <w:multiLevelType w:val="hybridMultilevel"/>
    <w:tmpl w:val="19761F48"/>
    <w:lvl w:ilvl="0" w:tplc="04090015">
      <w:start w:val="1"/>
      <w:numFmt w:val="upperLetter"/>
      <w:lvlText w:val="%1."/>
      <w:lvlJc w:val="left"/>
      <w:pPr>
        <w:ind w:left="63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93CB5"/>
    <w:multiLevelType w:val="hybridMultilevel"/>
    <w:tmpl w:val="608EA02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3"/>
  </w:num>
  <w:num w:numId="6">
    <w:abstractNumId w:val="0"/>
  </w:num>
  <w:num w:numId="7">
    <w:abstractNumId w:val="10"/>
  </w:num>
  <w:num w:numId="8">
    <w:abstractNumId w:val="1"/>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C163A"/>
    <w:rsid w:val="000017CA"/>
    <w:rsid w:val="00001C29"/>
    <w:rsid w:val="00002D3F"/>
    <w:rsid w:val="00005359"/>
    <w:rsid w:val="000054E1"/>
    <w:rsid w:val="00007AE2"/>
    <w:rsid w:val="000132FC"/>
    <w:rsid w:val="000142AD"/>
    <w:rsid w:val="00015A1B"/>
    <w:rsid w:val="00015FA1"/>
    <w:rsid w:val="00021A82"/>
    <w:rsid w:val="00021E2E"/>
    <w:rsid w:val="000226A2"/>
    <w:rsid w:val="00022EB0"/>
    <w:rsid w:val="00023337"/>
    <w:rsid w:val="00023677"/>
    <w:rsid w:val="00023B1C"/>
    <w:rsid w:val="00024267"/>
    <w:rsid w:val="00025F22"/>
    <w:rsid w:val="00030834"/>
    <w:rsid w:val="000349D9"/>
    <w:rsid w:val="00037220"/>
    <w:rsid w:val="00037666"/>
    <w:rsid w:val="0004472E"/>
    <w:rsid w:val="00046887"/>
    <w:rsid w:val="00050EA8"/>
    <w:rsid w:val="000517F7"/>
    <w:rsid w:val="00051E19"/>
    <w:rsid w:val="000523DA"/>
    <w:rsid w:val="0005268C"/>
    <w:rsid w:val="000547E8"/>
    <w:rsid w:val="00061068"/>
    <w:rsid w:val="00061178"/>
    <w:rsid w:val="00061BC7"/>
    <w:rsid w:val="000628B2"/>
    <w:rsid w:val="00062BEB"/>
    <w:rsid w:val="00063440"/>
    <w:rsid w:val="0006587C"/>
    <w:rsid w:val="00074356"/>
    <w:rsid w:val="000760BB"/>
    <w:rsid w:val="00077B69"/>
    <w:rsid w:val="00077E5C"/>
    <w:rsid w:val="00083957"/>
    <w:rsid w:val="000868C9"/>
    <w:rsid w:val="00086D41"/>
    <w:rsid w:val="0009145C"/>
    <w:rsid w:val="000945F9"/>
    <w:rsid w:val="00094832"/>
    <w:rsid w:val="00095615"/>
    <w:rsid w:val="00096D51"/>
    <w:rsid w:val="0009743B"/>
    <w:rsid w:val="00097F84"/>
    <w:rsid w:val="000A0521"/>
    <w:rsid w:val="000A1952"/>
    <w:rsid w:val="000A4E6A"/>
    <w:rsid w:val="000A5092"/>
    <w:rsid w:val="000A77F4"/>
    <w:rsid w:val="000B012B"/>
    <w:rsid w:val="000B308B"/>
    <w:rsid w:val="000B676C"/>
    <w:rsid w:val="000B6AC0"/>
    <w:rsid w:val="000C366A"/>
    <w:rsid w:val="000D021D"/>
    <w:rsid w:val="000D1FD6"/>
    <w:rsid w:val="000D37DF"/>
    <w:rsid w:val="000D56FD"/>
    <w:rsid w:val="000E130B"/>
    <w:rsid w:val="000E1F1D"/>
    <w:rsid w:val="000E3122"/>
    <w:rsid w:val="000F3F2B"/>
    <w:rsid w:val="000F40C8"/>
    <w:rsid w:val="000F4D26"/>
    <w:rsid w:val="000F5FE1"/>
    <w:rsid w:val="000F6037"/>
    <w:rsid w:val="001028AC"/>
    <w:rsid w:val="001029D8"/>
    <w:rsid w:val="00103AC1"/>
    <w:rsid w:val="001052CD"/>
    <w:rsid w:val="0010791C"/>
    <w:rsid w:val="00110952"/>
    <w:rsid w:val="00112800"/>
    <w:rsid w:val="00114FD9"/>
    <w:rsid w:val="00116323"/>
    <w:rsid w:val="00116FCA"/>
    <w:rsid w:val="00120125"/>
    <w:rsid w:val="00120823"/>
    <w:rsid w:val="0012254D"/>
    <w:rsid w:val="001226C5"/>
    <w:rsid w:val="0012297D"/>
    <w:rsid w:val="001238CB"/>
    <w:rsid w:val="001243D1"/>
    <w:rsid w:val="00130C3A"/>
    <w:rsid w:val="00131BF5"/>
    <w:rsid w:val="00131E40"/>
    <w:rsid w:val="00132730"/>
    <w:rsid w:val="00134573"/>
    <w:rsid w:val="001372F5"/>
    <w:rsid w:val="0015372C"/>
    <w:rsid w:val="001578DA"/>
    <w:rsid w:val="0016025F"/>
    <w:rsid w:val="001629E5"/>
    <w:rsid w:val="00163080"/>
    <w:rsid w:val="001642E2"/>
    <w:rsid w:val="0016733B"/>
    <w:rsid w:val="0017080B"/>
    <w:rsid w:val="00170AC0"/>
    <w:rsid w:val="00172D3F"/>
    <w:rsid w:val="001735FA"/>
    <w:rsid w:val="0017376E"/>
    <w:rsid w:val="00175ACA"/>
    <w:rsid w:val="00176310"/>
    <w:rsid w:val="00176336"/>
    <w:rsid w:val="0017685D"/>
    <w:rsid w:val="0017775C"/>
    <w:rsid w:val="001812F9"/>
    <w:rsid w:val="00183E23"/>
    <w:rsid w:val="00184819"/>
    <w:rsid w:val="00184A75"/>
    <w:rsid w:val="00185441"/>
    <w:rsid w:val="0018546F"/>
    <w:rsid w:val="00185F72"/>
    <w:rsid w:val="001878C8"/>
    <w:rsid w:val="001916AF"/>
    <w:rsid w:val="00192762"/>
    <w:rsid w:val="001928DE"/>
    <w:rsid w:val="001930EE"/>
    <w:rsid w:val="001949C2"/>
    <w:rsid w:val="00196745"/>
    <w:rsid w:val="001A1B30"/>
    <w:rsid w:val="001A7C85"/>
    <w:rsid w:val="001B2177"/>
    <w:rsid w:val="001B24BE"/>
    <w:rsid w:val="001B3645"/>
    <w:rsid w:val="001B677D"/>
    <w:rsid w:val="001B794C"/>
    <w:rsid w:val="001D0489"/>
    <w:rsid w:val="001D0BF2"/>
    <w:rsid w:val="001D3047"/>
    <w:rsid w:val="001D3238"/>
    <w:rsid w:val="001D7728"/>
    <w:rsid w:val="001E08EF"/>
    <w:rsid w:val="001E6641"/>
    <w:rsid w:val="001E66A3"/>
    <w:rsid w:val="001E747F"/>
    <w:rsid w:val="001E776C"/>
    <w:rsid w:val="001F2228"/>
    <w:rsid w:val="001F2256"/>
    <w:rsid w:val="001F3C11"/>
    <w:rsid w:val="001F5CD6"/>
    <w:rsid w:val="001F68D3"/>
    <w:rsid w:val="001F76B6"/>
    <w:rsid w:val="002002B0"/>
    <w:rsid w:val="00201ECB"/>
    <w:rsid w:val="00202E85"/>
    <w:rsid w:val="00204518"/>
    <w:rsid w:val="0020590F"/>
    <w:rsid w:val="00210822"/>
    <w:rsid w:val="00213D9A"/>
    <w:rsid w:val="00216558"/>
    <w:rsid w:val="00221AEB"/>
    <w:rsid w:val="00222E34"/>
    <w:rsid w:val="002248C8"/>
    <w:rsid w:val="002272F4"/>
    <w:rsid w:val="00230D35"/>
    <w:rsid w:val="00231370"/>
    <w:rsid w:val="00231427"/>
    <w:rsid w:val="002336DC"/>
    <w:rsid w:val="00235DE9"/>
    <w:rsid w:val="00237ACB"/>
    <w:rsid w:val="00240F34"/>
    <w:rsid w:val="00242AA8"/>
    <w:rsid w:val="00244C54"/>
    <w:rsid w:val="00245B09"/>
    <w:rsid w:val="00250043"/>
    <w:rsid w:val="00257419"/>
    <w:rsid w:val="002579A0"/>
    <w:rsid w:val="0026088C"/>
    <w:rsid w:val="0026134A"/>
    <w:rsid w:val="002659D9"/>
    <w:rsid w:val="00266A25"/>
    <w:rsid w:val="0027111E"/>
    <w:rsid w:val="002723FC"/>
    <w:rsid w:val="00275311"/>
    <w:rsid w:val="002809ED"/>
    <w:rsid w:val="00283344"/>
    <w:rsid w:val="002837CD"/>
    <w:rsid w:val="00285799"/>
    <w:rsid w:val="002921CC"/>
    <w:rsid w:val="00293736"/>
    <w:rsid w:val="00295A91"/>
    <w:rsid w:val="00297160"/>
    <w:rsid w:val="002A0FE5"/>
    <w:rsid w:val="002A448D"/>
    <w:rsid w:val="002A4A13"/>
    <w:rsid w:val="002A53BC"/>
    <w:rsid w:val="002B060B"/>
    <w:rsid w:val="002B179E"/>
    <w:rsid w:val="002B2300"/>
    <w:rsid w:val="002B29ED"/>
    <w:rsid w:val="002B4EDC"/>
    <w:rsid w:val="002C0328"/>
    <w:rsid w:val="002C163A"/>
    <w:rsid w:val="002C173C"/>
    <w:rsid w:val="002C365E"/>
    <w:rsid w:val="002C3B3A"/>
    <w:rsid w:val="002C5A20"/>
    <w:rsid w:val="002C5FEA"/>
    <w:rsid w:val="002D20AD"/>
    <w:rsid w:val="002D2548"/>
    <w:rsid w:val="002D2D7D"/>
    <w:rsid w:val="002D3A7C"/>
    <w:rsid w:val="002D4D8E"/>
    <w:rsid w:val="002D5783"/>
    <w:rsid w:val="002D5D2F"/>
    <w:rsid w:val="002D7A8C"/>
    <w:rsid w:val="002E17D2"/>
    <w:rsid w:val="002E4EA7"/>
    <w:rsid w:val="002E6058"/>
    <w:rsid w:val="002E7D47"/>
    <w:rsid w:val="002F1F66"/>
    <w:rsid w:val="002F26AD"/>
    <w:rsid w:val="002F4145"/>
    <w:rsid w:val="002F41C7"/>
    <w:rsid w:val="002F5243"/>
    <w:rsid w:val="002F6403"/>
    <w:rsid w:val="0030186E"/>
    <w:rsid w:val="00303378"/>
    <w:rsid w:val="00306764"/>
    <w:rsid w:val="00307EB5"/>
    <w:rsid w:val="003104D3"/>
    <w:rsid w:val="0031115B"/>
    <w:rsid w:val="003131EF"/>
    <w:rsid w:val="003137C8"/>
    <w:rsid w:val="003140CD"/>
    <w:rsid w:val="00315A89"/>
    <w:rsid w:val="00315BED"/>
    <w:rsid w:val="00322119"/>
    <w:rsid w:val="00322192"/>
    <w:rsid w:val="00323745"/>
    <w:rsid w:val="0032477E"/>
    <w:rsid w:val="003268D7"/>
    <w:rsid w:val="00326ED6"/>
    <w:rsid w:val="00333CC3"/>
    <w:rsid w:val="00334ECD"/>
    <w:rsid w:val="003360A7"/>
    <w:rsid w:val="00336604"/>
    <w:rsid w:val="00340CFE"/>
    <w:rsid w:val="00341E69"/>
    <w:rsid w:val="00344883"/>
    <w:rsid w:val="00344ECE"/>
    <w:rsid w:val="00350B78"/>
    <w:rsid w:val="00351761"/>
    <w:rsid w:val="00355346"/>
    <w:rsid w:val="00355BB0"/>
    <w:rsid w:val="0035602F"/>
    <w:rsid w:val="00356697"/>
    <w:rsid w:val="00356E74"/>
    <w:rsid w:val="00357AEB"/>
    <w:rsid w:val="003603D9"/>
    <w:rsid w:val="00360EAD"/>
    <w:rsid w:val="003626FA"/>
    <w:rsid w:val="00367533"/>
    <w:rsid w:val="0037546D"/>
    <w:rsid w:val="003760A4"/>
    <w:rsid w:val="0037700C"/>
    <w:rsid w:val="00390B0F"/>
    <w:rsid w:val="00391BB0"/>
    <w:rsid w:val="0039346B"/>
    <w:rsid w:val="0039614A"/>
    <w:rsid w:val="003A0C17"/>
    <w:rsid w:val="003A178B"/>
    <w:rsid w:val="003A3742"/>
    <w:rsid w:val="003A5A85"/>
    <w:rsid w:val="003B0B31"/>
    <w:rsid w:val="003B34DC"/>
    <w:rsid w:val="003B3A7E"/>
    <w:rsid w:val="003B49C3"/>
    <w:rsid w:val="003C1AF9"/>
    <w:rsid w:val="003C575E"/>
    <w:rsid w:val="003C586A"/>
    <w:rsid w:val="003C64A9"/>
    <w:rsid w:val="003D0B6A"/>
    <w:rsid w:val="003D1727"/>
    <w:rsid w:val="003D1A94"/>
    <w:rsid w:val="003D298F"/>
    <w:rsid w:val="003D66E9"/>
    <w:rsid w:val="003E266C"/>
    <w:rsid w:val="003E42BF"/>
    <w:rsid w:val="003E73E0"/>
    <w:rsid w:val="003F33D0"/>
    <w:rsid w:val="003F4AA7"/>
    <w:rsid w:val="003F5AF4"/>
    <w:rsid w:val="003F5DEA"/>
    <w:rsid w:val="003F6948"/>
    <w:rsid w:val="003F7521"/>
    <w:rsid w:val="003F7E52"/>
    <w:rsid w:val="004043D4"/>
    <w:rsid w:val="00404D51"/>
    <w:rsid w:val="00405453"/>
    <w:rsid w:val="004102CA"/>
    <w:rsid w:val="00413092"/>
    <w:rsid w:val="00416E91"/>
    <w:rsid w:val="004174B0"/>
    <w:rsid w:val="00420152"/>
    <w:rsid w:val="00420535"/>
    <w:rsid w:val="00420E3F"/>
    <w:rsid w:val="00421654"/>
    <w:rsid w:val="00421B5D"/>
    <w:rsid w:val="00432BE8"/>
    <w:rsid w:val="00434863"/>
    <w:rsid w:val="0043727D"/>
    <w:rsid w:val="00440E2B"/>
    <w:rsid w:val="00441735"/>
    <w:rsid w:val="004429EC"/>
    <w:rsid w:val="004442F2"/>
    <w:rsid w:val="0044435B"/>
    <w:rsid w:val="004462DB"/>
    <w:rsid w:val="00450394"/>
    <w:rsid w:val="00452F84"/>
    <w:rsid w:val="00453A49"/>
    <w:rsid w:val="0045544C"/>
    <w:rsid w:val="00463011"/>
    <w:rsid w:val="00471DC0"/>
    <w:rsid w:val="00472499"/>
    <w:rsid w:val="00473A9B"/>
    <w:rsid w:val="0047728B"/>
    <w:rsid w:val="00490C7A"/>
    <w:rsid w:val="004919E0"/>
    <w:rsid w:val="00497909"/>
    <w:rsid w:val="004A03B6"/>
    <w:rsid w:val="004A3612"/>
    <w:rsid w:val="004A4EC1"/>
    <w:rsid w:val="004A5A7D"/>
    <w:rsid w:val="004A7152"/>
    <w:rsid w:val="004B0138"/>
    <w:rsid w:val="004B0AFA"/>
    <w:rsid w:val="004B1FAA"/>
    <w:rsid w:val="004B4071"/>
    <w:rsid w:val="004B6AB9"/>
    <w:rsid w:val="004C00C5"/>
    <w:rsid w:val="004C0564"/>
    <w:rsid w:val="004C42CA"/>
    <w:rsid w:val="004D0464"/>
    <w:rsid w:val="004D1623"/>
    <w:rsid w:val="004D3623"/>
    <w:rsid w:val="004D3822"/>
    <w:rsid w:val="004D4DFF"/>
    <w:rsid w:val="004D7F13"/>
    <w:rsid w:val="004E0313"/>
    <w:rsid w:val="004E417A"/>
    <w:rsid w:val="004E503E"/>
    <w:rsid w:val="004E6B2F"/>
    <w:rsid w:val="004E7236"/>
    <w:rsid w:val="004F339F"/>
    <w:rsid w:val="004F4961"/>
    <w:rsid w:val="004F53DE"/>
    <w:rsid w:val="004F5B3D"/>
    <w:rsid w:val="004F68A2"/>
    <w:rsid w:val="0050310C"/>
    <w:rsid w:val="005067C9"/>
    <w:rsid w:val="00511EEF"/>
    <w:rsid w:val="00513DA5"/>
    <w:rsid w:val="005157E5"/>
    <w:rsid w:val="00515A1C"/>
    <w:rsid w:val="00517512"/>
    <w:rsid w:val="00523CBB"/>
    <w:rsid w:val="005345E4"/>
    <w:rsid w:val="00535731"/>
    <w:rsid w:val="00535E18"/>
    <w:rsid w:val="00540293"/>
    <w:rsid w:val="00545411"/>
    <w:rsid w:val="00545DE9"/>
    <w:rsid w:val="00550395"/>
    <w:rsid w:val="00553EE4"/>
    <w:rsid w:val="0055627B"/>
    <w:rsid w:val="005571B5"/>
    <w:rsid w:val="00557259"/>
    <w:rsid w:val="00557EB4"/>
    <w:rsid w:val="0056042C"/>
    <w:rsid w:val="005604D2"/>
    <w:rsid w:val="00560621"/>
    <w:rsid w:val="00560796"/>
    <w:rsid w:val="005818E1"/>
    <w:rsid w:val="00587041"/>
    <w:rsid w:val="00590FB7"/>
    <w:rsid w:val="00591459"/>
    <w:rsid w:val="00595B0E"/>
    <w:rsid w:val="005A1132"/>
    <w:rsid w:val="005A16F4"/>
    <w:rsid w:val="005A2594"/>
    <w:rsid w:val="005A5611"/>
    <w:rsid w:val="005B1263"/>
    <w:rsid w:val="005B4A50"/>
    <w:rsid w:val="005B5F19"/>
    <w:rsid w:val="005C1CAD"/>
    <w:rsid w:val="005C5482"/>
    <w:rsid w:val="005C5D9F"/>
    <w:rsid w:val="005D0194"/>
    <w:rsid w:val="005D07EC"/>
    <w:rsid w:val="005D2759"/>
    <w:rsid w:val="005D2A91"/>
    <w:rsid w:val="005D566A"/>
    <w:rsid w:val="005E7C6C"/>
    <w:rsid w:val="005F054B"/>
    <w:rsid w:val="005F10E7"/>
    <w:rsid w:val="005F122F"/>
    <w:rsid w:val="005F2DB8"/>
    <w:rsid w:val="005F7929"/>
    <w:rsid w:val="005F7DB9"/>
    <w:rsid w:val="0060054D"/>
    <w:rsid w:val="00606A99"/>
    <w:rsid w:val="006079F7"/>
    <w:rsid w:val="006142CB"/>
    <w:rsid w:val="00615232"/>
    <w:rsid w:val="006174D8"/>
    <w:rsid w:val="006204DA"/>
    <w:rsid w:val="00620734"/>
    <w:rsid w:val="00623F17"/>
    <w:rsid w:val="00626E86"/>
    <w:rsid w:val="00627374"/>
    <w:rsid w:val="00630893"/>
    <w:rsid w:val="00631FC0"/>
    <w:rsid w:val="006337F7"/>
    <w:rsid w:val="00634094"/>
    <w:rsid w:val="00637224"/>
    <w:rsid w:val="00640F59"/>
    <w:rsid w:val="0064231C"/>
    <w:rsid w:val="00642EFF"/>
    <w:rsid w:val="006438AD"/>
    <w:rsid w:val="0064654E"/>
    <w:rsid w:val="00646BEF"/>
    <w:rsid w:val="00647CC1"/>
    <w:rsid w:val="00651622"/>
    <w:rsid w:val="00651E75"/>
    <w:rsid w:val="00653B27"/>
    <w:rsid w:val="00654823"/>
    <w:rsid w:val="006552C4"/>
    <w:rsid w:val="0065771A"/>
    <w:rsid w:val="006625F4"/>
    <w:rsid w:val="006628F5"/>
    <w:rsid w:val="00662CF8"/>
    <w:rsid w:val="00663347"/>
    <w:rsid w:val="00663DAD"/>
    <w:rsid w:val="00670BE7"/>
    <w:rsid w:val="0067618F"/>
    <w:rsid w:val="006761BC"/>
    <w:rsid w:val="006778E5"/>
    <w:rsid w:val="00680ABF"/>
    <w:rsid w:val="00681098"/>
    <w:rsid w:val="00682B81"/>
    <w:rsid w:val="00686344"/>
    <w:rsid w:val="00686D4C"/>
    <w:rsid w:val="00692992"/>
    <w:rsid w:val="006946DA"/>
    <w:rsid w:val="006946FB"/>
    <w:rsid w:val="006A07B7"/>
    <w:rsid w:val="006A393E"/>
    <w:rsid w:val="006A4B27"/>
    <w:rsid w:val="006A6943"/>
    <w:rsid w:val="006B025A"/>
    <w:rsid w:val="006B02C4"/>
    <w:rsid w:val="006B1CDB"/>
    <w:rsid w:val="006B3BC7"/>
    <w:rsid w:val="006B663A"/>
    <w:rsid w:val="006B73A6"/>
    <w:rsid w:val="006C08FC"/>
    <w:rsid w:val="006C0965"/>
    <w:rsid w:val="006C24EA"/>
    <w:rsid w:val="006D0F67"/>
    <w:rsid w:val="006D101D"/>
    <w:rsid w:val="006D4A8D"/>
    <w:rsid w:val="006D601F"/>
    <w:rsid w:val="006E09A6"/>
    <w:rsid w:val="006E3340"/>
    <w:rsid w:val="006F001F"/>
    <w:rsid w:val="006F0A57"/>
    <w:rsid w:val="006F2877"/>
    <w:rsid w:val="006F39B4"/>
    <w:rsid w:val="006F67E6"/>
    <w:rsid w:val="006F7F96"/>
    <w:rsid w:val="007022B8"/>
    <w:rsid w:val="00704CCE"/>
    <w:rsid w:val="00705F33"/>
    <w:rsid w:val="007069B8"/>
    <w:rsid w:val="00707C27"/>
    <w:rsid w:val="00712DE9"/>
    <w:rsid w:val="007147BB"/>
    <w:rsid w:val="00714BC8"/>
    <w:rsid w:val="007153A4"/>
    <w:rsid w:val="00716E10"/>
    <w:rsid w:val="0071797D"/>
    <w:rsid w:val="007225AC"/>
    <w:rsid w:val="0072385F"/>
    <w:rsid w:val="00723CA4"/>
    <w:rsid w:val="0073496F"/>
    <w:rsid w:val="00734ED0"/>
    <w:rsid w:val="0074288B"/>
    <w:rsid w:val="00742CA6"/>
    <w:rsid w:val="00745764"/>
    <w:rsid w:val="00745D53"/>
    <w:rsid w:val="00746A5B"/>
    <w:rsid w:val="00747984"/>
    <w:rsid w:val="00752020"/>
    <w:rsid w:val="00753002"/>
    <w:rsid w:val="007537CD"/>
    <w:rsid w:val="00755E32"/>
    <w:rsid w:val="00763C78"/>
    <w:rsid w:val="00766008"/>
    <w:rsid w:val="0076613B"/>
    <w:rsid w:val="00770E8D"/>
    <w:rsid w:val="00773744"/>
    <w:rsid w:val="00774851"/>
    <w:rsid w:val="00777A37"/>
    <w:rsid w:val="007841FC"/>
    <w:rsid w:val="00784576"/>
    <w:rsid w:val="007851C8"/>
    <w:rsid w:val="00785211"/>
    <w:rsid w:val="0078695F"/>
    <w:rsid w:val="007909D6"/>
    <w:rsid w:val="00791132"/>
    <w:rsid w:val="007932D8"/>
    <w:rsid w:val="007937A0"/>
    <w:rsid w:val="00793816"/>
    <w:rsid w:val="00795D72"/>
    <w:rsid w:val="00796D10"/>
    <w:rsid w:val="007A1A51"/>
    <w:rsid w:val="007A1C8F"/>
    <w:rsid w:val="007A3862"/>
    <w:rsid w:val="007A7254"/>
    <w:rsid w:val="007B0423"/>
    <w:rsid w:val="007B18B2"/>
    <w:rsid w:val="007B3D7B"/>
    <w:rsid w:val="007B478D"/>
    <w:rsid w:val="007B5B1A"/>
    <w:rsid w:val="007B65AC"/>
    <w:rsid w:val="007B7E23"/>
    <w:rsid w:val="007C4041"/>
    <w:rsid w:val="007C5B72"/>
    <w:rsid w:val="007C6B53"/>
    <w:rsid w:val="007C731D"/>
    <w:rsid w:val="007D2025"/>
    <w:rsid w:val="007D65A3"/>
    <w:rsid w:val="007D6B5F"/>
    <w:rsid w:val="007E0D84"/>
    <w:rsid w:val="007F00A0"/>
    <w:rsid w:val="007F1563"/>
    <w:rsid w:val="007F1C84"/>
    <w:rsid w:val="007F1DB3"/>
    <w:rsid w:val="007F3472"/>
    <w:rsid w:val="00801F7D"/>
    <w:rsid w:val="00806083"/>
    <w:rsid w:val="00807A8A"/>
    <w:rsid w:val="00812663"/>
    <w:rsid w:val="00813460"/>
    <w:rsid w:val="00813CA8"/>
    <w:rsid w:val="008151ED"/>
    <w:rsid w:val="0081736D"/>
    <w:rsid w:val="00827FFB"/>
    <w:rsid w:val="0083356B"/>
    <w:rsid w:val="00837BE6"/>
    <w:rsid w:val="00840C92"/>
    <w:rsid w:val="008435C2"/>
    <w:rsid w:val="00843FE4"/>
    <w:rsid w:val="008458D0"/>
    <w:rsid w:val="00850D01"/>
    <w:rsid w:val="00852044"/>
    <w:rsid w:val="00855FE1"/>
    <w:rsid w:val="0085751E"/>
    <w:rsid w:val="00860901"/>
    <w:rsid w:val="00860E2F"/>
    <w:rsid w:val="00860ED9"/>
    <w:rsid w:val="0086462C"/>
    <w:rsid w:val="00864978"/>
    <w:rsid w:val="00867638"/>
    <w:rsid w:val="008679F9"/>
    <w:rsid w:val="00874413"/>
    <w:rsid w:val="00876052"/>
    <w:rsid w:val="00876F06"/>
    <w:rsid w:val="008775DA"/>
    <w:rsid w:val="00880184"/>
    <w:rsid w:val="008844A7"/>
    <w:rsid w:val="00885ECA"/>
    <w:rsid w:val="00886247"/>
    <w:rsid w:val="008876D0"/>
    <w:rsid w:val="008905EB"/>
    <w:rsid w:val="00890C82"/>
    <w:rsid w:val="00891B8A"/>
    <w:rsid w:val="008927D8"/>
    <w:rsid w:val="008943C5"/>
    <w:rsid w:val="00894BD1"/>
    <w:rsid w:val="00895F72"/>
    <w:rsid w:val="008A04DF"/>
    <w:rsid w:val="008A1081"/>
    <w:rsid w:val="008A1E5D"/>
    <w:rsid w:val="008A297B"/>
    <w:rsid w:val="008A2EF9"/>
    <w:rsid w:val="008A34F0"/>
    <w:rsid w:val="008A520E"/>
    <w:rsid w:val="008A6902"/>
    <w:rsid w:val="008A741A"/>
    <w:rsid w:val="008A782F"/>
    <w:rsid w:val="008A7C3C"/>
    <w:rsid w:val="008B2E14"/>
    <w:rsid w:val="008B4B7C"/>
    <w:rsid w:val="008B4E49"/>
    <w:rsid w:val="008B5852"/>
    <w:rsid w:val="008C1882"/>
    <w:rsid w:val="008C1CEC"/>
    <w:rsid w:val="008C4BEC"/>
    <w:rsid w:val="008C730D"/>
    <w:rsid w:val="008D0D53"/>
    <w:rsid w:val="008D1325"/>
    <w:rsid w:val="008D1B4B"/>
    <w:rsid w:val="008D635E"/>
    <w:rsid w:val="008D7AC6"/>
    <w:rsid w:val="008E2175"/>
    <w:rsid w:val="008E4F9E"/>
    <w:rsid w:val="008E70CF"/>
    <w:rsid w:val="008F1200"/>
    <w:rsid w:val="008F5496"/>
    <w:rsid w:val="008F5A2F"/>
    <w:rsid w:val="008F7180"/>
    <w:rsid w:val="008F71B9"/>
    <w:rsid w:val="008F720C"/>
    <w:rsid w:val="0090209D"/>
    <w:rsid w:val="009035D3"/>
    <w:rsid w:val="00904373"/>
    <w:rsid w:val="009067BC"/>
    <w:rsid w:val="009100CC"/>
    <w:rsid w:val="00910550"/>
    <w:rsid w:val="00910C51"/>
    <w:rsid w:val="00917367"/>
    <w:rsid w:val="0092103C"/>
    <w:rsid w:val="00924013"/>
    <w:rsid w:val="0092419A"/>
    <w:rsid w:val="009250C8"/>
    <w:rsid w:val="00925858"/>
    <w:rsid w:val="0092710B"/>
    <w:rsid w:val="00931565"/>
    <w:rsid w:val="00931D97"/>
    <w:rsid w:val="0093524C"/>
    <w:rsid w:val="00936B45"/>
    <w:rsid w:val="00936D9E"/>
    <w:rsid w:val="009407BD"/>
    <w:rsid w:val="0094155D"/>
    <w:rsid w:val="009417A0"/>
    <w:rsid w:val="0094449C"/>
    <w:rsid w:val="00944A18"/>
    <w:rsid w:val="00944CF0"/>
    <w:rsid w:val="00947D06"/>
    <w:rsid w:val="00950079"/>
    <w:rsid w:val="009506D5"/>
    <w:rsid w:val="00952940"/>
    <w:rsid w:val="00957CD0"/>
    <w:rsid w:val="00960117"/>
    <w:rsid w:val="009606ED"/>
    <w:rsid w:val="00960CE0"/>
    <w:rsid w:val="009614A9"/>
    <w:rsid w:val="0096337E"/>
    <w:rsid w:val="00970567"/>
    <w:rsid w:val="009711D2"/>
    <w:rsid w:val="00972B29"/>
    <w:rsid w:val="0097322D"/>
    <w:rsid w:val="0097486D"/>
    <w:rsid w:val="00976D75"/>
    <w:rsid w:val="009775E1"/>
    <w:rsid w:val="0098249C"/>
    <w:rsid w:val="0099285A"/>
    <w:rsid w:val="00993053"/>
    <w:rsid w:val="00995DC3"/>
    <w:rsid w:val="009978BB"/>
    <w:rsid w:val="009A0471"/>
    <w:rsid w:val="009A1838"/>
    <w:rsid w:val="009A31F0"/>
    <w:rsid w:val="009A6942"/>
    <w:rsid w:val="009A77CE"/>
    <w:rsid w:val="009A7BE6"/>
    <w:rsid w:val="009A7C53"/>
    <w:rsid w:val="009B11CF"/>
    <w:rsid w:val="009B189F"/>
    <w:rsid w:val="009B1A46"/>
    <w:rsid w:val="009B24DD"/>
    <w:rsid w:val="009B380A"/>
    <w:rsid w:val="009B4FC4"/>
    <w:rsid w:val="009C0977"/>
    <w:rsid w:val="009C09C5"/>
    <w:rsid w:val="009C261F"/>
    <w:rsid w:val="009C2F12"/>
    <w:rsid w:val="009C3481"/>
    <w:rsid w:val="009C41C3"/>
    <w:rsid w:val="009C422D"/>
    <w:rsid w:val="009D2086"/>
    <w:rsid w:val="009D3AAC"/>
    <w:rsid w:val="009D47E3"/>
    <w:rsid w:val="009D49CD"/>
    <w:rsid w:val="009D61BA"/>
    <w:rsid w:val="009E1BBD"/>
    <w:rsid w:val="009E2CC9"/>
    <w:rsid w:val="009E3095"/>
    <w:rsid w:val="009E6D77"/>
    <w:rsid w:val="009F0AA7"/>
    <w:rsid w:val="009F2A6E"/>
    <w:rsid w:val="009F693B"/>
    <w:rsid w:val="009F71D2"/>
    <w:rsid w:val="00A0740E"/>
    <w:rsid w:val="00A11193"/>
    <w:rsid w:val="00A1752A"/>
    <w:rsid w:val="00A210B9"/>
    <w:rsid w:val="00A21691"/>
    <w:rsid w:val="00A21FF0"/>
    <w:rsid w:val="00A240DF"/>
    <w:rsid w:val="00A24225"/>
    <w:rsid w:val="00A24879"/>
    <w:rsid w:val="00A32C56"/>
    <w:rsid w:val="00A34088"/>
    <w:rsid w:val="00A34A1F"/>
    <w:rsid w:val="00A4292A"/>
    <w:rsid w:val="00A44113"/>
    <w:rsid w:val="00A46167"/>
    <w:rsid w:val="00A46429"/>
    <w:rsid w:val="00A51453"/>
    <w:rsid w:val="00A5199E"/>
    <w:rsid w:val="00A54210"/>
    <w:rsid w:val="00A56188"/>
    <w:rsid w:val="00A612BE"/>
    <w:rsid w:val="00A614DD"/>
    <w:rsid w:val="00A64799"/>
    <w:rsid w:val="00A65916"/>
    <w:rsid w:val="00A66991"/>
    <w:rsid w:val="00A709A9"/>
    <w:rsid w:val="00A71D19"/>
    <w:rsid w:val="00A7365D"/>
    <w:rsid w:val="00A7409D"/>
    <w:rsid w:val="00A75215"/>
    <w:rsid w:val="00A76D49"/>
    <w:rsid w:val="00A81F7B"/>
    <w:rsid w:val="00A84558"/>
    <w:rsid w:val="00A85972"/>
    <w:rsid w:val="00A87F55"/>
    <w:rsid w:val="00A90BBB"/>
    <w:rsid w:val="00A92994"/>
    <w:rsid w:val="00A94809"/>
    <w:rsid w:val="00A97AB8"/>
    <w:rsid w:val="00AA0A52"/>
    <w:rsid w:val="00AA11E2"/>
    <w:rsid w:val="00AA26F6"/>
    <w:rsid w:val="00AA3A2F"/>
    <w:rsid w:val="00AB1960"/>
    <w:rsid w:val="00AB25B5"/>
    <w:rsid w:val="00AB72BF"/>
    <w:rsid w:val="00AB79AE"/>
    <w:rsid w:val="00AB7AF9"/>
    <w:rsid w:val="00AC0451"/>
    <w:rsid w:val="00AC59F2"/>
    <w:rsid w:val="00AC7E33"/>
    <w:rsid w:val="00AC7E8B"/>
    <w:rsid w:val="00AE1953"/>
    <w:rsid w:val="00AE6209"/>
    <w:rsid w:val="00AF1761"/>
    <w:rsid w:val="00AF1F8F"/>
    <w:rsid w:val="00B16391"/>
    <w:rsid w:val="00B17264"/>
    <w:rsid w:val="00B23A87"/>
    <w:rsid w:val="00B24614"/>
    <w:rsid w:val="00B2786C"/>
    <w:rsid w:val="00B32586"/>
    <w:rsid w:val="00B34FB5"/>
    <w:rsid w:val="00B359A4"/>
    <w:rsid w:val="00B35DBC"/>
    <w:rsid w:val="00B3641E"/>
    <w:rsid w:val="00B36BD4"/>
    <w:rsid w:val="00B46795"/>
    <w:rsid w:val="00B469A9"/>
    <w:rsid w:val="00B51609"/>
    <w:rsid w:val="00B5501D"/>
    <w:rsid w:val="00B572AF"/>
    <w:rsid w:val="00B60453"/>
    <w:rsid w:val="00B60A4E"/>
    <w:rsid w:val="00B636DD"/>
    <w:rsid w:val="00B640A2"/>
    <w:rsid w:val="00B65C1F"/>
    <w:rsid w:val="00B72685"/>
    <w:rsid w:val="00B72E70"/>
    <w:rsid w:val="00B8040C"/>
    <w:rsid w:val="00B82239"/>
    <w:rsid w:val="00B84BE0"/>
    <w:rsid w:val="00B862EA"/>
    <w:rsid w:val="00B86588"/>
    <w:rsid w:val="00B86FB4"/>
    <w:rsid w:val="00B906F9"/>
    <w:rsid w:val="00B913A3"/>
    <w:rsid w:val="00B91F75"/>
    <w:rsid w:val="00B9214E"/>
    <w:rsid w:val="00B94C44"/>
    <w:rsid w:val="00B95F7A"/>
    <w:rsid w:val="00B974E8"/>
    <w:rsid w:val="00BA0426"/>
    <w:rsid w:val="00BA0551"/>
    <w:rsid w:val="00BA205A"/>
    <w:rsid w:val="00BA3BD4"/>
    <w:rsid w:val="00BA5776"/>
    <w:rsid w:val="00BA63A2"/>
    <w:rsid w:val="00BA67EB"/>
    <w:rsid w:val="00BA701E"/>
    <w:rsid w:val="00BA72C2"/>
    <w:rsid w:val="00BA7CC8"/>
    <w:rsid w:val="00BB0AE2"/>
    <w:rsid w:val="00BB386D"/>
    <w:rsid w:val="00BB619B"/>
    <w:rsid w:val="00BC20F3"/>
    <w:rsid w:val="00BC2A39"/>
    <w:rsid w:val="00BC3F95"/>
    <w:rsid w:val="00BC54D1"/>
    <w:rsid w:val="00BC5E9A"/>
    <w:rsid w:val="00BD32B5"/>
    <w:rsid w:val="00BD6FC0"/>
    <w:rsid w:val="00BE1E32"/>
    <w:rsid w:val="00BE47EC"/>
    <w:rsid w:val="00BE5BAB"/>
    <w:rsid w:val="00BE65FC"/>
    <w:rsid w:val="00BE7844"/>
    <w:rsid w:val="00BF11F0"/>
    <w:rsid w:val="00BF13D7"/>
    <w:rsid w:val="00BF1885"/>
    <w:rsid w:val="00BF5465"/>
    <w:rsid w:val="00BF57D4"/>
    <w:rsid w:val="00C00019"/>
    <w:rsid w:val="00C001CE"/>
    <w:rsid w:val="00C014E0"/>
    <w:rsid w:val="00C0436E"/>
    <w:rsid w:val="00C05873"/>
    <w:rsid w:val="00C131C2"/>
    <w:rsid w:val="00C1396E"/>
    <w:rsid w:val="00C15F35"/>
    <w:rsid w:val="00C16DE8"/>
    <w:rsid w:val="00C17417"/>
    <w:rsid w:val="00C17BEE"/>
    <w:rsid w:val="00C23664"/>
    <w:rsid w:val="00C25B72"/>
    <w:rsid w:val="00C27438"/>
    <w:rsid w:val="00C3160D"/>
    <w:rsid w:val="00C320C0"/>
    <w:rsid w:val="00C32728"/>
    <w:rsid w:val="00C32EA2"/>
    <w:rsid w:val="00C33EC6"/>
    <w:rsid w:val="00C369A0"/>
    <w:rsid w:val="00C417D9"/>
    <w:rsid w:val="00C44F25"/>
    <w:rsid w:val="00C45C7C"/>
    <w:rsid w:val="00C47C9F"/>
    <w:rsid w:val="00C51D98"/>
    <w:rsid w:val="00C570E8"/>
    <w:rsid w:val="00C579CB"/>
    <w:rsid w:val="00C60C60"/>
    <w:rsid w:val="00C62033"/>
    <w:rsid w:val="00C6327C"/>
    <w:rsid w:val="00C65401"/>
    <w:rsid w:val="00C659EA"/>
    <w:rsid w:val="00C67472"/>
    <w:rsid w:val="00C67D66"/>
    <w:rsid w:val="00C705BE"/>
    <w:rsid w:val="00C71E02"/>
    <w:rsid w:val="00C720F9"/>
    <w:rsid w:val="00C861FA"/>
    <w:rsid w:val="00C862CB"/>
    <w:rsid w:val="00C87523"/>
    <w:rsid w:val="00C91DF7"/>
    <w:rsid w:val="00C92388"/>
    <w:rsid w:val="00CA0B2C"/>
    <w:rsid w:val="00CA13D3"/>
    <w:rsid w:val="00CA20C1"/>
    <w:rsid w:val="00CA2EC5"/>
    <w:rsid w:val="00CA3AFB"/>
    <w:rsid w:val="00CA4C90"/>
    <w:rsid w:val="00CB1C3C"/>
    <w:rsid w:val="00CB2359"/>
    <w:rsid w:val="00CB2789"/>
    <w:rsid w:val="00CB43F1"/>
    <w:rsid w:val="00CB5F8E"/>
    <w:rsid w:val="00CC0190"/>
    <w:rsid w:val="00CC1015"/>
    <w:rsid w:val="00CC1627"/>
    <w:rsid w:val="00CC1CEC"/>
    <w:rsid w:val="00CC22BF"/>
    <w:rsid w:val="00CC41E9"/>
    <w:rsid w:val="00CC43CE"/>
    <w:rsid w:val="00CC6769"/>
    <w:rsid w:val="00CD01DE"/>
    <w:rsid w:val="00CD0F0D"/>
    <w:rsid w:val="00CD13B2"/>
    <w:rsid w:val="00CD2192"/>
    <w:rsid w:val="00CD21FC"/>
    <w:rsid w:val="00CD3EE4"/>
    <w:rsid w:val="00CD542F"/>
    <w:rsid w:val="00CD725A"/>
    <w:rsid w:val="00CE03B6"/>
    <w:rsid w:val="00CE0ECB"/>
    <w:rsid w:val="00CE36F1"/>
    <w:rsid w:val="00CE3F17"/>
    <w:rsid w:val="00CE480D"/>
    <w:rsid w:val="00CE7816"/>
    <w:rsid w:val="00CF0145"/>
    <w:rsid w:val="00CF116C"/>
    <w:rsid w:val="00CF1973"/>
    <w:rsid w:val="00CF2F57"/>
    <w:rsid w:val="00CF34FD"/>
    <w:rsid w:val="00D037A3"/>
    <w:rsid w:val="00D123A6"/>
    <w:rsid w:val="00D16997"/>
    <w:rsid w:val="00D172FC"/>
    <w:rsid w:val="00D2092B"/>
    <w:rsid w:val="00D214D0"/>
    <w:rsid w:val="00D22323"/>
    <w:rsid w:val="00D24CB4"/>
    <w:rsid w:val="00D25793"/>
    <w:rsid w:val="00D27239"/>
    <w:rsid w:val="00D3204A"/>
    <w:rsid w:val="00D320D3"/>
    <w:rsid w:val="00D340F4"/>
    <w:rsid w:val="00D348D6"/>
    <w:rsid w:val="00D36362"/>
    <w:rsid w:val="00D40056"/>
    <w:rsid w:val="00D40E18"/>
    <w:rsid w:val="00D41F8D"/>
    <w:rsid w:val="00D42C99"/>
    <w:rsid w:val="00D4659C"/>
    <w:rsid w:val="00D50E4F"/>
    <w:rsid w:val="00D525BA"/>
    <w:rsid w:val="00D52AD7"/>
    <w:rsid w:val="00D53F8E"/>
    <w:rsid w:val="00D54682"/>
    <w:rsid w:val="00D564EE"/>
    <w:rsid w:val="00D57C99"/>
    <w:rsid w:val="00D60497"/>
    <w:rsid w:val="00D611E1"/>
    <w:rsid w:val="00D655A9"/>
    <w:rsid w:val="00D67A3A"/>
    <w:rsid w:val="00D74B5E"/>
    <w:rsid w:val="00D81285"/>
    <w:rsid w:val="00D8478E"/>
    <w:rsid w:val="00D8589C"/>
    <w:rsid w:val="00D85BB9"/>
    <w:rsid w:val="00D87703"/>
    <w:rsid w:val="00D932DA"/>
    <w:rsid w:val="00D94E2C"/>
    <w:rsid w:val="00D95499"/>
    <w:rsid w:val="00D968AE"/>
    <w:rsid w:val="00D96C0E"/>
    <w:rsid w:val="00DA1732"/>
    <w:rsid w:val="00DA22CD"/>
    <w:rsid w:val="00DA2932"/>
    <w:rsid w:val="00DA6280"/>
    <w:rsid w:val="00DB1B63"/>
    <w:rsid w:val="00DB1D00"/>
    <w:rsid w:val="00DB49AA"/>
    <w:rsid w:val="00DB4CC2"/>
    <w:rsid w:val="00DB53A6"/>
    <w:rsid w:val="00DB53AF"/>
    <w:rsid w:val="00DB5E3F"/>
    <w:rsid w:val="00DB6430"/>
    <w:rsid w:val="00DB7904"/>
    <w:rsid w:val="00DC1071"/>
    <w:rsid w:val="00DC27A0"/>
    <w:rsid w:val="00DC46AF"/>
    <w:rsid w:val="00DC5409"/>
    <w:rsid w:val="00DC7AAB"/>
    <w:rsid w:val="00DD03D5"/>
    <w:rsid w:val="00DD3C05"/>
    <w:rsid w:val="00DE149A"/>
    <w:rsid w:val="00DE20E1"/>
    <w:rsid w:val="00DE320D"/>
    <w:rsid w:val="00DE58B8"/>
    <w:rsid w:val="00DE63E2"/>
    <w:rsid w:val="00DF179A"/>
    <w:rsid w:val="00DF271C"/>
    <w:rsid w:val="00DF4147"/>
    <w:rsid w:val="00DF4E5F"/>
    <w:rsid w:val="00DF60E8"/>
    <w:rsid w:val="00DF77EB"/>
    <w:rsid w:val="00DF78E2"/>
    <w:rsid w:val="00E02E52"/>
    <w:rsid w:val="00E12E95"/>
    <w:rsid w:val="00E14334"/>
    <w:rsid w:val="00E14B6D"/>
    <w:rsid w:val="00E16076"/>
    <w:rsid w:val="00E16769"/>
    <w:rsid w:val="00E17991"/>
    <w:rsid w:val="00E2039E"/>
    <w:rsid w:val="00E26457"/>
    <w:rsid w:val="00E30014"/>
    <w:rsid w:val="00E34F27"/>
    <w:rsid w:val="00E35654"/>
    <w:rsid w:val="00E35CB1"/>
    <w:rsid w:val="00E36934"/>
    <w:rsid w:val="00E40407"/>
    <w:rsid w:val="00E40F74"/>
    <w:rsid w:val="00E41725"/>
    <w:rsid w:val="00E4387A"/>
    <w:rsid w:val="00E439FD"/>
    <w:rsid w:val="00E43B7A"/>
    <w:rsid w:val="00E47F7D"/>
    <w:rsid w:val="00E54DD9"/>
    <w:rsid w:val="00E5520F"/>
    <w:rsid w:val="00E55BF3"/>
    <w:rsid w:val="00E611BB"/>
    <w:rsid w:val="00E61830"/>
    <w:rsid w:val="00E61ABF"/>
    <w:rsid w:val="00E6429B"/>
    <w:rsid w:val="00E650FC"/>
    <w:rsid w:val="00E66479"/>
    <w:rsid w:val="00E66AA0"/>
    <w:rsid w:val="00E71228"/>
    <w:rsid w:val="00E72B3B"/>
    <w:rsid w:val="00E737B1"/>
    <w:rsid w:val="00E8255E"/>
    <w:rsid w:val="00E85B74"/>
    <w:rsid w:val="00E907B5"/>
    <w:rsid w:val="00E926DC"/>
    <w:rsid w:val="00E9560B"/>
    <w:rsid w:val="00E96B27"/>
    <w:rsid w:val="00E97641"/>
    <w:rsid w:val="00EA1770"/>
    <w:rsid w:val="00EA3F3D"/>
    <w:rsid w:val="00EA54FE"/>
    <w:rsid w:val="00EA5B4E"/>
    <w:rsid w:val="00EA611D"/>
    <w:rsid w:val="00EA79E4"/>
    <w:rsid w:val="00EA7FF8"/>
    <w:rsid w:val="00EB0957"/>
    <w:rsid w:val="00EB2164"/>
    <w:rsid w:val="00EB26B6"/>
    <w:rsid w:val="00EB3F7A"/>
    <w:rsid w:val="00EB3F7D"/>
    <w:rsid w:val="00EB5129"/>
    <w:rsid w:val="00EB55D6"/>
    <w:rsid w:val="00EB7ED0"/>
    <w:rsid w:val="00EC05A7"/>
    <w:rsid w:val="00EC0671"/>
    <w:rsid w:val="00EC0CEE"/>
    <w:rsid w:val="00ED074F"/>
    <w:rsid w:val="00ED4087"/>
    <w:rsid w:val="00ED639E"/>
    <w:rsid w:val="00ED6803"/>
    <w:rsid w:val="00EE6D89"/>
    <w:rsid w:val="00EE76D0"/>
    <w:rsid w:val="00EF7386"/>
    <w:rsid w:val="00F07790"/>
    <w:rsid w:val="00F139A1"/>
    <w:rsid w:val="00F144A3"/>
    <w:rsid w:val="00F161CB"/>
    <w:rsid w:val="00F1655D"/>
    <w:rsid w:val="00F214BC"/>
    <w:rsid w:val="00F2193F"/>
    <w:rsid w:val="00F21D8D"/>
    <w:rsid w:val="00F222C8"/>
    <w:rsid w:val="00F227B7"/>
    <w:rsid w:val="00F31598"/>
    <w:rsid w:val="00F31BEC"/>
    <w:rsid w:val="00F3265C"/>
    <w:rsid w:val="00F37D8C"/>
    <w:rsid w:val="00F44717"/>
    <w:rsid w:val="00F50551"/>
    <w:rsid w:val="00F52252"/>
    <w:rsid w:val="00F523CC"/>
    <w:rsid w:val="00F52B9E"/>
    <w:rsid w:val="00F53F6B"/>
    <w:rsid w:val="00F606A1"/>
    <w:rsid w:val="00F6179A"/>
    <w:rsid w:val="00F635FF"/>
    <w:rsid w:val="00F64084"/>
    <w:rsid w:val="00F657AD"/>
    <w:rsid w:val="00F6760B"/>
    <w:rsid w:val="00F67A78"/>
    <w:rsid w:val="00F73ACD"/>
    <w:rsid w:val="00F805F7"/>
    <w:rsid w:val="00F82E7F"/>
    <w:rsid w:val="00F83B83"/>
    <w:rsid w:val="00F85C99"/>
    <w:rsid w:val="00F85E56"/>
    <w:rsid w:val="00F90492"/>
    <w:rsid w:val="00F92049"/>
    <w:rsid w:val="00F93D18"/>
    <w:rsid w:val="00F94A76"/>
    <w:rsid w:val="00F9518E"/>
    <w:rsid w:val="00F959C0"/>
    <w:rsid w:val="00F96E47"/>
    <w:rsid w:val="00FA0C1D"/>
    <w:rsid w:val="00FA1988"/>
    <w:rsid w:val="00FA43EA"/>
    <w:rsid w:val="00FA572C"/>
    <w:rsid w:val="00FA5BE2"/>
    <w:rsid w:val="00FA67D6"/>
    <w:rsid w:val="00FA7CE2"/>
    <w:rsid w:val="00FB1037"/>
    <w:rsid w:val="00FB5259"/>
    <w:rsid w:val="00FB5ECD"/>
    <w:rsid w:val="00FB647D"/>
    <w:rsid w:val="00FB7AD1"/>
    <w:rsid w:val="00FC0E37"/>
    <w:rsid w:val="00FC1EED"/>
    <w:rsid w:val="00FC36E6"/>
    <w:rsid w:val="00FC5DB6"/>
    <w:rsid w:val="00FD0503"/>
    <w:rsid w:val="00FD67B4"/>
    <w:rsid w:val="00FD709E"/>
    <w:rsid w:val="00FD79B7"/>
    <w:rsid w:val="00FE3179"/>
    <w:rsid w:val="00FE3304"/>
    <w:rsid w:val="00FE3A2A"/>
    <w:rsid w:val="00FE582F"/>
    <w:rsid w:val="00FE6143"/>
    <w:rsid w:val="00FE70D9"/>
    <w:rsid w:val="00FF24D1"/>
    <w:rsid w:val="00FF2DBF"/>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E66A3"/>
    <w:pPr>
      <w:autoSpaceDE w:val="0"/>
      <w:autoSpaceDN w:val="0"/>
    </w:pPr>
    <w:rPr>
      <w:rFonts w:eastAsia="Calibri"/>
      <w:color w:val="000000"/>
    </w:rPr>
  </w:style>
  <w:style w:type="paragraph" w:styleId="ListParagraph">
    <w:name w:val="List Paragraph"/>
    <w:basedOn w:val="Normal"/>
    <w:uiPriority w:val="34"/>
    <w:qFormat/>
    <w:rsid w:val="006A4B27"/>
    <w:pPr>
      <w:ind w:left="720"/>
      <w:contextualSpacing/>
    </w:pPr>
  </w:style>
  <w:style w:type="character" w:customStyle="1" w:styleId="FooterChar">
    <w:name w:val="Footer Char"/>
    <w:basedOn w:val="DefaultParagraphFont"/>
    <w:link w:val="Footer"/>
    <w:uiPriority w:val="99"/>
    <w:rsid w:val="006D10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E66A3"/>
    <w:pPr>
      <w:autoSpaceDE w:val="0"/>
      <w:autoSpaceDN w:val="0"/>
    </w:pPr>
    <w:rPr>
      <w:rFonts w:eastAsia="Calibri"/>
      <w:color w:val="000000"/>
    </w:rPr>
  </w:style>
  <w:style w:type="paragraph" w:styleId="ListParagraph">
    <w:name w:val="List Paragraph"/>
    <w:basedOn w:val="Normal"/>
    <w:uiPriority w:val="34"/>
    <w:qFormat/>
    <w:rsid w:val="006A4B27"/>
    <w:pPr>
      <w:ind w:left="720"/>
      <w:contextualSpacing/>
    </w:pPr>
  </w:style>
  <w:style w:type="character" w:customStyle="1" w:styleId="FooterChar">
    <w:name w:val="Footer Char"/>
    <w:basedOn w:val="DefaultParagraphFont"/>
    <w:link w:val="Footer"/>
    <w:uiPriority w:val="99"/>
    <w:rsid w:val="006D10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1931">
      <w:bodyDiv w:val="1"/>
      <w:marLeft w:val="0"/>
      <w:marRight w:val="0"/>
      <w:marTop w:val="0"/>
      <w:marBottom w:val="0"/>
      <w:divBdr>
        <w:top w:val="none" w:sz="0" w:space="0" w:color="auto"/>
        <w:left w:val="none" w:sz="0" w:space="0" w:color="auto"/>
        <w:bottom w:val="none" w:sz="0" w:space="0" w:color="auto"/>
        <w:right w:val="none" w:sz="0" w:space="0" w:color="auto"/>
      </w:divBdr>
    </w:div>
    <w:div w:id="20119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inojoz\Desktop\Letterhead%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CC1A-3288-4087-903A-C5ABD0D1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-.dot</Template>
  <TotalTime>0</TotalTime>
  <Pages>5</Pages>
  <Words>1946</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Minahen, Bob</dc:creator>
  <cp:lastModifiedBy>Schulze, Tracy</cp:lastModifiedBy>
  <cp:revision>2</cp:revision>
  <cp:lastPrinted>2017-08-07T23:52:00Z</cp:lastPrinted>
  <dcterms:created xsi:type="dcterms:W3CDTF">2017-08-09T18:02:00Z</dcterms:created>
  <dcterms:modified xsi:type="dcterms:W3CDTF">2017-08-09T18:02:00Z</dcterms:modified>
</cp:coreProperties>
</file>