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64" w:rsidRDefault="00EA1F64" w:rsidP="006E0425">
      <w:pPr>
        <w:jc w:val="center"/>
        <w:rPr>
          <w:rFonts w:ascii="Palatino Linotype" w:hAnsi="Palatino Linotype"/>
          <w:b/>
          <w:spacing w:val="40"/>
          <w:sz w:val="28"/>
          <w:szCs w:val="28"/>
        </w:rPr>
      </w:pPr>
    </w:p>
    <w:p w:rsidR="00E5545D" w:rsidRPr="00036203" w:rsidRDefault="00E5545D" w:rsidP="006E0425">
      <w:pPr>
        <w:jc w:val="center"/>
        <w:rPr>
          <w:rFonts w:ascii="Palatino Linotype" w:hAnsi="Palatino Linotype"/>
          <w:b/>
          <w:spacing w:val="40"/>
          <w:sz w:val="28"/>
          <w:szCs w:val="28"/>
        </w:rPr>
      </w:pPr>
      <w:r w:rsidRPr="00036203">
        <w:rPr>
          <w:rFonts w:ascii="Palatino Linotype" w:hAnsi="Palatino Linotype"/>
          <w:b/>
          <w:spacing w:val="40"/>
          <w:sz w:val="28"/>
          <w:szCs w:val="28"/>
        </w:rPr>
        <w:t>MEMORANDUM</w:t>
      </w:r>
    </w:p>
    <w:p w:rsidR="00E5545D" w:rsidRDefault="00E5545D" w:rsidP="006E0425">
      <w:pPr>
        <w:rPr>
          <w:rFonts w:ascii="Palatino Linotype" w:hAnsi="Palatino Linotype"/>
          <w:sz w:val="22"/>
          <w:szCs w:val="22"/>
        </w:rPr>
      </w:pPr>
    </w:p>
    <w:p w:rsidR="00DD55BF" w:rsidRPr="00036203" w:rsidRDefault="00DD55BF" w:rsidP="006E0425">
      <w:pPr>
        <w:rPr>
          <w:rFonts w:ascii="Palatino Linotype" w:hAnsi="Palatino Linotype"/>
          <w:sz w:val="22"/>
          <w:szCs w:val="22"/>
        </w:rPr>
      </w:pPr>
    </w:p>
    <w:p w:rsidR="00BA2222" w:rsidRPr="00036203" w:rsidRDefault="003D1C51" w:rsidP="006E0425">
      <w:pPr>
        <w:rPr>
          <w:rFonts w:ascii="Palatino Linotype" w:hAnsi="Palatino Linotype"/>
          <w:sz w:val="22"/>
          <w:szCs w:val="22"/>
        </w:rPr>
      </w:pPr>
      <w:r w:rsidRPr="00036203">
        <w:rPr>
          <w:rFonts w:ascii="Palatino Linotype" w:hAnsi="Palatino Linotype"/>
          <w:sz w:val="22"/>
          <w:szCs w:val="22"/>
        </w:rPr>
        <w:t>TO:</w:t>
      </w:r>
      <w:r w:rsidRPr="00036203">
        <w:rPr>
          <w:rFonts w:ascii="Palatino Linotype" w:hAnsi="Palatino Linotype"/>
          <w:sz w:val="22"/>
          <w:szCs w:val="22"/>
        </w:rPr>
        <w:tab/>
      </w:r>
      <w:r w:rsidRPr="00036203">
        <w:rPr>
          <w:rFonts w:ascii="Palatino Linotype" w:hAnsi="Palatino Linotype"/>
          <w:sz w:val="22"/>
          <w:szCs w:val="22"/>
        </w:rPr>
        <w:tab/>
        <w:t>Board of Supervisors</w:t>
      </w:r>
    </w:p>
    <w:p w:rsidR="003D1C51" w:rsidRPr="00036203" w:rsidRDefault="003D1C51" w:rsidP="006E0425">
      <w:pPr>
        <w:rPr>
          <w:rFonts w:ascii="Palatino Linotype" w:hAnsi="Palatino Linotype"/>
          <w:sz w:val="22"/>
          <w:szCs w:val="22"/>
        </w:rPr>
      </w:pPr>
    </w:p>
    <w:p w:rsidR="003D1C51" w:rsidRPr="00036203" w:rsidRDefault="003D1C51" w:rsidP="006E0425">
      <w:pPr>
        <w:rPr>
          <w:rFonts w:ascii="Palatino Linotype" w:hAnsi="Palatino Linotype"/>
          <w:sz w:val="22"/>
          <w:szCs w:val="22"/>
        </w:rPr>
      </w:pPr>
      <w:r w:rsidRPr="00036203">
        <w:rPr>
          <w:rFonts w:ascii="Palatino Linotype" w:hAnsi="Palatino Linotype"/>
          <w:sz w:val="22"/>
          <w:szCs w:val="22"/>
        </w:rPr>
        <w:t>FROM:</w:t>
      </w:r>
      <w:r w:rsidRPr="00036203">
        <w:rPr>
          <w:rFonts w:ascii="Palatino Linotype" w:hAnsi="Palatino Linotype"/>
          <w:sz w:val="22"/>
          <w:szCs w:val="22"/>
        </w:rPr>
        <w:tab/>
      </w:r>
      <w:r w:rsidR="00036203">
        <w:rPr>
          <w:rFonts w:ascii="Palatino Linotype" w:hAnsi="Palatino Linotype"/>
          <w:sz w:val="22"/>
          <w:szCs w:val="22"/>
        </w:rPr>
        <w:tab/>
      </w:r>
      <w:r w:rsidR="00EF7123">
        <w:rPr>
          <w:rFonts w:ascii="Palatino Linotype" w:hAnsi="Palatino Linotype"/>
          <w:sz w:val="22"/>
          <w:szCs w:val="22"/>
        </w:rPr>
        <w:t>Leanne Link</w:t>
      </w:r>
      <w:r w:rsidRPr="00036203">
        <w:rPr>
          <w:rFonts w:ascii="Palatino Linotype" w:hAnsi="Palatino Linotype"/>
          <w:sz w:val="22"/>
          <w:szCs w:val="22"/>
        </w:rPr>
        <w:t>, County Executive Officer</w:t>
      </w:r>
    </w:p>
    <w:p w:rsidR="003D1C51" w:rsidRPr="00036203" w:rsidRDefault="003D1C51" w:rsidP="006E0425">
      <w:pPr>
        <w:rPr>
          <w:rFonts w:ascii="Palatino Linotype" w:hAnsi="Palatino Linotype"/>
          <w:sz w:val="22"/>
          <w:szCs w:val="22"/>
        </w:rPr>
      </w:pPr>
    </w:p>
    <w:p w:rsidR="003D1C51" w:rsidRPr="00036203" w:rsidRDefault="003D1C51" w:rsidP="006E0425">
      <w:pPr>
        <w:rPr>
          <w:rFonts w:ascii="Palatino Linotype" w:hAnsi="Palatino Linotype"/>
          <w:sz w:val="22"/>
          <w:szCs w:val="22"/>
        </w:rPr>
      </w:pPr>
      <w:r w:rsidRPr="00036203">
        <w:rPr>
          <w:rFonts w:ascii="Palatino Linotype" w:hAnsi="Palatino Linotype"/>
          <w:sz w:val="22"/>
          <w:szCs w:val="22"/>
        </w:rPr>
        <w:t>DATE:</w:t>
      </w:r>
      <w:r w:rsidRPr="00036203">
        <w:rPr>
          <w:rFonts w:ascii="Palatino Linotype" w:hAnsi="Palatino Linotype"/>
          <w:sz w:val="22"/>
          <w:szCs w:val="22"/>
        </w:rPr>
        <w:tab/>
      </w:r>
      <w:r w:rsidRPr="00036203">
        <w:rPr>
          <w:rFonts w:ascii="Palatino Linotype" w:hAnsi="Palatino Linotype"/>
          <w:sz w:val="22"/>
          <w:szCs w:val="22"/>
        </w:rPr>
        <w:tab/>
      </w:r>
      <w:r w:rsidR="00036203" w:rsidRPr="00036203">
        <w:rPr>
          <w:rFonts w:ascii="Palatino Linotype" w:hAnsi="Palatino Linotype"/>
          <w:sz w:val="22"/>
          <w:szCs w:val="22"/>
        </w:rPr>
        <w:t>April 4</w:t>
      </w:r>
      <w:r w:rsidR="000F1296" w:rsidRPr="00036203">
        <w:rPr>
          <w:rFonts w:ascii="Palatino Linotype" w:hAnsi="Palatino Linotype"/>
          <w:sz w:val="22"/>
          <w:szCs w:val="22"/>
        </w:rPr>
        <w:t xml:space="preserve">, </w:t>
      </w:r>
      <w:r w:rsidR="00036203" w:rsidRPr="00036203">
        <w:rPr>
          <w:rFonts w:ascii="Palatino Linotype" w:hAnsi="Palatino Linotype"/>
          <w:sz w:val="22"/>
          <w:szCs w:val="22"/>
        </w:rPr>
        <w:t>2017</w:t>
      </w:r>
    </w:p>
    <w:p w:rsidR="003D1C51" w:rsidRPr="00036203" w:rsidRDefault="003D1C51" w:rsidP="006E0425">
      <w:pPr>
        <w:rPr>
          <w:rFonts w:ascii="Palatino Linotype" w:hAnsi="Palatino Linotype"/>
          <w:sz w:val="22"/>
          <w:szCs w:val="22"/>
        </w:rPr>
      </w:pPr>
    </w:p>
    <w:p w:rsidR="003D1C51" w:rsidRPr="00036203" w:rsidRDefault="003D1C51" w:rsidP="006E0425">
      <w:pPr>
        <w:rPr>
          <w:rFonts w:ascii="Palatino Linotype" w:hAnsi="Palatino Linotype"/>
          <w:b/>
          <w:sz w:val="22"/>
          <w:szCs w:val="22"/>
        </w:rPr>
      </w:pPr>
      <w:r w:rsidRPr="00036203">
        <w:rPr>
          <w:rFonts w:ascii="Palatino Linotype" w:hAnsi="Palatino Linotype"/>
          <w:sz w:val="22"/>
          <w:szCs w:val="22"/>
        </w:rPr>
        <w:t>RE:</w:t>
      </w:r>
      <w:r w:rsidRPr="00036203">
        <w:rPr>
          <w:rFonts w:ascii="Palatino Linotype" w:hAnsi="Palatino Linotype"/>
          <w:sz w:val="22"/>
          <w:szCs w:val="22"/>
        </w:rPr>
        <w:tab/>
      </w:r>
      <w:r w:rsidRPr="00036203">
        <w:rPr>
          <w:rFonts w:ascii="Palatino Linotype" w:hAnsi="Palatino Linotype"/>
          <w:sz w:val="22"/>
          <w:szCs w:val="22"/>
        </w:rPr>
        <w:tab/>
      </w:r>
      <w:r w:rsidR="00DD55BF">
        <w:rPr>
          <w:rFonts w:ascii="Palatino Linotype" w:hAnsi="Palatino Linotype"/>
          <w:b/>
          <w:sz w:val="22"/>
          <w:szCs w:val="22"/>
        </w:rPr>
        <w:t>Fiscal Review for</w:t>
      </w:r>
      <w:r w:rsidRPr="00036203">
        <w:rPr>
          <w:rFonts w:ascii="Palatino Linotype" w:hAnsi="Palatino Linotype"/>
          <w:b/>
          <w:sz w:val="22"/>
          <w:szCs w:val="22"/>
        </w:rPr>
        <w:t xml:space="preserve"> F</w:t>
      </w:r>
      <w:r w:rsidR="00DD55BF">
        <w:rPr>
          <w:rFonts w:ascii="Palatino Linotype" w:hAnsi="Palatino Linotype"/>
          <w:b/>
          <w:sz w:val="22"/>
          <w:szCs w:val="22"/>
        </w:rPr>
        <w:t xml:space="preserve">iscal Year </w:t>
      </w:r>
      <w:r w:rsidR="00CF4018" w:rsidRPr="00036203">
        <w:rPr>
          <w:rFonts w:ascii="Palatino Linotype" w:hAnsi="Palatino Linotype"/>
          <w:b/>
          <w:sz w:val="22"/>
          <w:szCs w:val="22"/>
        </w:rPr>
        <w:t>201</w:t>
      </w:r>
      <w:r w:rsidR="00036203">
        <w:rPr>
          <w:rFonts w:ascii="Palatino Linotype" w:hAnsi="Palatino Linotype"/>
          <w:b/>
          <w:sz w:val="22"/>
          <w:szCs w:val="22"/>
        </w:rPr>
        <w:t>6</w:t>
      </w:r>
      <w:r w:rsidR="00CF4018" w:rsidRPr="00036203">
        <w:rPr>
          <w:rFonts w:ascii="Palatino Linotype" w:hAnsi="Palatino Linotype"/>
          <w:b/>
          <w:sz w:val="22"/>
          <w:szCs w:val="22"/>
        </w:rPr>
        <w:t>-201</w:t>
      </w:r>
      <w:r w:rsidR="00036203">
        <w:rPr>
          <w:rFonts w:ascii="Palatino Linotype" w:hAnsi="Palatino Linotype"/>
          <w:b/>
          <w:sz w:val="22"/>
          <w:szCs w:val="22"/>
        </w:rPr>
        <w:t>7</w:t>
      </w:r>
    </w:p>
    <w:p w:rsidR="00A61FD8" w:rsidRDefault="00A61FD8" w:rsidP="006E0425">
      <w:pPr>
        <w:rPr>
          <w:rFonts w:ascii="Palatino Linotype" w:hAnsi="Palatino Linotype"/>
          <w:sz w:val="22"/>
          <w:szCs w:val="22"/>
        </w:rPr>
      </w:pPr>
    </w:p>
    <w:p w:rsidR="008275B1" w:rsidRPr="00036203" w:rsidRDefault="008275B1" w:rsidP="006E0425">
      <w:pPr>
        <w:rPr>
          <w:rFonts w:ascii="Palatino Linotype" w:hAnsi="Palatino Linotype"/>
          <w:sz w:val="22"/>
          <w:szCs w:val="22"/>
        </w:rPr>
      </w:pPr>
    </w:p>
    <w:p w:rsidR="00795D8E" w:rsidRDefault="00055AE4" w:rsidP="006E0425">
      <w:pPr>
        <w:rPr>
          <w:rFonts w:ascii="Palatino Linotype" w:hAnsi="Palatino Linotype"/>
          <w:sz w:val="22"/>
          <w:szCs w:val="22"/>
        </w:rPr>
      </w:pPr>
      <w:r>
        <w:rPr>
          <w:rFonts w:ascii="Palatino Linotype" w:hAnsi="Palatino Linotype"/>
          <w:sz w:val="22"/>
          <w:szCs w:val="22"/>
        </w:rPr>
        <w:t>A</w:t>
      </w:r>
      <w:r w:rsidRPr="00036203">
        <w:rPr>
          <w:rFonts w:ascii="Palatino Linotype" w:hAnsi="Palatino Linotype"/>
          <w:sz w:val="22"/>
          <w:szCs w:val="22"/>
        </w:rPr>
        <w:t xml:space="preserve">n important part of the County’s </w:t>
      </w:r>
      <w:r>
        <w:rPr>
          <w:rFonts w:ascii="Palatino Linotype" w:hAnsi="Palatino Linotype"/>
          <w:sz w:val="22"/>
          <w:szCs w:val="22"/>
        </w:rPr>
        <w:t>continuous</w:t>
      </w:r>
      <w:r w:rsidRPr="00036203">
        <w:rPr>
          <w:rFonts w:ascii="Palatino Linotype" w:hAnsi="Palatino Linotype"/>
          <w:sz w:val="22"/>
          <w:szCs w:val="22"/>
        </w:rPr>
        <w:t xml:space="preserve"> fiscal monitoring process</w:t>
      </w:r>
      <w:r>
        <w:rPr>
          <w:rFonts w:ascii="Palatino Linotype" w:hAnsi="Palatino Linotype"/>
          <w:sz w:val="22"/>
          <w:szCs w:val="22"/>
        </w:rPr>
        <w:t xml:space="preserve"> is a </w:t>
      </w:r>
      <w:r w:rsidR="00A61FD8" w:rsidRPr="00036203">
        <w:rPr>
          <w:rFonts w:ascii="Palatino Linotype" w:hAnsi="Palatino Linotype"/>
          <w:sz w:val="22"/>
          <w:szCs w:val="22"/>
        </w:rPr>
        <w:t xml:space="preserve">review of the County’s </w:t>
      </w:r>
      <w:r>
        <w:rPr>
          <w:rFonts w:ascii="Palatino Linotype" w:hAnsi="Palatino Linotype"/>
          <w:sz w:val="22"/>
          <w:szCs w:val="22"/>
        </w:rPr>
        <w:t>budget</w:t>
      </w:r>
      <w:r w:rsidR="00A61FD8" w:rsidRPr="00036203">
        <w:rPr>
          <w:rFonts w:ascii="Palatino Linotype" w:hAnsi="Palatino Linotype"/>
          <w:sz w:val="22"/>
          <w:szCs w:val="22"/>
        </w:rPr>
        <w:t xml:space="preserve"> status</w:t>
      </w:r>
      <w:r w:rsidR="001944E0">
        <w:rPr>
          <w:rFonts w:ascii="Palatino Linotype" w:hAnsi="Palatino Linotype"/>
          <w:sz w:val="22"/>
          <w:szCs w:val="22"/>
        </w:rPr>
        <w:t xml:space="preserve"> </w:t>
      </w:r>
      <w:r w:rsidR="00947E4E">
        <w:rPr>
          <w:rFonts w:ascii="Palatino Linotype" w:hAnsi="Palatino Linotype"/>
          <w:sz w:val="22"/>
          <w:szCs w:val="22"/>
        </w:rPr>
        <w:t>throughout</w:t>
      </w:r>
      <w:r w:rsidR="001944E0">
        <w:rPr>
          <w:rFonts w:ascii="Palatino Linotype" w:hAnsi="Palatino Linotype"/>
          <w:sz w:val="22"/>
          <w:szCs w:val="22"/>
        </w:rPr>
        <w:t xml:space="preserve"> the fiscal year</w:t>
      </w:r>
      <w:r w:rsidR="00A61FD8" w:rsidRPr="00036203">
        <w:rPr>
          <w:rFonts w:ascii="Palatino Linotype" w:hAnsi="Palatino Linotype"/>
          <w:sz w:val="22"/>
          <w:szCs w:val="22"/>
        </w:rPr>
        <w:t>, focusing particularly on the General Fund</w:t>
      </w:r>
      <w:r>
        <w:rPr>
          <w:rFonts w:ascii="Palatino Linotype" w:hAnsi="Palatino Linotype"/>
          <w:sz w:val="22"/>
          <w:szCs w:val="22"/>
        </w:rPr>
        <w:t>.</w:t>
      </w:r>
      <w:r w:rsidR="00A61FD8" w:rsidRPr="00036203">
        <w:rPr>
          <w:rFonts w:ascii="Palatino Linotype" w:hAnsi="Palatino Linotype"/>
          <w:sz w:val="22"/>
          <w:szCs w:val="22"/>
        </w:rPr>
        <w:t xml:space="preserve"> </w:t>
      </w:r>
      <w:r>
        <w:rPr>
          <w:rFonts w:ascii="Palatino Linotype" w:hAnsi="Palatino Linotype"/>
          <w:sz w:val="22"/>
          <w:szCs w:val="22"/>
        </w:rPr>
        <w:t xml:space="preserve"> </w:t>
      </w:r>
      <w:r w:rsidR="00947E4E">
        <w:rPr>
          <w:rFonts w:ascii="Palatino Linotype" w:hAnsi="Palatino Linotype"/>
          <w:sz w:val="22"/>
          <w:szCs w:val="22"/>
        </w:rPr>
        <w:t xml:space="preserve">In past years </w:t>
      </w:r>
      <w:r w:rsidR="00472FA5" w:rsidRPr="00036203">
        <w:rPr>
          <w:rFonts w:ascii="Palatino Linotype" w:hAnsi="Palatino Linotype"/>
          <w:sz w:val="22"/>
          <w:szCs w:val="22"/>
        </w:rPr>
        <w:t>the</w:t>
      </w:r>
      <w:r w:rsidR="006D5BAE" w:rsidRPr="00036203">
        <w:rPr>
          <w:rFonts w:ascii="Palatino Linotype" w:hAnsi="Palatino Linotype"/>
          <w:sz w:val="22"/>
          <w:szCs w:val="22"/>
        </w:rPr>
        <w:t xml:space="preserve"> County Executive Office (</w:t>
      </w:r>
      <w:r w:rsidR="00472FA5" w:rsidRPr="00036203">
        <w:rPr>
          <w:rFonts w:ascii="Palatino Linotype" w:hAnsi="Palatino Linotype"/>
          <w:sz w:val="22"/>
          <w:szCs w:val="22"/>
        </w:rPr>
        <w:t>CEO</w:t>
      </w:r>
      <w:r w:rsidR="006D5BAE" w:rsidRPr="00036203">
        <w:rPr>
          <w:rFonts w:ascii="Palatino Linotype" w:hAnsi="Palatino Linotype"/>
          <w:sz w:val="22"/>
          <w:szCs w:val="22"/>
        </w:rPr>
        <w:t>)</w:t>
      </w:r>
      <w:r w:rsidR="00472FA5" w:rsidRPr="00036203">
        <w:rPr>
          <w:rFonts w:ascii="Palatino Linotype" w:hAnsi="Palatino Linotype"/>
          <w:sz w:val="22"/>
          <w:szCs w:val="22"/>
        </w:rPr>
        <w:t xml:space="preserve"> staff</w:t>
      </w:r>
      <w:r w:rsidR="00A61FD8" w:rsidRPr="00036203">
        <w:rPr>
          <w:rFonts w:ascii="Palatino Linotype" w:hAnsi="Palatino Linotype"/>
          <w:sz w:val="22"/>
          <w:szCs w:val="22"/>
        </w:rPr>
        <w:t xml:space="preserve"> work</w:t>
      </w:r>
      <w:r w:rsidR="00947E4E">
        <w:rPr>
          <w:rFonts w:ascii="Palatino Linotype" w:hAnsi="Palatino Linotype"/>
          <w:sz w:val="22"/>
          <w:szCs w:val="22"/>
        </w:rPr>
        <w:t>ed</w:t>
      </w:r>
      <w:r w:rsidR="00A61FD8" w:rsidRPr="00036203">
        <w:rPr>
          <w:rFonts w:ascii="Palatino Linotype" w:hAnsi="Palatino Linotype"/>
          <w:sz w:val="22"/>
          <w:szCs w:val="22"/>
        </w:rPr>
        <w:t xml:space="preserve"> with departments and the Auditor-Controller’s Office to forecast</w:t>
      </w:r>
      <w:r w:rsidR="00947E4E">
        <w:rPr>
          <w:rFonts w:ascii="Palatino Linotype" w:hAnsi="Palatino Linotype"/>
          <w:sz w:val="22"/>
          <w:szCs w:val="22"/>
        </w:rPr>
        <w:t>,</w:t>
      </w:r>
      <w:r w:rsidR="00A61FD8" w:rsidRPr="00036203">
        <w:rPr>
          <w:rFonts w:ascii="Palatino Linotype" w:hAnsi="Palatino Linotype"/>
          <w:sz w:val="22"/>
          <w:szCs w:val="22"/>
        </w:rPr>
        <w:t xml:space="preserve"> </w:t>
      </w:r>
      <w:r w:rsidR="00947E4E">
        <w:rPr>
          <w:rFonts w:ascii="Palatino Linotype" w:hAnsi="Palatino Linotype"/>
          <w:sz w:val="22"/>
          <w:szCs w:val="22"/>
        </w:rPr>
        <w:t xml:space="preserve">at six months and again at nine months, projected year-end </w:t>
      </w:r>
      <w:r w:rsidR="00A61FD8" w:rsidRPr="00036203">
        <w:rPr>
          <w:rFonts w:ascii="Palatino Linotype" w:hAnsi="Palatino Linotype"/>
          <w:sz w:val="22"/>
          <w:szCs w:val="22"/>
        </w:rPr>
        <w:t>revenues, expenditures</w:t>
      </w:r>
      <w:r w:rsidR="00997733">
        <w:rPr>
          <w:rFonts w:ascii="Palatino Linotype" w:hAnsi="Palatino Linotype"/>
          <w:sz w:val="22"/>
          <w:szCs w:val="22"/>
        </w:rPr>
        <w:t>,</w:t>
      </w:r>
      <w:r w:rsidR="00A61FD8" w:rsidRPr="00036203">
        <w:rPr>
          <w:rFonts w:ascii="Palatino Linotype" w:hAnsi="Palatino Linotype"/>
          <w:sz w:val="22"/>
          <w:szCs w:val="22"/>
        </w:rPr>
        <w:t xml:space="preserve"> and </w:t>
      </w:r>
      <w:r w:rsidR="0007691D">
        <w:rPr>
          <w:rFonts w:ascii="Palatino Linotype" w:hAnsi="Palatino Linotype"/>
          <w:sz w:val="22"/>
          <w:szCs w:val="22"/>
        </w:rPr>
        <w:t>“</w:t>
      </w:r>
      <w:r w:rsidR="00A61FD8" w:rsidRPr="00036203">
        <w:rPr>
          <w:rFonts w:ascii="Palatino Linotype" w:hAnsi="Palatino Linotype"/>
          <w:sz w:val="22"/>
          <w:szCs w:val="22"/>
        </w:rPr>
        <w:t>Net County Cost</w:t>
      </w:r>
      <w:r w:rsidR="0007691D">
        <w:rPr>
          <w:rFonts w:ascii="Palatino Linotype" w:hAnsi="Palatino Linotype"/>
          <w:sz w:val="22"/>
          <w:szCs w:val="22"/>
        </w:rPr>
        <w:t>”</w:t>
      </w:r>
      <w:r w:rsidR="00997733">
        <w:rPr>
          <w:rFonts w:ascii="Palatino Linotype" w:hAnsi="Palatino Linotype"/>
          <w:sz w:val="22"/>
          <w:szCs w:val="22"/>
        </w:rPr>
        <w:t xml:space="preserve"> </w:t>
      </w:r>
      <w:r w:rsidR="000E4F9B">
        <w:rPr>
          <w:rFonts w:ascii="Palatino Linotype" w:hAnsi="Palatino Linotype"/>
          <w:sz w:val="22"/>
          <w:szCs w:val="22"/>
        </w:rPr>
        <w:t xml:space="preserve">or </w:t>
      </w:r>
      <w:r w:rsidR="0007691D">
        <w:rPr>
          <w:rFonts w:ascii="Palatino Linotype" w:hAnsi="Palatino Linotype"/>
          <w:sz w:val="22"/>
          <w:szCs w:val="22"/>
        </w:rPr>
        <w:t>“</w:t>
      </w:r>
      <w:r w:rsidR="00A61FD8" w:rsidRPr="00036203">
        <w:rPr>
          <w:rFonts w:ascii="Palatino Linotype" w:hAnsi="Palatino Linotype"/>
          <w:sz w:val="22"/>
          <w:szCs w:val="22"/>
        </w:rPr>
        <w:t>General Fund Contribution</w:t>
      </w:r>
      <w:r w:rsidR="0007691D">
        <w:rPr>
          <w:rFonts w:ascii="Palatino Linotype" w:hAnsi="Palatino Linotype"/>
          <w:sz w:val="22"/>
          <w:szCs w:val="22"/>
        </w:rPr>
        <w:t>”</w:t>
      </w:r>
      <w:r w:rsidR="00997733">
        <w:rPr>
          <w:rFonts w:ascii="Palatino Linotype" w:hAnsi="Palatino Linotype"/>
          <w:sz w:val="22"/>
          <w:szCs w:val="22"/>
        </w:rPr>
        <w:t xml:space="preserve"> </w:t>
      </w:r>
      <w:r w:rsidR="00947E4E">
        <w:rPr>
          <w:rFonts w:ascii="Palatino Linotype" w:hAnsi="Palatino Linotype"/>
          <w:sz w:val="22"/>
          <w:szCs w:val="22"/>
        </w:rPr>
        <w:t>for</w:t>
      </w:r>
      <w:r w:rsidR="00997733">
        <w:rPr>
          <w:rFonts w:ascii="Palatino Linotype" w:hAnsi="Palatino Linotype"/>
          <w:sz w:val="22"/>
          <w:szCs w:val="22"/>
        </w:rPr>
        <w:t xml:space="preserve"> General Fund budgets </w:t>
      </w:r>
      <w:r w:rsidR="000E4F9B">
        <w:rPr>
          <w:rFonts w:ascii="Palatino Linotype" w:hAnsi="Palatino Linotype"/>
          <w:sz w:val="22"/>
          <w:szCs w:val="22"/>
        </w:rPr>
        <w:t>or</w:t>
      </w:r>
      <w:r w:rsidR="00997733">
        <w:rPr>
          <w:rFonts w:ascii="Palatino Linotype" w:hAnsi="Palatino Linotype"/>
          <w:sz w:val="22"/>
          <w:szCs w:val="22"/>
        </w:rPr>
        <w:t xml:space="preserve"> </w:t>
      </w:r>
      <w:r w:rsidR="006C1A7F">
        <w:rPr>
          <w:rFonts w:ascii="Palatino Linotype" w:hAnsi="Palatino Linotype"/>
          <w:sz w:val="22"/>
          <w:szCs w:val="22"/>
        </w:rPr>
        <w:t>“</w:t>
      </w:r>
      <w:r w:rsidR="00997733">
        <w:rPr>
          <w:rFonts w:ascii="Palatino Linotype" w:hAnsi="Palatino Linotype"/>
          <w:sz w:val="22"/>
          <w:szCs w:val="22"/>
        </w:rPr>
        <w:t>Use of Fund Balance</w:t>
      </w:r>
      <w:r w:rsidR="006C1A7F">
        <w:rPr>
          <w:rFonts w:ascii="Palatino Linotype" w:hAnsi="Palatino Linotype"/>
          <w:sz w:val="22"/>
          <w:szCs w:val="22"/>
        </w:rPr>
        <w:t>”</w:t>
      </w:r>
      <w:r w:rsidR="00997733">
        <w:rPr>
          <w:rFonts w:ascii="Palatino Linotype" w:hAnsi="Palatino Linotype"/>
          <w:sz w:val="22"/>
          <w:szCs w:val="22"/>
        </w:rPr>
        <w:t xml:space="preserve"> </w:t>
      </w:r>
      <w:r w:rsidR="00947E4E">
        <w:rPr>
          <w:rFonts w:ascii="Palatino Linotype" w:hAnsi="Palatino Linotype"/>
          <w:sz w:val="22"/>
          <w:szCs w:val="22"/>
        </w:rPr>
        <w:t>for non-General Fund departments</w:t>
      </w:r>
      <w:r w:rsidR="00A61FD8" w:rsidRPr="00036203">
        <w:rPr>
          <w:rFonts w:ascii="Palatino Linotype" w:hAnsi="Palatino Linotype"/>
          <w:sz w:val="22"/>
          <w:szCs w:val="22"/>
        </w:rPr>
        <w:t xml:space="preserve">.  </w:t>
      </w:r>
      <w:r w:rsidR="00947E4E">
        <w:rPr>
          <w:rFonts w:ascii="Palatino Linotype" w:hAnsi="Palatino Linotype"/>
          <w:sz w:val="22"/>
          <w:szCs w:val="22"/>
        </w:rPr>
        <w:t xml:space="preserve">This year we are conducting a single </w:t>
      </w:r>
      <w:r w:rsidR="00E2269E">
        <w:rPr>
          <w:rFonts w:ascii="Palatino Linotype" w:hAnsi="Palatino Linotype"/>
          <w:sz w:val="22"/>
          <w:szCs w:val="22"/>
        </w:rPr>
        <w:t>fiscal</w:t>
      </w:r>
      <w:r w:rsidR="0007691D">
        <w:rPr>
          <w:rFonts w:ascii="Palatino Linotype" w:hAnsi="Palatino Linotype"/>
          <w:sz w:val="22"/>
          <w:szCs w:val="22"/>
        </w:rPr>
        <w:t xml:space="preserve"> </w:t>
      </w:r>
      <w:r w:rsidR="00A61FD8" w:rsidRPr="00036203">
        <w:rPr>
          <w:rFonts w:ascii="Palatino Linotype" w:hAnsi="Palatino Linotype"/>
          <w:sz w:val="22"/>
          <w:szCs w:val="22"/>
        </w:rPr>
        <w:t>review</w:t>
      </w:r>
      <w:r w:rsidR="00947E4E">
        <w:rPr>
          <w:rFonts w:ascii="Palatino Linotype" w:hAnsi="Palatino Linotype"/>
          <w:sz w:val="22"/>
          <w:szCs w:val="22"/>
        </w:rPr>
        <w:t>, which will</w:t>
      </w:r>
      <w:r w:rsidR="00A61FD8" w:rsidRPr="00036203">
        <w:rPr>
          <w:rFonts w:ascii="Palatino Linotype" w:hAnsi="Palatino Linotype"/>
          <w:sz w:val="22"/>
          <w:szCs w:val="22"/>
        </w:rPr>
        <w:t xml:space="preserve"> enable </w:t>
      </w:r>
      <w:r w:rsidR="00364FD3">
        <w:rPr>
          <w:rFonts w:ascii="Palatino Linotype" w:hAnsi="Palatino Linotype"/>
          <w:sz w:val="22"/>
          <w:szCs w:val="22"/>
        </w:rPr>
        <w:t>us</w:t>
      </w:r>
      <w:r w:rsidR="00A61FD8" w:rsidRPr="00036203">
        <w:rPr>
          <w:rFonts w:ascii="Palatino Linotype" w:hAnsi="Palatino Linotype"/>
          <w:sz w:val="22"/>
          <w:szCs w:val="22"/>
        </w:rPr>
        <w:t xml:space="preserve"> to address any current-year budget </w:t>
      </w:r>
      <w:r w:rsidR="002A5FBC" w:rsidRPr="00036203">
        <w:rPr>
          <w:rFonts w:ascii="Palatino Linotype" w:hAnsi="Palatino Linotype"/>
          <w:sz w:val="22"/>
          <w:szCs w:val="22"/>
        </w:rPr>
        <w:t>concern</w:t>
      </w:r>
      <w:r w:rsidR="00A61FD8" w:rsidRPr="00036203">
        <w:rPr>
          <w:rFonts w:ascii="Palatino Linotype" w:hAnsi="Palatino Linotype"/>
          <w:sz w:val="22"/>
          <w:szCs w:val="22"/>
        </w:rPr>
        <w:t xml:space="preserve">s in a timely manner.  </w:t>
      </w:r>
    </w:p>
    <w:p w:rsidR="00795D8E" w:rsidRDefault="00795D8E" w:rsidP="006E0425">
      <w:pPr>
        <w:rPr>
          <w:rFonts w:ascii="Palatino Linotype" w:hAnsi="Palatino Linotype"/>
          <w:sz w:val="22"/>
          <w:szCs w:val="22"/>
        </w:rPr>
      </w:pPr>
    </w:p>
    <w:p w:rsidR="00795D8E" w:rsidRPr="00036203" w:rsidRDefault="007D4273" w:rsidP="006E0425">
      <w:pPr>
        <w:rPr>
          <w:rFonts w:ascii="Palatino Linotype" w:hAnsi="Palatino Linotype"/>
          <w:sz w:val="22"/>
          <w:szCs w:val="22"/>
        </w:rPr>
      </w:pPr>
      <w:r w:rsidRPr="00036203">
        <w:rPr>
          <w:rFonts w:ascii="Palatino Linotype" w:hAnsi="Palatino Linotype"/>
          <w:sz w:val="22"/>
          <w:szCs w:val="22"/>
        </w:rPr>
        <w:t>This process</w:t>
      </w:r>
      <w:r w:rsidR="00A61FD8" w:rsidRPr="00036203">
        <w:rPr>
          <w:rFonts w:ascii="Palatino Linotype" w:hAnsi="Palatino Linotype"/>
          <w:sz w:val="22"/>
          <w:szCs w:val="22"/>
        </w:rPr>
        <w:t xml:space="preserve"> also assists in preparing the </w:t>
      </w:r>
      <w:r w:rsidR="009A0E54" w:rsidRPr="00036203">
        <w:rPr>
          <w:rFonts w:ascii="Palatino Linotype" w:hAnsi="Palatino Linotype"/>
          <w:sz w:val="22"/>
          <w:szCs w:val="22"/>
        </w:rPr>
        <w:t xml:space="preserve">FY </w:t>
      </w:r>
      <w:r w:rsidR="00245D31" w:rsidRPr="00036203">
        <w:rPr>
          <w:rFonts w:ascii="Palatino Linotype" w:hAnsi="Palatino Linotype"/>
          <w:sz w:val="22"/>
          <w:szCs w:val="22"/>
        </w:rPr>
        <w:t>201</w:t>
      </w:r>
      <w:r w:rsidR="00036203">
        <w:rPr>
          <w:rFonts w:ascii="Palatino Linotype" w:hAnsi="Palatino Linotype"/>
          <w:sz w:val="22"/>
          <w:szCs w:val="22"/>
        </w:rPr>
        <w:t>7</w:t>
      </w:r>
      <w:r w:rsidR="00245D31" w:rsidRPr="00036203">
        <w:rPr>
          <w:rFonts w:ascii="Palatino Linotype" w:hAnsi="Palatino Linotype"/>
          <w:sz w:val="22"/>
          <w:szCs w:val="22"/>
        </w:rPr>
        <w:t>-1</w:t>
      </w:r>
      <w:r w:rsidR="00036203">
        <w:rPr>
          <w:rFonts w:ascii="Palatino Linotype" w:hAnsi="Palatino Linotype"/>
          <w:sz w:val="22"/>
          <w:szCs w:val="22"/>
        </w:rPr>
        <w:t>8</w:t>
      </w:r>
      <w:r w:rsidR="00A61FD8" w:rsidRPr="00036203">
        <w:rPr>
          <w:rFonts w:ascii="Palatino Linotype" w:hAnsi="Palatino Linotype"/>
          <w:sz w:val="22"/>
          <w:szCs w:val="22"/>
        </w:rPr>
        <w:t xml:space="preserve"> </w:t>
      </w:r>
      <w:r w:rsidR="00795D8E">
        <w:rPr>
          <w:rFonts w:ascii="Palatino Linotype" w:hAnsi="Palatino Linotype"/>
          <w:sz w:val="22"/>
          <w:szCs w:val="22"/>
        </w:rPr>
        <w:t>b</w:t>
      </w:r>
      <w:r w:rsidR="00A61FD8" w:rsidRPr="00036203">
        <w:rPr>
          <w:rFonts w:ascii="Palatino Linotype" w:hAnsi="Palatino Linotype"/>
          <w:sz w:val="22"/>
          <w:szCs w:val="22"/>
        </w:rPr>
        <w:t>udget, in part by providing a</w:t>
      </w:r>
      <w:r w:rsidR="00795D8E">
        <w:rPr>
          <w:rFonts w:ascii="Palatino Linotype" w:hAnsi="Palatino Linotype"/>
          <w:sz w:val="22"/>
          <w:szCs w:val="22"/>
        </w:rPr>
        <w:t xml:space="preserve"> projection</w:t>
      </w:r>
      <w:r w:rsidR="00A61FD8" w:rsidRPr="00036203">
        <w:rPr>
          <w:rFonts w:ascii="Palatino Linotype" w:hAnsi="Palatino Linotype"/>
          <w:sz w:val="22"/>
          <w:szCs w:val="22"/>
        </w:rPr>
        <w:t xml:space="preserve"> of the </w:t>
      </w:r>
      <w:r w:rsidR="00795D8E">
        <w:rPr>
          <w:rFonts w:ascii="Palatino Linotype" w:hAnsi="Palatino Linotype"/>
          <w:sz w:val="22"/>
          <w:szCs w:val="22"/>
        </w:rPr>
        <w:t xml:space="preserve">General Fund balance at the end of </w:t>
      </w:r>
      <w:r w:rsidR="009A0E54" w:rsidRPr="00036203">
        <w:rPr>
          <w:rFonts w:ascii="Palatino Linotype" w:hAnsi="Palatino Linotype"/>
          <w:sz w:val="22"/>
          <w:szCs w:val="22"/>
        </w:rPr>
        <w:t xml:space="preserve">FY </w:t>
      </w:r>
      <w:r w:rsidR="00245D31" w:rsidRPr="00036203">
        <w:rPr>
          <w:rFonts w:ascii="Palatino Linotype" w:hAnsi="Palatino Linotype"/>
          <w:sz w:val="22"/>
          <w:szCs w:val="22"/>
        </w:rPr>
        <w:t>201</w:t>
      </w:r>
      <w:r w:rsidR="00036203">
        <w:rPr>
          <w:rFonts w:ascii="Palatino Linotype" w:hAnsi="Palatino Linotype"/>
          <w:sz w:val="22"/>
          <w:szCs w:val="22"/>
        </w:rPr>
        <w:t>6</w:t>
      </w:r>
      <w:r w:rsidR="00245D31" w:rsidRPr="00036203">
        <w:rPr>
          <w:rFonts w:ascii="Palatino Linotype" w:hAnsi="Palatino Linotype"/>
          <w:sz w:val="22"/>
          <w:szCs w:val="22"/>
        </w:rPr>
        <w:t>-1</w:t>
      </w:r>
      <w:r w:rsidR="00036203">
        <w:rPr>
          <w:rFonts w:ascii="Palatino Linotype" w:hAnsi="Palatino Linotype"/>
          <w:sz w:val="22"/>
          <w:szCs w:val="22"/>
        </w:rPr>
        <w:t>7</w:t>
      </w:r>
      <w:r w:rsidR="00A61FD8" w:rsidRPr="00036203">
        <w:rPr>
          <w:rFonts w:ascii="Palatino Linotype" w:hAnsi="Palatino Linotype"/>
          <w:sz w:val="22"/>
          <w:szCs w:val="22"/>
        </w:rPr>
        <w:t xml:space="preserve"> </w:t>
      </w:r>
      <w:r w:rsidR="00795D8E">
        <w:rPr>
          <w:rFonts w:ascii="Palatino Linotype" w:hAnsi="Palatino Linotype"/>
          <w:sz w:val="22"/>
          <w:szCs w:val="22"/>
        </w:rPr>
        <w:t>(“</w:t>
      </w:r>
      <w:r w:rsidR="00A61FD8" w:rsidRPr="00036203">
        <w:rPr>
          <w:rFonts w:ascii="Palatino Linotype" w:hAnsi="Palatino Linotype"/>
          <w:sz w:val="22"/>
          <w:szCs w:val="22"/>
        </w:rPr>
        <w:t>ending fund balance</w:t>
      </w:r>
      <w:r w:rsidR="00795D8E">
        <w:rPr>
          <w:rFonts w:ascii="Palatino Linotype" w:hAnsi="Palatino Linotype"/>
          <w:sz w:val="22"/>
          <w:szCs w:val="22"/>
        </w:rPr>
        <w:t>”)</w:t>
      </w:r>
      <w:r w:rsidR="00083EAD">
        <w:rPr>
          <w:rFonts w:ascii="Palatino Linotype" w:hAnsi="Palatino Linotype"/>
          <w:sz w:val="22"/>
          <w:szCs w:val="22"/>
        </w:rPr>
        <w:t xml:space="preserve"> using actuals through March 31, 2017</w:t>
      </w:r>
      <w:r w:rsidR="00A61FD8" w:rsidRPr="00036203">
        <w:rPr>
          <w:rFonts w:ascii="Palatino Linotype" w:hAnsi="Palatino Linotype"/>
          <w:sz w:val="22"/>
          <w:szCs w:val="22"/>
        </w:rPr>
        <w:t xml:space="preserve">.  </w:t>
      </w:r>
      <w:r w:rsidR="00C65856" w:rsidRPr="00036203">
        <w:rPr>
          <w:rFonts w:ascii="Palatino Linotype" w:hAnsi="Palatino Linotype"/>
          <w:sz w:val="22"/>
          <w:szCs w:val="22"/>
        </w:rPr>
        <w:t>T</w:t>
      </w:r>
      <w:r w:rsidR="00A61FD8" w:rsidRPr="00036203">
        <w:rPr>
          <w:rFonts w:ascii="Palatino Linotype" w:hAnsi="Palatino Linotype"/>
          <w:sz w:val="22"/>
          <w:szCs w:val="22"/>
        </w:rPr>
        <w:t xml:space="preserve">he current year ending fund balance becomes the </w:t>
      </w:r>
      <w:r w:rsidR="00A61FD8" w:rsidRPr="00EB7B15">
        <w:rPr>
          <w:rFonts w:ascii="Palatino Linotype" w:hAnsi="Palatino Linotype"/>
          <w:sz w:val="22"/>
          <w:szCs w:val="22"/>
        </w:rPr>
        <w:t xml:space="preserve">beginning fund balance, and thus a major budget </w:t>
      </w:r>
      <w:r w:rsidR="00FE265D" w:rsidRPr="00EB7B15">
        <w:rPr>
          <w:rFonts w:ascii="Palatino Linotype" w:hAnsi="Palatino Linotype"/>
          <w:sz w:val="22"/>
          <w:szCs w:val="22"/>
        </w:rPr>
        <w:t>re</w:t>
      </w:r>
      <w:r w:rsidR="00A61FD8" w:rsidRPr="00EB7B15">
        <w:rPr>
          <w:rFonts w:ascii="Palatino Linotype" w:hAnsi="Palatino Linotype"/>
          <w:sz w:val="22"/>
          <w:szCs w:val="22"/>
        </w:rPr>
        <w:t>source, for the next fiscal year.</w:t>
      </w:r>
      <w:r w:rsidR="00970BEB" w:rsidRPr="00EB7B15">
        <w:rPr>
          <w:rFonts w:ascii="Palatino Linotype" w:hAnsi="Palatino Linotype"/>
          <w:sz w:val="22"/>
          <w:szCs w:val="22"/>
        </w:rPr>
        <w:t xml:space="preserve"> </w:t>
      </w:r>
      <w:r w:rsidR="00EA1F64" w:rsidRPr="00EB7B15">
        <w:rPr>
          <w:rFonts w:ascii="Palatino Linotype" w:hAnsi="Palatino Linotype"/>
          <w:sz w:val="22"/>
          <w:szCs w:val="22"/>
        </w:rPr>
        <w:t xml:space="preserve"> </w:t>
      </w:r>
      <w:r w:rsidR="00D4657F">
        <w:rPr>
          <w:rFonts w:ascii="Palatino Linotype" w:hAnsi="Palatino Linotype"/>
          <w:sz w:val="22"/>
          <w:szCs w:val="22"/>
        </w:rPr>
        <w:t>Therefore,</w:t>
      </w:r>
      <w:r w:rsidR="00D4657F" w:rsidRPr="00036203">
        <w:rPr>
          <w:rFonts w:ascii="Palatino Linotype" w:hAnsi="Palatino Linotype"/>
          <w:sz w:val="22"/>
          <w:szCs w:val="22"/>
        </w:rPr>
        <w:t xml:space="preserve"> maintaining a healthy available fund balance in the General Fund is important.</w:t>
      </w:r>
    </w:p>
    <w:p w:rsidR="00970BEB" w:rsidRPr="00036203" w:rsidRDefault="00970BEB" w:rsidP="006E0425">
      <w:pPr>
        <w:rPr>
          <w:rFonts w:ascii="Palatino Linotype" w:hAnsi="Palatino Linotype"/>
          <w:sz w:val="22"/>
          <w:szCs w:val="22"/>
        </w:rPr>
      </w:pPr>
    </w:p>
    <w:p w:rsidR="00257B24" w:rsidRPr="00036203" w:rsidRDefault="009A0E54" w:rsidP="006E0425">
      <w:pPr>
        <w:rPr>
          <w:rFonts w:ascii="Palatino Linotype" w:hAnsi="Palatino Linotype"/>
          <w:sz w:val="22"/>
          <w:szCs w:val="22"/>
        </w:rPr>
      </w:pPr>
      <w:r w:rsidRPr="00036203">
        <w:rPr>
          <w:rFonts w:ascii="Palatino Linotype" w:hAnsi="Palatino Linotype"/>
          <w:sz w:val="22"/>
          <w:szCs w:val="22"/>
        </w:rPr>
        <w:t xml:space="preserve">While </w:t>
      </w:r>
      <w:r w:rsidR="00245D31" w:rsidRPr="00036203">
        <w:rPr>
          <w:rFonts w:ascii="Palatino Linotype" w:hAnsi="Palatino Linotype"/>
          <w:sz w:val="22"/>
          <w:szCs w:val="22"/>
        </w:rPr>
        <w:t xml:space="preserve">we continue to see </w:t>
      </w:r>
      <w:r w:rsidR="00C13F17" w:rsidRPr="00F308BA">
        <w:rPr>
          <w:rFonts w:ascii="Palatino Linotype" w:hAnsi="Palatino Linotype"/>
          <w:sz w:val="22"/>
          <w:szCs w:val="22"/>
        </w:rPr>
        <w:t>some g</w:t>
      </w:r>
      <w:r w:rsidR="00245D31" w:rsidRPr="00F308BA">
        <w:rPr>
          <w:rFonts w:ascii="Palatino Linotype" w:hAnsi="Palatino Linotype"/>
          <w:sz w:val="22"/>
          <w:szCs w:val="22"/>
        </w:rPr>
        <w:t>rowth in revenues</w:t>
      </w:r>
      <w:r w:rsidRPr="00036203">
        <w:rPr>
          <w:rFonts w:ascii="Palatino Linotype" w:hAnsi="Palatino Linotype"/>
          <w:sz w:val="22"/>
          <w:szCs w:val="22"/>
        </w:rPr>
        <w:t xml:space="preserve">, significant pressures on </w:t>
      </w:r>
      <w:r w:rsidR="004510FE" w:rsidRPr="00036203">
        <w:rPr>
          <w:rFonts w:ascii="Palatino Linotype" w:hAnsi="Palatino Linotype"/>
          <w:sz w:val="22"/>
          <w:szCs w:val="22"/>
        </w:rPr>
        <w:t xml:space="preserve">the </w:t>
      </w:r>
      <w:r w:rsidRPr="00036203">
        <w:rPr>
          <w:rFonts w:ascii="Palatino Linotype" w:hAnsi="Palatino Linotype"/>
          <w:sz w:val="22"/>
          <w:szCs w:val="22"/>
        </w:rPr>
        <w:t>budgets</w:t>
      </w:r>
      <w:r w:rsidR="00E167E3" w:rsidRPr="00036203">
        <w:rPr>
          <w:rFonts w:ascii="Palatino Linotype" w:hAnsi="Palatino Linotype"/>
          <w:sz w:val="22"/>
          <w:szCs w:val="22"/>
        </w:rPr>
        <w:t xml:space="preserve"> remain</w:t>
      </w:r>
      <w:r w:rsidR="00A02C0C" w:rsidRPr="00036203">
        <w:rPr>
          <w:rFonts w:ascii="Palatino Linotype" w:hAnsi="Palatino Linotype"/>
          <w:sz w:val="22"/>
          <w:szCs w:val="22"/>
        </w:rPr>
        <w:t xml:space="preserve">. </w:t>
      </w:r>
      <w:r w:rsidR="00ED2A2E">
        <w:rPr>
          <w:rFonts w:ascii="Palatino Linotype" w:hAnsi="Palatino Linotype"/>
          <w:sz w:val="22"/>
          <w:szCs w:val="22"/>
        </w:rPr>
        <w:t xml:space="preserve"> </w:t>
      </w:r>
      <w:r w:rsidR="00A02C0C" w:rsidRPr="00036203">
        <w:rPr>
          <w:rFonts w:ascii="Palatino Linotype" w:hAnsi="Palatino Linotype"/>
          <w:sz w:val="22"/>
          <w:szCs w:val="22"/>
        </w:rPr>
        <w:t xml:space="preserve"> </w:t>
      </w:r>
      <w:r w:rsidR="006D5BAE" w:rsidRPr="00036203">
        <w:rPr>
          <w:rFonts w:ascii="Palatino Linotype" w:hAnsi="Palatino Linotype"/>
          <w:sz w:val="22"/>
          <w:szCs w:val="22"/>
        </w:rPr>
        <w:t xml:space="preserve">Personnel </w:t>
      </w:r>
      <w:r w:rsidR="00A02C0C" w:rsidRPr="00036203">
        <w:rPr>
          <w:rFonts w:ascii="Palatino Linotype" w:hAnsi="Palatino Linotype"/>
          <w:sz w:val="22"/>
          <w:szCs w:val="22"/>
        </w:rPr>
        <w:t xml:space="preserve">and operating costs continue to grow.  </w:t>
      </w:r>
      <w:r w:rsidR="00E072CD">
        <w:rPr>
          <w:rFonts w:ascii="Palatino Linotype" w:hAnsi="Palatino Linotype"/>
          <w:sz w:val="22"/>
          <w:szCs w:val="22"/>
        </w:rPr>
        <w:t>A</w:t>
      </w:r>
      <w:r w:rsidR="00083EAD">
        <w:rPr>
          <w:rFonts w:ascii="Palatino Linotype" w:hAnsi="Palatino Linotype"/>
          <w:sz w:val="22"/>
          <w:szCs w:val="22"/>
        </w:rPr>
        <w:t>n approximate</w:t>
      </w:r>
      <w:r w:rsidR="00E072CD">
        <w:rPr>
          <w:rFonts w:ascii="Palatino Linotype" w:hAnsi="Palatino Linotype"/>
          <w:sz w:val="22"/>
          <w:szCs w:val="22"/>
        </w:rPr>
        <w:t xml:space="preserve"> $14 million financing gap remains for the new jail.  </w:t>
      </w:r>
      <w:r w:rsidR="00ED2A2E">
        <w:rPr>
          <w:rFonts w:ascii="Palatino Linotype" w:hAnsi="Palatino Linotype"/>
          <w:sz w:val="22"/>
          <w:szCs w:val="22"/>
        </w:rPr>
        <w:t xml:space="preserve">The County needs to consider putting aside additional funds for retirement costs in light of insufficient actions by CalPERS to reduce the anticipated rate of return on investments.  </w:t>
      </w:r>
      <w:r w:rsidR="00F8119C">
        <w:rPr>
          <w:rFonts w:ascii="Palatino Linotype" w:hAnsi="Palatino Linotype"/>
          <w:sz w:val="22"/>
          <w:szCs w:val="22"/>
        </w:rPr>
        <w:t>W</w:t>
      </w:r>
      <w:r w:rsidR="0076790B" w:rsidRPr="00036203">
        <w:rPr>
          <w:rFonts w:ascii="Palatino Linotype" w:hAnsi="Palatino Linotype"/>
          <w:sz w:val="22"/>
          <w:szCs w:val="22"/>
        </w:rPr>
        <w:t xml:space="preserve">e </w:t>
      </w:r>
      <w:r w:rsidR="00C13F17">
        <w:rPr>
          <w:rFonts w:ascii="Palatino Linotype" w:hAnsi="Palatino Linotype"/>
          <w:sz w:val="22"/>
          <w:szCs w:val="22"/>
        </w:rPr>
        <w:t>must</w:t>
      </w:r>
      <w:r w:rsidR="0076790B" w:rsidRPr="00036203">
        <w:rPr>
          <w:rFonts w:ascii="Palatino Linotype" w:hAnsi="Palatino Linotype"/>
          <w:sz w:val="22"/>
          <w:szCs w:val="22"/>
        </w:rPr>
        <w:t xml:space="preserve"> address </w:t>
      </w:r>
      <w:r w:rsidR="00036203">
        <w:rPr>
          <w:rFonts w:ascii="Palatino Linotype" w:hAnsi="Palatino Linotype"/>
          <w:sz w:val="22"/>
          <w:szCs w:val="22"/>
        </w:rPr>
        <w:t xml:space="preserve">significant </w:t>
      </w:r>
      <w:r w:rsidRPr="00036203">
        <w:rPr>
          <w:rFonts w:ascii="Palatino Linotype" w:hAnsi="Palatino Linotype"/>
          <w:sz w:val="22"/>
          <w:szCs w:val="22"/>
        </w:rPr>
        <w:t>capital improvement needs</w:t>
      </w:r>
      <w:r w:rsidR="0069778F" w:rsidRPr="00036203">
        <w:rPr>
          <w:rFonts w:ascii="Palatino Linotype" w:hAnsi="Palatino Linotype"/>
          <w:sz w:val="22"/>
          <w:szCs w:val="22"/>
        </w:rPr>
        <w:t xml:space="preserve"> </w:t>
      </w:r>
      <w:r w:rsidR="0076790B" w:rsidRPr="00036203">
        <w:rPr>
          <w:rFonts w:ascii="Palatino Linotype" w:hAnsi="Palatino Linotype"/>
          <w:sz w:val="22"/>
          <w:szCs w:val="22"/>
        </w:rPr>
        <w:t xml:space="preserve">to maintain </w:t>
      </w:r>
      <w:r w:rsidR="00A02C0C" w:rsidRPr="00036203">
        <w:rPr>
          <w:rFonts w:ascii="Palatino Linotype" w:hAnsi="Palatino Linotype"/>
          <w:sz w:val="22"/>
          <w:szCs w:val="22"/>
        </w:rPr>
        <w:t xml:space="preserve">roads and </w:t>
      </w:r>
      <w:r w:rsidR="0069778F" w:rsidRPr="00036203">
        <w:rPr>
          <w:rFonts w:ascii="Palatino Linotype" w:hAnsi="Palatino Linotype"/>
          <w:sz w:val="22"/>
          <w:szCs w:val="22"/>
        </w:rPr>
        <w:t>our existing facilities in acceptable condition</w:t>
      </w:r>
      <w:r w:rsidR="00257B24" w:rsidRPr="00036203">
        <w:rPr>
          <w:rFonts w:ascii="Palatino Linotype" w:hAnsi="Palatino Linotype"/>
          <w:sz w:val="22"/>
          <w:szCs w:val="22"/>
        </w:rPr>
        <w:t xml:space="preserve">.  </w:t>
      </w:r>
      <w:r w:rsidR="00FE265D" w:rsidRPr="00036203">
        <w:rPr>
          <w:rFonts w:ascii="Palatino Linotype" w:hAnsi="Palatino Linotype"/>
          <w:sz w:val="22"/>
          <w:szCs w:val="22"/>
        </w:rPr>
        <w:t xml:space="preserve">The </w:t>
      </w:r>
      <w:r w:rsidR="00036203">
        <w:rPr>
          <w:rFonts w:ascii="Palatino Linotype" w:hAnsi="Palatino Linotype"/>
          <w:sz w:val="22"/>
          <w:szCs w:val="22"/>
        </w:rPr>
        <w:t>winter 2017 storms</w:t>
      </w:r>
      <w:r w:rsidR="00FE265D" w:rsidRPr="00036203">
        <w:rPr>
          <w:rFonts w:ascii="Palatino Linotype" w:hAnsi="Palatino Linotype"/>
          <w:sz w:val="22"/>
          <w:szCs w:val="22"/>
        </w:rPr>
        <w:t xml:space="preserve"> placed a significant </w:t>
      </w:r>
      <w:r w:rsidR="00036203">
        <w:rPr>
          <w:rFonts w:ascii="Palatino Linotype" w:hAnsi="Palatino Linotype"/>
          <w:sz w:val="22"/>
          <w:szCs w:val="22"/>
        </w:rPr>
        <w:t xml:space="preserve">additional </w:t>
      </w:r>
      <w:r w:rsidR="00FE265D" w:rsidRPr="00036203">
        <w:rPr>
          <w:rFonts w:ascii="Palatino Linotype" w:hAnsi="Palatino Linotype"/>
          <w:sz w:val="22"/>
          <w:szCs w:val="22"/>
        </w:rPr>
        <w:t xml:space="preserve">burden on </w:t>
      </w:r>
      <w:r w:rsidR="002A5FBC" w:rsidRPr="00036203">
        <w:rPr>
          <w:rFonts w:ascii="Palatino Linotype" w:hAnsi="Palatino Linotype"/>
          <w:sz w:val="22"/>
          <w:szCs w:val="22"/>
        </w:rPr>
        <w:t>County</w:t>
      </w:r>
      <w:r w:rsidR="00C65856" w:rsidRPr="00036203">
        <w:rPr>
          <w:rFonts w:ascii="Palatino Linotype" w:hAnsi="Palatino Linotype"/>
          <w:sz w:val="22"/>
          <w:szCs w:val="22"/>
        </w:rPr>
        <w:t xml:space="preserve"> </w:t>
      </w:r>
      <w:r w:rsidR="00C65856" w:rsidRPr="00ED2A2E">
        <w:rPr>
          <w:rFonts w:ascii="Palatino Linotype" w:hAnsi="Palatino Linotype"/>
          <w:sz w:val="22"/>
          <w:szCs w:val="22"/>
        </w:rPr>
        <w:t>resources</w:t>
      </w:r>
      <w:r w:rsidR="00477BAA" w:rsidRPr="00ED2A2E">
        <w:rPr>
          <w:rFonts w:ascii="Palatino Linotype" w:hAnsi="Palatino Linotype"/>
          <w:sz w:val="22"/>
          <w:szCs w:val="22"/>
        </w:rPr>
        <w:t xml:space="preserve">; this </w:t>
      </w:r>
      <w:r w:rsidR="00FA61A4" w:rsidRPr="00ED2A2E">
        <w:rPr>
          <w:rFonts w:ascii="Palatino Linotype" w:hAnsi="Palatino Linotype"/>
          <w:sz w:val="22"/>
          <w:szCs w:val="22"/>
        </w:rPr>
        <w:t xml:space="preserve">impact is </w:t>
      </w:r>
      <w:r w:rsidR="00055AE4" w:rsidRPr="00ED2A2E">
        <w:rPr>
          <w:rFonts w:ascii="Palatino Linotype" w:hAnsi="Palatino Linotype"/>
          <w:sz w:val="22"/>
          <w:szCs w:val="22"/>
        </w:rPr>
        <w:t>described</w:t>
      </w:r>
      <w:r w:rsidR="00FA61A4" w:rsidRPr="00ED2A2E">
        <w:rPr>
          <w:rFonts w:ascii="Palatino Linotype" w:hAnsi="Palatino Linotype"/>
          <w:sz w:val="22"/>
          <w:szCs w:val="22"/>
        </w:rPr>
        <w:t xml:space="preserve"> in </w:t>
      </w:r>
      <w:r w:rsidR="009B22FC" w:rsidRPr="00ED2A2E">
        <w:rPr>
          <w:rFonts w:ascii="Palatino Linotype" w:hAnsi="Palatino Linotype"/>
          <w:sz w:val="22"/>
          <w:szCs w:val="22"/>
        </w:rPr>
        <w:t xml:space="preserve">more detail </w:t>
      </w:r>
      <w:r w:rsidR="00ED2A2E" w:rsidRPr="00ED2A2E">
        <w:rPr>
          <w:rFonts w:ascii="Palatino Linotype" w:hAnsi="Palatino Linotype"/>
          <w:sz w:val="22"/>
          <w:szCs w:val="22"/>
        </w:rPr>
        <w:t>below</w:t>
      </w:r>
      <w:r w:rsidR="00FA61A4" w:rsidRPr="00ED2A2E">
        <w:rPr>
          <w:rFonts w:ascii="Palatino Linotype" w:hAnsi="Palatino Linotype"/>
          <w:sz w:val="22"/>
          <w:szCs w:val="22"/>
        </w:rPr>
        <w:t>.</w:t>
      </w:r>
      <w:r w:rsidR="00A61FD8" w:rsidRPr="00036203">
        <w:rPr>
          <w:rFonts w:ascii="Palatino Linotype" w:hAnsi="Palatino Linotype"/>
          <w:sz w:val="22"/>
          <w:szCs w:val="22"/>
        </w:rPr>
        <w:t xml:space="preserve">  </w:t>
      </w:r>
    </w:p>
    <w:p w:rsidR="00E072CD" w:rsidRDefault="00E072CD" w:rsidP="006E0425">
      <w:pPr>
        <w:rPr>
          <w:rFonts w:ascii="Palatino Linotype" w:hAnsi="Palatino Linotype"/>
          <w:sz w:val="22"/>
          <w:szCs w:val="22"/>
        </w:rPr>
      </w:pPr>
    </w:p>
    <w:p w:rsidR="00D35780" w:rsidRPr="00036203" w:rsidRDefault="009D50BD" w:rsidP="006E0425">
      <w:pPr>
        <w:rPr>
          <w:rFonts w:ascii="Palatino Linotype" w:hAnsi="Palatino Linotype"/>
          <w:sz w:val="22"/>
          <w:szCs w:val="22"/>
        </w:rPr>
      </w:pPr>
      <w:r>
        <w:rPr>
          <w:rFonts w:ascii="Palatino Linotype" w:hAnsi="Palatino Linotype"/>
          <w:sz w:val="22"/>
          <w:szCs w:val="22"/>
        </w:rPr>
        <w:t>We estimate that t</w:t>
      </w:r>
      <w:r w:rsidR="0069778F" w:rsidRPr="00036203">
        <w:rPr>
          <w:rFonts w:ascii="Palatino Linotype" w:hAnsi="Palatino Linotype"/>
          <w:sz w:val="22"/>
          <w:szCs w:val="22"/>
        </w:rPr>
        <w:t xml:space="preserve">he </w:t>
      </w:r>
      <w:r w:rsidR="00902A39" w:rsidRPr="00036203">
        <w:rPr>
          <w:rFonts w:ascii="Palatino Linotype" w:hAnsi="Palatino Linotype"/>
          <w:sz w:val="22"/>
          <w:szCs w:val="22"/>
        </w:rPr>
        <w:t xml:space="preserve">available fund balance in the </w:t>
      </w:r>
      <w:r w:rsidR="0069778F" w:rsidRPr="00036203">
        <w:rPr>
          <w:rFonts w:ascii="Palatino Linotype" w:hAnsi="Palatino Linotype"/>
          <w:sz w:val="22"/>
          <w:szCs w:val="22"/>
        </w:rPr>
        <w:t xml:space="preserve">General Fund is sufficient to sustain the </w:t>
      </w:r>
      <w:r w:rsidR="00F471FC" w:rsidRPr="00036203">
        <w:rPr>
          <w:rFonts w:ascii="Palatino Linotype" w:hAnsi="Palatino Linotype"/>
          <w:sz w:val="22"/>
          <w:szCs w:val="22"/>
        </w:rPr>
        <w:t>projected</w:t>
      </w:r>
      <w:r w:rsidR="0069778F" w:rsidRPr="00036203">
        <w:rPr>
          <w:rFonts w:ascii="Palatino Linotype" w:hAnsi="Palatino Linotype"/>
          <w:sz w:val="22"/>
          <w:szCs w:val="22"/>
        </w:rPr>
        <w:t xml:space="preserve"> level of </w:t>
      </w:r>
      <w:r w:rsidR="00634998" w:rsidRPr="00350618">
        <w:rPr>
          <w:rFonts w:ascii="Palatino Linotype" w:hAnsi="Palatino Linotype"/>
          <w:sz w:val="22"/>
          <w:szCs w:val="22"/>
        </w:rPr>
        <w:t>non-</w:t>
      </w:r>
      <w:r w:rsidR="00350618" w:rsidRPr="00350618">
        <w:rPr>
          <w:rFonts w:ascii="Palatino Linotype" w:hAnsi="Palatino Linotype"/>
          <w:sz w:val="22"/>
          <w:szCs w:val="22"/>
        </w:rPr>
        <w:t xml:space="preserve">winter </w:t>
      </w:r>
      <w:r w:rsidR="00036203" w:rsidRPr="00350618">
        <w:rPr>
          <w:rFonts w:ascii="Palatino Linotype" w:hAnsi="Palatino Linotype"/>
          <w:sz w:val="22"/>
          <w:szCs w:val="22"/>
        </w:rPr>
        <w:t xml:space="preserve">storm </w:t>
      </w:r>
      <w:r w:rsidR="00634998" w:rsidRPr="00350618">
        <w:rPr>
          <w:rFonts w:ascii="Palatino Linotype" w:hAnsi="Palatino Linotype"/>
          <w:sz w:val="22"/>
          <w:szCs w:val="22"/>
        </w:rPr>
        <w:t xml:space="preserve">related </w:t>
      </w:r>
      <w:r w:rsidR="002A5FBC" w:rsidRPr="00350618">
        <w:rPr>
          <w:rFonts w:ascii="Palatino Linotype" w:hAnsi="Palatino Linotype"/>
          <w:sz w:val="22"/>
          <w:szCs w:val="22"/>
        </w:rPr>
        <w:t>N</w:t>
      </w:r>
      <w:r w:rsidR="0069778F" w:rsidRPr="00350618">
        <w:rPr>
          <w:rFonts w:ascii="Palatino Linotype" w:hAnsi="Palatino Linotype"/>
          <w:sz w:val="22"/>
          <w:szCs w:val="22"/>
        </w:rPr>
        <w:t xml:space="preserve">et </w:t>
      </w:r>
      <w:r w:rsidR="002A5FBC" w:rsidRPr="00350618">
        <w:rPr>
          <w:rFonts w:ascii="Palatino Linotype" w:hAnsi="Palatino Linotype"/>
          <w:sz w:val="22"/>
          <w:szCs w:val="22"/>
        </w:rPr>
        <w:t>C</w:t>
      </w:r>
      <w:r w:rsidR="0069778F" w:rsidRPr="00350618">
        <w:rPr>
          <w:rFonts w:ascii="Palatino Linotype" w:hAnsi="Palatino Linotype"/>
          <w:sz w:val="22"/>
          <w:szCs w:val="22"/>
        </w:rPr>
        <w:t xml:space="preserve">ounty </w:t>
      </w:r>
      <w:r w:rsidR="002A5FBC" w:rsidRPr="00350618">
        <w:rPr>
          <w:rFonts w:ascii="Palatino Linotype" w:hAnsi="Palatino Linotype"/>
          <w:sz w:val="22"/>
          <w:szCs w:val="22"/>
        </w:rPr>
        <w:t>C</w:t>
      </w:r>
      <w:r w:rsidR="0069778F" w:rsidRPr="00350618">
        <w:rPr>
          <w:rFonts w:ascii="Palatino Linotype" w:hAnsi="Palatino Linotype"/>
          <w:sz w:val="22"/>
          <w:szCs w:val="22"/>
        </w:rPr>
        <w:t>ost</w:t>
      </w:r>
      <w:r w:rsidR="00F471FC" w:rsidRPr="00350618">
        <w:rPr>
          <w:rFonts w:ascii="Palatino Linotype" w:hAnsi="Palatino Linotype"/>
          <w:sz w:val="22"/>
          <w:szCs w:val="22"/>
        </w:rPr>
        <w:t xml:space="preserve"> for</w:t>
      </w:r>
      <w:r w:rsidR="00F471FC" w:rsidRPr="00036203">
        <w:rPr>
          <w:rFonts w:ascii="Palatino Linotype" w:hAnsi="Palatino Linotype"/>
          <w:sz w:val="22"/>
          <w:szCs w:val="22"/>
        </w:rPr>
        <w:t xml:space="preserve"> the current fiscal year.  </w:t>
      </w:r>
      <w:r w:rsidR="00314413">
        <w:rPr>
          <w:rFonts w:ascii="Palatino Linotype" w:hAnsi="Palatino Linotype"/>
          <w:sz w:val="22"/>
          <w:szCs w:val="22"/>
        </w:rPr>
        <w:t>We</w:t>
      </w:r>
      <w:r w:rsidR="00F471FC" w:rsidRPr="00036203">
        <w:rPr>
          <w:rFonts w:ascii="Palatino Linotype" w:hAnsi="Palatino Linotype"/>
          <w:sz w:val="22"/>
          <w:szCs w:val="22"/>
        </w:rPr>
        <w:t xml:space="preserve"> continually monitor revenue trends and carefully con</w:t>
      </w:r>
      <w:r w:rsidR="00036203">
        <w:rPr>
          <w:rFonts w:ascii="Palatino Linotype" w:hAnsi="Palatino Linotype"/>
          <w:sz w:val="22"/>
          <w:szCs w:val="22"/>
        </w:rPr>
        <w:t>sider</w:t>
      </w:r>
      <w:r w:rsidR="00F471FC" w:rsidRPr="00036203">
        <w:rPr>
          <w:rFonts w:ascii="Palatino Linotype" w:hAnsi="Palatino Linotype"/>
          <w:sz w:val="22"/>
          <w:szCs w:val="22"/>
        </w:rPr>
        <w:t xml:space="preserve"> the impact that existing or proposed expenditure increases will have on </w:t>
      </w:r>
      <w:r w:rsidR="00586180" w:rsidRPr="00036203">
        <w:rPr>
          <w:rFonts w:ascii="Palatino Linotype" w:hAnsi="Palatino Linotype"/>
          <w:sz w:val="22"/>
          <w:szCs w:val="22"/>
        </w:rPr>
        <w:t xml:space="preserve">the </w:t>
      </w:r>
      <w:r w:rsidR="00F471FC" w:rsidRPr="00036203">
        <w:rPr>
          <w:rFonts w:ascii="Palatino Linotype" w:hAnsi="Palatino Linotype"/>
          <w:sz w:val="22"/>
          <w:szCs w:val="22"/>
        </w:rPr>
        <w:t>fund ba</w:t>
      </w:r>
      <w:r w:rsidR="00D848CE">
        <w:rPr>
          <w:rFonts w:ascii="Palatino Linotype" w:hAnsi="Palatino Linotype"/>
          <w:sz w:val="22"/>
          <w:szCs w:val="22"/>
        </w:rPr>
        <w:t>lance now and into the future.</w:t>
      </w:r>
      <w:r w:rsidR="00D35780" w:rsidRPr="00036203">
        <w:rPr>
          <w:rFonts w:ascii="Palatino Linotype" w:hAnsi="Palatino Linotype"/>
          <w:sz w:val="22"/>
          <w:szCs w:val="22"/>
        </w:rPr>
        <w:t xml:space="preserve"> </w:t>
      </w:r>
    </w:p>
    <w:p w:rsidR="00A61FD8" w:rsidRDefault="00A61FD8" w:rsidP="006E0425">
      <w:pPr>
        <w:rPr>
          <w:rFonts w:ascii="Palatino Linotype" w:hAnsi="Palatino Linotype"/>
          <w:sz w:val="22"/>
          <w:szCs w:val="22"/>
        </w:rPr>
      </w:pPr>
    </w:p>
    <w:p w:rsidR="00BF01F6" w:rsidRDefault="00BF01F6" w:rsidP="006E0425">
      <w:pPr>
        <w:rPr>
          <w:rFonts w:ascii="Palatino Linotype" w:hAnsi="Palatino Linotype"/>
          <w:sz w:val="22"/>
          <w:szCs w:val="22"/>
        </w:rPr>
      </w:pPr>
      <w:r>
        <w:rPr>
          <w:rFonts w:ascii="Palatino Linotype" w:hAnsi="Palatino Linotype"/>
          <w:sz w:val="22"/>
          <w:szCs w:val="22"/>
        </w:rPr>
        <w:t xml:space="preserve">This memo includes requested budget adjustments </w:t>
      </w:r>
      <w:r w:rsidR="004267D0">
        <w:rPr>
          <w:rFonts w:ascii="Palatino Linotype" w:hAnsi="Palatino Linotype"/>
          <w:sz w:val="22"/>
          <w:szCs w:val="22"/>
        </w:rPr>
        <w:t xml:space="preserve">(Attachment A) </w:t>
      </w:r>
      <w:r>
        <w:rPr>
          <w:rFonts w:ascii="Palatino Linotype" w:hAnsi="Palatino Linotype"/>
          <w:sz w:val="22"/>
          <w:szCs w:val="22"/>
        </w:rPr>
        <w:t xml:space="preserve">to ensure that there are sufficient appropriations </w:t>
      </w:r>
      <w:r w:rsidR="00FD6B3E">
        <w:rPr>
          <w:rFonts w:ascii="Palatino Linotype" w:hAnsi="Palatino Linotype"/>
          <w:sz w:val="22"/>
          <w:szCs w:val="22"/>
        </w:rPr>
        <w:t>to cover additional expenditures known at this time. The memo also includes a brief analysis of state and federal budget developments.</w:t>
      </w:r>
    </w:p>
    <w:p w:rsidR="00BF01F6" w:rsidRPr="00036203" w:rsidRDefault="00BF01F6" w:rsidP="006E0425">
      <w:pPr>
        <w:rPr>
          <w:rFonts w:ascii="Palatino Linotype" w:hAnsi="Palatino Linotype"/>
          <w:sz w:val="22"/>
          <w:szCs w:val="22"/>
        </w:rPr>
      </w:pPr>
    </w:p>
    <w:p w:rsidR="00576159" w:rsidRPr="00C13F17" w:rsidRDefault="00A61FD8" w:rsidP="006E0425">
      <w:pPr>
        <w:rPr>
          <w:rFonts w:ascii="Palatino Linotype" w:hAnsi="Palatino Linotype"/>
          <w:b/>
        </w:rPr>
      </w:pPr>
      <w:r w:rsidRPr="00C13F17">
        <w:rPr>
          <w:rFonts w:ascii="Palatino Linotype" w:hAnsi="Palatino Linotype"/>
          <w:b/>
        </w:rPr>
        <w:t xml:space="preserve">General Fund </w:t>
      </w:r>
      <w:r w:rsidR="003B0F70">
        <w:rPr>
          <w:rFonts w:ascii="Palatino Linotype" w:hAnsi="Palatino Linotype"/>
          <w:b/>
        </w:rPr>
        <w:t>Current Year Fiscal Status</w:t>
      </w:r>
      <w:r w:rsidR="00314413" w:rsidRPr="00C13F17">
        <w:rPr>
          <w:rFonts w:ascii="Palatino Linotype" w:hAnsi="Palatino Linotype"/>
          <w:b/>
        </w:rPr>
        <w:t xml:space="preserve">  </w:t>
      </w:r>
    </w:p>
    <w:p w:rsidR="00B05586" w:rsidRPr="00036203" w:rsidRDefault="00B05586" w:rsidP="006E0425">
      <w:pPr>
        <w:rPr>
          <w:rFonts w:ascii="Palatino Linotype" w:hAnsi="Palatino Linotype"/>
          <w:sz w:val="22"/>
          <w:szCs w:val="22"/>
        </w:rPr>
      </w:pPr>
    </w:p>
    <w:p w:rsidR="00080EB8" w:rsidRPr="00036203" w:rsidRDefault="00080EB8" w:rsidP="006E0425">
      <w:pPr>
        <w:rPr>
          <w:rFonts w:ascii="Palatino Linotype" w:hAnsi="Palatino Linotype"/>
          <w:sz w:val="22"/>
          <w:szCs w:val="22"/>
        </w:rPr>
      </w:pPr>
      <w:r w:rsidRPr="00036203">
        <w:rPr>
          <w:rFonts w:ascii="Palatino Linotype" w:hAnsi="Palatino Linotype"/>
          <w:sz w:val="22"/>
          <w:szCs w:val="22"/>
        </w:rPr>
        <w:t>Using the most current information available, we believe that the General Fund will likely end FY 201</w:t>
      </w:r>
      <w:r>
        <w:rPr>
          <w:rFonts w:ascii="Palatino Linotype" w:hAnsi="Palatino Linotype"/>
          <w:sz w:val="22"/>
          <w:szCs w:val="22"/>
        </w:rPr>
        <w:t>6</w:t>
      </w:r>
      <w:r w:rsidRPr="00036203">
        <w:rPr>
          <w:rFonts w:ascii="Palatino Linotype" w:hAnsi="Palatino Linotype"/>
          <w:sz w:val="22"/>
          <w:szCs w:val="22"/>
        </w:rPr>
        <w:t>-1</w:t>
      </w:r>
      <w:r>
        <w:rPr>
          <w:rFonts w:ascii="Palatino Linotype" w:hAnsi="Palatino Linotype"/>
          <w:sz w:val="22"/>
          <w:szCs w:val="22"/>
        </w:rPr>
        <w:t>7</w:t>
      </w:r>
      <w:r w:rsidRPr="00036203">
        <w:rPr>
          <w:rFonts w:ascii="Palatino Linotype" w:hAnsi="Palatino Linotype"/>
          <w:sz w:val="22"/>
          <w:szCs w:val="22"/>
        </w:rPr>
        <w:t xml:space="preserve"> with an unassigned ending </w:t>
      </w:r>
      <w:r w:rsidR="005021DB">
        <w:rPr>
          <w:rFonts w:ascii="Palatino Linotype" w:hAnsi="Palatino Linotype"/>
          <w:sz w:val="22"/>
          <w:szCs w:val="22"/>
        </w:rPr>
        <w:t>f</w:t>
      </w:r>
      <w:r w:rsidRPr="00036203">
        <w:rPr>
          <w:rFonts w:ascii="Palatino Linotype" w:hAnsi="Palatino Linotype"/>
          <w:sz w:val="22"/>
          <w:szCs w:val="22"/>
        </w:rPr>
        <w:t xml:space="preserve">und </w:t>
      </w:r>
      <w:r w:rsidR="005021DB">
        <w:rPr>
          <w:rFonts w:ascii="Palatino Linotype" w:hAnsi="Palatino Linotype"/>
          <w:sz w:val="22"/>
          <w:szCs w:val="22"/>
        </w:rPr>
        <w:t>b</w:t>
      </w:r>
      <w:r w:rsidRPr="00036203">
        <w:rPr>
          <w:rFonts w:ascii="Palatino Linotype" w:hAnsi="Palatino Linotype"/>
          <w:sz w:val="22"/>
          <w:szCs w:val="22"/>
        </w:rPr>
        <w:t xml:space="preserve">alance of </w:t>
      </w:r>
      <w:r w:rsidRPr="007B5682">
        <w:rPr>
          <w:rFonts w:ascii="Palatino Linotype" w:hAnsi="Palatino Linotype"/>
          <w:sz w:val="22"/>
          <w:szCs w:val="22"/>
        </w:rPr>
        <w:t xml:space="preserve">approximately </w:t>
      </w:r>
      <w:r w:rsidRPr="00B61F50">
        <w:rPr>
          <w:rFonts w:ascii="Palatino Linotype" w:hAnsi="Palatino Linotype"/>
          <w:sz w:val="22"/>
          <w:szCs w:val="22"/>
        </w:rPr>
        <w:t>$</w:t>
      </w:r>
      <w:r w:rsidR="00B61F50" w:rsidRPr="00B61F50">
        <w:rPr>
          <w:rFonts w:ascii="Palatino Linotype" w:hAnsi="Palatino Linotype"/>
          <w:sz w:val="22"/>
          <w:szCs w:val="22"/>
        </w:rPr>
        <w:t>5.5</w:t>
      </w:r>
      <w:r w:rsidRPr="00B61F50">
        <w:rPr>
          <w:rFonts w:ascii="Palatino Linotype" w:hAnsi="Palatino Linotype"/>
          <w:sz w:val="22"/>
          <w:szCs w:val="22"/>
        </w:rPr>
        <w:t xml:space="preserve"> million.</w:t>
      </w:r>
      <w:r w:rsidRPr="007B5682">
        <w:rPr>
          <w:rFonts w:ascii="Palatino Linotype" w:hAnsi="Palatino Linotype"/>
          <w:sz w:val="22"/>
          <w:szCs w:val="22"/>
        </w:rPr>
        <w:t xml:space="preserve"> </w:t>
      </w:r>
      <w:r w:rsidR="00C00582" w:rsidRPr="007B5682">
        <w:rPr>
          <w:rFonts w:ascii="Palatino Linotype" w:hAnsi="Palatino Linotype"/>
          <w:sz w:val="22"/>
          <w:szCs w:val="22"/>
        </w:rPr>
        <w:t xml:space="preserve">The </w:t>
      </w:r>
      <w:r w:rsidR="00C00582">
        <w:rPr>
          <w:rFonts w:ascii="Palatino Linotype" w:hAnsi="Palatino Linotype"/>
          <w:sz w:val="22"/>
          <w:szCs w:val="22"/>
        </w:rPr>
        <w:t>chart below provides more detail.</w:t>
      </w:r>
    </w:p>
    <w:p w:rsidR="00080EB8" w:rsidRDefault="00080EB8" w:rsidP="006E0425">
      <w:pPr>
        <w:rPr>
          <w:rFonts w:ascii="Palatino Linotype" w:hAnsi="Palatino Linotype"/>
          <w:sz w:val="22"/>
          <w:szCs w:val="22"/>
        </w:rPr>
      </w:pPr>
    </w:p>
    <w:p w:rsidR="00080EB8" w:rsidRPr="00036203" w:rsidRDefault="00080EB8" w:rsidP="006E0425">
      <w:pPr>
        <w:rPr>
          <w:rFonts w:ascii="Palatino Linotype" w:hAnsi="Palatino Linotype"/>
          <w:sz w:val="22"/>
          <w:szCs w:val="22"/>
        </w:rPr>
      </w:pPr>
    </w:p>
    <w:p w:rsidR="00544106" w:rsidRPr="006C393D" w:rsidRDefault="006C393D" w:rsidP="00CD01BC">
      <w:pPr>
        <w:jc w:val="center"/>
        <w:rPr>
          <w:rFonts w:ascii="Palatino Linotype" w:hAnsi="Palatino Linotype"/>
          <w:sz w:val="22"/>
          <w:szCs w:val="22"/>
        </w:rPr>
      </w:pPr>
      <w:r w:rsidRPr="006C393D">
        <w:rPr>
          <w:rFonts w:ascii="Palatino Linotype" w:hAnsi="Palatino Linotype"/>
          <w:sz w:val="22"/>
          <w:szCs w:val="22"/>
        </w:rPr>
        <w:t>(Continued on next page)</w:t>
      </w:r>
      <w:r w:rsidR="00544106" w:rsidRPr="006C393D">
        <w:rPr>
          <w:rFonts w:ascii="Palatino Linotype" w:hAnsi="Palatino Linotype"/>
          <w:sz w:val="22"/>
          <w:szCs w:val="22"/>
        </w:rPr>
        <w:br w:type="page"/>
      </w:r>
    </w:p>
    <w:p w:rsidR="00312AF3" w:rsidRPr="003E1AF7" w:rsidRDefault="00312AF3" w:rsidP="00312AF3">
      <w:pPr>
        <w:jc w:val="center"/>
        <w:rPr>
          <w:rFonts w:ascii="Palatino Linotype" w:hAnsi="Palatino Linotype"/>
        </w:rPr>
      </w:pPr>
    </w:p>
    <w:p w:rsidR="00312AF3" w:rsidRPr="003E1AF7" w:rsidRDefault="00312AF3" w:rsidP="00312AF3">
      <w:pPr>
        <w:rPr>
          <w:rFonts w:ascii="Palatino Linotype" w:hAnsi="Palatino Linotype"/>
          <w:sz w:val="22"/>
          <w:szCs w:val="22"/>
          <w:highlight w:val="yellow"/>
        </w:rPr>
      </w:pPr>
    </w:p>
    <w:p w:rsidR="003E1AF7" w:rsidRPr="003E1AF7" w:rsidRDefault="003E1AF7" w:rsidP="00312AF3">
      <w:pPr>
        <w:rPr>
          <w:rFonts w:ascii="Palatino Linotype" w:hAnsi="Palatino Linotype"/>
          <w:sz w:val="22"/>
          <w:szCs w:val="22"/>
          <w:highlight w:val="yellow"/>
        </w:rPr>
      </w:pPr>
    </w:p>
    <w:tbl>
      <w:tblPr>
        <w:tblW w:w="10980" w:type="dxa"/>
        <w:tblInd w:w="108" w:type="dxa"/>
        <w:tblLook w:val="04A0" w:firstRow="1" w:lastRow="0" w:firstColumn="1" w:lastColumn="0" w:noHBand="0" w:noVBand="1"/>
      </w:tblPr>
      <w:tblGrid>
        <w:gridCol w:w="4800"/>
        <w:gridCol w:w="2060"/>
        <w:gridCol w:w="2060"/>
        <w:gridCol w:w="2060"/>
      </w:tblGrid>
      <w:tr w:rsidR="0084589A" w:rsidTr="0084589A">
        <w:trPr>
          <w:trHeight w:val="312"/>
        </w:trPr>
        <w:tc>
          <w:tcPr>
            <w:tcW w:w="10980" w:type="dxa"/>
            <w:gridSpan w:val="4"/>
            <w:vMerge w:val="restart"/>
            <w:tcBorders>
              <w:top w:val="nil"/>
              <w:left w:val="nil"/>
              <w:bottom w:val="nil"/>
              <w:right w:val="nil"/>
            </w:tcBorders>
            <w:shd w:val="clear" w:color="auto" w:fill="auto"/>
            <w:vAlign w:val="center"/>
            <w:hideMark/>
          </w:tcPr>
          <w:p w:rsidR="0084589A" w:rsidRDefault="0084589A">
            <w:pPr>
              <w:jc w:val="center"/>
              <w:rPr>
                <w:rFonts w:ascii="Palatino Linotype" w:hAnsi="Palatino Linotype"/>
                <w:b/>
                <w:bCs/>
                <w:sz w:val="22"/>
                <w:szCs w:val="22"/>
              </w:rPr>
            </w:pPr>
            <w:r>
              <w:rPr>
                <w:rFonts w:ascii="Palatino Linotype" w:hAnsi="Palatino Linotype"/>
                <w:b/>
                <w:bCs/>
                <w:sz w:val="22"/>
                <w:szCs w:val="22"/>
              </w:rPr>
              <w:t xml:space="preserve">General Fund Budget </w:t>
            </w:r>
            <w:r>
              <w:rPr>
                <w:rFonts w:ascii="Palatino Linotype" w:hAnsi="Palatino Linotype"/>
                <w:b/>
                <w:bCs/>
                <w:sz w:val="18"/>
                <w:szCs w:val="18"/>
                <w:vertAlign w:val="superscript"/>
              </w:rPr>
              <w:t>1</w:t>
            </w:r>
          </w:p>
        </w:tc>
      </w:tr>
      <w:tr w:rsidR="0084589A" w:rsidTr="0084589A">
        <w:trPr>
          <w:trHeight w:val="297"/>
        </w:trPr>
        <w:tc>
          <w:tcPr>
            <w:tcW w:w="10980" w:type="dxa"/>
            <w:gridSpan w:val="4"/>
            <w:vMerge/>
            <w:tcBorders>
              <w:top w:val="nil"/>
              <w:left w:val="nil"/>
              <w:bottom w:val="nil"/>
              <w:right w:val="nil"/>
            </w:tcBorders>
            <w:vAlign w:val="center"/>
            <w:hideMark/>
          </w:tcPr>
          <w:p w:rsidR="0084589A" w:rsidRDefault="0084589A">
            <w:pPr>
              <w:rPr>
                <w:rFonts w:ascii="Palatino Linotype" w:hAnsi="Palatino Linotype"/>
                <w:b/>
                <w:bCs/>
                <w:sz w:val="22"/>
                <w:szCs w:val="22"/>
              </w:rPr>
            </w:pPr>
          </w:p>
        </w:tc>
      </w:tr>
      <w:tr w:rsidR="0084589A" w:rsidTr="0084589A">
        <w:trPr>
          <w:trHeight w:val="312"/>
        </w:trPr>
        <w:tc>
          <w:tcPr>
            <w:tcW w:w="10980" w:type="dxa"/>
            <w:gridSpan w:val="4"/>
            <w:tcBorders>
              <w:top w:val="nil"/>
              <w:left w:val="nil"/>
              <w:bottom w:val="nil"/>
              <w:right w:val="nil"/>
            </w:tcBorders>
            <w:shd w:val="clear" w:color="auto" w:fill="auto"/>
            <w:vAlign w:val="center"/>
            <w:hideMark/>
          </w:tcPr>
          <w:p w:rsidR="0084589A" w:rsidRDefault="0084589A">
            <w:pPr>
              <w:jc w:val="center"/>
              <w:rPr>
                <w:rFonts w:ascii="Palatino Linotype" w:hAnsi="Palatino Linotype"/>
                <w:b/>
                <w:bCs/>
                <w:sz w:val="22"/>
                <w:szCs w:val="22"/>
              </w:rPr>
            </w:pPr>
            <w:r>
              <w:rPr>
                <w:rFonts w:ascii="Palatino Linotype" w:hAnsi="Palatino Linotype"/>
                <w:b/>
                <w:bCs/>
                <w:sz w:val="22"/>
                <w:szCs w:val="22"/>
              </w:rPr>
              <w:t>Fiscal Review FY 2016-17</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b/>
                <w:bCs/>
                <w:sz w:val="22"/>
                <w:szCs w:val="22"/>
              </w:rPr>
            </w:pPr>
          </w:p>
        </w:tc>
        <w:tc>
          <w:tcPr>
            <w:tcW w:w="206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b/>
                <w:bCs/>
                <w:sz w:val="22"/>
                <w:szCs w:val="22"/>
              </w:rPr>
            </w:pPr>
          </w:p>
        </w:tc>
        <w:tc>
          <w:tcPr>
            <w:tcW w:w="2060" w:type="dxa"/>
            <w:tcBorders>
              <w:top w:val="nil"/>
              <w:left w:val="nil"/>
              <w:bottom w:val="nil"/>
              <w:right w:val="nil"/>
            </w:tcBorders>
            <w:shd w:val="clear" w:color="auto" w:fill="auto"/>
            <w:vAlign w:val="center"/>
            <w:hideMark/>
          </w:tcPr>
          <w:p w:rsidR="0084589A" w:rsidRDefault="0084589A">
            <w:pPr>
              <w:jc w:val="center"/>
              <w:rPr>
                <w:rFonts w:ascii="Palatino Linotype" w:hAnsi="Palatino Linotype"/>
                <w:b/>
                <w:bCs/>
                <w:sz w:val="22"/>
                <w:szCs w:val="22"/>
              </w:rPr>
            </w:pPr>
            <w:r>
              <w:rPr>
                <w:rFonts w:ascii="Palatino Linotype" w:hAnsi="Palatino Linotype"/>
                <w:b/>
                <w:bCs/>
                <w:sz w:val="22"/>
                <w:szCs w:val="22"/>
              </w:rPr>
              <w:t>FY 2016-17</w:t>
            </w:r>
          </w:p>
        </w:tc>
        <w:tc>
          <w:tcPr>
            <w:tcW w:w="2060" w:type="dxa"/>
            <w:tcBorders>
              <w:top w:val="nil"/>
              <w:left w:val="nil"/>
              <w:bottom w:val="nil"/>
              <w:right w:val="nil"/>
            </w:tcBorders>
            <w:shd w:val="clear" w:color="auto" w:fill="auto"/>
            <w:vAlign w:val="center"/>
            <w:hideMark/>
          </w:tcPr>
          <w:p w:rsidR="0084589A" w:rsidRDefault="0084589A">
            <w:pPr>
              <w:jc w:val="center"/>
              <w:rPr>
                <w:rFonts w:ascii="Palatino Linotype" w:hAnsi="Palatino Linotype"/>
                <w:b/>
                <w:bCs/>
                <w:sz w:val="22"/>
                <w:szCs w:val="22"/>
              </w:rPr>
            </w:pPr>
            <w:r>
              <w:rPr>
                <w:rFonts w:ascii="Palatino Linotype" w:hAnsi="Palatino Linotype"/>
                <w:b/>
                <w:bCs/>
                <w:sz w:val="22"/>
                <w:szCs w:val="22"/>
              </w:rPr>
              <w:t>FY 2016-17</w:t>
            </w:r>
          </w:p>
        </w:tc>
        <w:tc>
          <w:tcPr>
            <w:tcW w:w="2060" w:type="dxa"/>
            <w:tcBorders>
              <w:top w:val="nil"/>
              <w:left w:val="nil"/>
              <w:bottom w:val="nil"/>
              <w:right w:val="nil"/>
            </w:tcBorders>
            <w:shd w:val="clear" w:color="auto" w:fill="auto"/>
            <w:vAlign w:val="center"/>
            <w:hideMark/>
          </w:tcPr>
          <w:p w:rsidR="0084589A" w:rsidRDefault="0084589A">
            <w:pPr>
              <w:jc w:val="center"/>
              <w:rPr>
                <w:rFonts w:ascii="Palatino Linotype" w:hAnsi="Palatino Linotype"/>
                <w:b/>
                <w:bCs/>
                <w:sz w:val="22"/>
                <w:szCs w:val="22"/>
              </w:rPr>
            </w:pPr>
          </w:p>
        </w:tc>
      </w:tr>
      <w:tr w:rsidR="0084589A" w:rsidTr="0084589A">
        <w:trPr>
          <w:trHeight w:val="348"/>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b/>
                <w:bCs/>
                <w:sz w:val="22"/>
                <w:szCs w:val="22"/>
              </w:rPr>
            </w:pPr>
          </w:p>
        </w:tc>
        <w:tc>
          <w:tcPr>
            <w:tcW w:w="2060" w:type="dxa"/>
            <w:tcBorders>
              <w:top w:val="nil"/>
              <w:left w:val="nil"/>
              <w:bottom w:val="nil"/>
              <w:right w:val="nil"/>
            </w:tcBorders>
            <w:shd w:val="clear" w:color="auto" w:fill="auto"/>
            <w:vAlign w:val="center"/>
            <w:hideMark/>
          </w:tcPr>
          <w:p w:rsidR="0084589A" w:rsidRDefault="0084589A">
            <w:pPr>
              <w:jc w:val="center"/>
              <w:rPr>
                <w:rFonts w:ascii="Palatino Linotype" w:hAnsi="Palatino Linotype"/>
                <w:b/>
                <w:bCs/>
                <w:sz w:val="22"/>
                <w:szCs w:val="22"/>
              </w:rPr>
            </w:pPr>
            <w:r>
              <w:rPr>
                <w:rFonts w:ascii="Palatino Linotype" w:hAnsi="Palatino Linotype"/>
                <w:b/>
                <w:bCs/>
                <w:sz w:val="22"/>
                <w:szCs w:val="22"/>
              </w:rPr>
              <w:t xml:space="preserve">Adj. Budget </w:t>
            </w:r>
            <w:r>
              <w:rPr>
                <w:rFonts w:ascii="Palatino Linotype" w:hAnsi="Palatino Linotype"/>
                <w:b/>
                <w:bCs/>
                <w:sz w:val="22"/>
                <w:szCs w:val="22"/>
                <w:vertAlign w:val="superscript"/>
              </w:rPr>
              <w:t>2</w:t>
            </w:r>
          </w:p>
        </w:tc>
        <w:tc>
          <w:tcPr>
            <w:tcW w:w="2060" w:type="dxa"/>
            <w:tcBorders>
              <w:top w:val="nil"/>
              <w:left w:val="nil"/>
              <w:bottom w:val="nil"/>
              <w:right w:val="nil"/>
            </w:tcBorders>
            <w:shd w:val="clear" w:color="auto" w:fill="auto"/>
            <w:vAlign w:val="center"/>
            <w:hideMark/>
          </w:tcPr>
          <w:p w:rsidR="0084589A" w:rsidRDefault="0084589A">
            <w:pPr>
              <w:jc w:val="center"/>
              <w:rPr>
                <w:rFonts w:ascii="Palatino Linotype" w:hAnsi="Palatino Linotype"/>
                <w:b/>
                <w:bCs/>
                <w:sz w:val="22"/>
                <w:szCs w:val="22"/>
              </w:rPr>
            </w:pPr>
            <w:r>
              <w:rPr>
                <w:rFonts w:ascii="Palatino Linotype" w:hAnsi="Palatino Linotype"/>
                <w:b/>
                <w:bCs/>
                <w:sz w:val="22"/>
                <w:szCs w:val="22"/>
              </w:rPr>
              <w:t>Estimated Actuals</w:t>
            </w:r>
          </w:p>
        </w:tc>
        <w:tc>
          <w:tcPr>
            <w:tcW w:w="2060" w:type="dxa"/>
            <w:tcBorders>
              <w:top w:val="nil"/>
              <w:left w:val="nil"/>
              <w:bottom w:val="nil"/>
              <w:right w:val="nil"/>
            </w:tcBorders>
            <w:shd w:val="clear" w:color="auto" w:fill="auto"/>
            <w:vAlign w:val="center"/>
            <w:hideMark/>
          </w:tcPr>
          <w:p w:rsidR="0084589A" w:rsidRDefault="0084589A">
            <w:pPr>
              <w:jc w:val="center"/>
              <w:rPr>
                <w:rFonts w:ascii="Palatino Linotype" w:hAnsi="Palatino Linotype"/>
                <w:b/>
                <w:bCs/>
                <w:sz w:val="22"/>
                <w:szCs w:val="22"/>
              </w:rPr>
            </w:pPr>
            <w:r>
              <w:rPr>
                <w:rFonts w:ascii="Palatino Linotype" w:hAnsi="Palatino Linotype"/>
                <w:b/>
                <w:bCs/>
                <w:sz w:val="22"/>
                <w:szCs w:val="22"/>
              </w:rPr>
              <w:t>Difference</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b/>
                <w:bCs/>
                <w:sz w:val="22"/>
                <w:szCs w:val="22"/>
              </w:rPr>
            </w:pPr>
          </w:p>
        </w:tc>
        <w:tc>
          <w:tcPr>
            <w:tcW w:w="206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b/>
                <w:bCs/>
                <w:sz w:val="22"/>
                <w:szCs w:val="22"/>
              </w:rPr>
            </w:pPr>
            <w:r>
              <w:rPr>
                <w:rFonts w:ascii="Palatino Linotype" w:hAnsi="Palatino Linotype"/>
                <w:b/>
                <w:bCs/>
                <w:sz w:val="22"/>
                <w:szCs w:val="22"/>
              </w:rPr>
              <w:t>Resources</w:t>
            </w:r>
          </w:p>
        </w:tc>
        <w:tc>
          <w:tcPr>
            <w:tcW w:w="206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r>
      <w:tr w:rsidR="0084589A" w:rsidTr="0084589A">
        <w:trPr>
          <w:trHeight w:val="348"/>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b/>
                <w:bCs/>
                <w:sz w:val="22"/>
                <w:szCs w:val="22"/>
              </w:rPr>
            </w:pPr>
            <w:bookmarkStart w:id="0" w:name="RANGE!A9"/>
            <w:r>
              <w:rPr>
                <w:rFonts w:ascii="Palatino Linotype" w:hAnsi="Palatino Linotype"/>
                <w:b/>
                <w:bCs/>
                <w:sz w:val="22"/>
                <w:szCs w:val="22"/>
              </w:rPr>
              <w:t xml:space="preserve">   Beginning Fund Balance </w:t>
            </w:r>
            <w:r>
              <w:rPr>
                <w:rFonts w:ascii="Palatino Linotype" w:hAnsi="Palatino Linotype"/>
                <w:b/>
                <w:bCs/>
                <w:sz w:val="22"/>
                <w:szCs w:val="22"/>
                <w:vertAlign w:val="superscript"/>
              </w:rPr>
              <w:t>3</w:t>
            </w:r>
            <w:bookmarkEnd w:id="0"/>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b/>
                <w:bCs/>
                <w:sz w:val="22"/>
                <w:szCs w:val="22"/>
              </w:rPr>
            </w:pPr>
            <w:r>
              <w:rPr>
                <w:rFonts w:ascii="Palatino Linotype" w:hAnsi="Palatino Linotype"/>
                <w:b/>
                <w:bCs/>
                <w:sz w:val="22"/>
                <w:szCs w:val="22"/>
              </w:rPr>
              <w:t xml:space="preserve"> $            15,080,195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b/>
                <w:bCs/>
                <w:sz w:val="22"/>
                <w:szCs w:val="22"/>
              </w:rPr>
            </w:pPr>
            <w:r>
              <w:rPr>
                <w:rFonts w:ascii="Palatino Linotype" w:hAnsi="Palatino Linotype"/>
                <w:b/>
                <w:bCs/>
                <w:sz w:val="22"/>
                <w:szCs w:val="22"/>
              </w:rPr>
              <w:t xml:space="preserve"> $            15,080,195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0 </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Reserves</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b/>
                <w:bCs/>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b/>
                <w:bCs/>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Use of Earthquake Reserve</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2,000,000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2,000,000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0 </w:t>
            </w:r>
          </w:p>
        </w:tc>
      </w:tr>
      <w:tr w:rsidR="0084589A" w:rsidTr="0084589A">
        <w:trPr>
          <w:trHeight w:val="324"/>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Decrease Assignment for Fiscal           </w:t>
            </w:r>
          </w:p>
          <w:p w:rsidR="0084589A" w:rsidRDefault="0084589A">
            <w:pPr>
              <w:rPr>
                <w:rFonts w:ascii="Palatino Linotype" w:hAnsi="Palatino Linotype"/>
                <w:sz w:val="22"/>
                <w:szCs w:val="22"/>
              </w:rPr>
            </w:pPr>
            <w:r>
              <w:rPr>
                <w:rFonts w:ascii="Palatino Linotype" w:hAnsi="Palatino Linotype"/>
                <w:sz w:val="22"/>
                <w:szCs w:val="22"/>
              </w:rPr>
              <w:t xml:space="preserve">         Uncertainty</w:t>
            </w:r>
          </w:p>
        </w:tc>
        <w:tc>
          <w:tcPr>
            <w:tcW w:w="2060" w:type="dxa"/>
            <w:tcBorders>
              <w:top w:val="nil"/>
              <w:left w:val="nil"/>
              <w:bottom w:val="nil"/>
              <w:right w:val="nil"/>
            </w:tcBorders>
            <w:shd w:val="clear" w:color="auto" w:fill="auto"/>
            <w:vAlign w:val="center"/>
            <w:hideMark/>
          </w:tcPr>
          <w:p w:rsidR="0084589A" w:rsidRDefault="0084589A">
            <w:pPr>
              <w:jc w:val="right"/>
            </w:pPr>
            <w:r>
              <w:t xml:space="preserve">10,554,564 </w:t>
            </w:r>
          </w:p>
        </w:tc>
        <w:tc>
          <w:tcPr>
            <w:tcW w:w="2060" w:type="dxa"/>
            <w:tcBorders>
              <w:top w:val="nil"/>
              <w:left w:val="nil"/>
              <w:bottom w:val="nil"/>
              <w:right w:val="nil"/>
            </w:tcBorders>
            <w:shd w:val="clear" w:color="auto" w:fill="auto"/>
            <w:vAlign w:val="center"/>
            <w:hideMark/>
          </w:tcPr>
          <w:p w:rsidR="0084589A" w:rsidRDefault="0084589A">
            <w:pPr>
              <w:jc w:val="right"/>
            </w:pPr>
            <w:r>
              <w:t xml:space="preserve">10,554,564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0 </w:t>
            </w:r>
          </w:p>
        </w:tc>
      </w:tr>
      <w:tr w:rsidR="0084589A" w:rsidTr="0084589A">
        <w:trPr>
          <w:trHeight w:val="324"/>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Total Decrease in Reserves</w:t>
            </w:r>
          </w:p>
        </w:tc>
        <w:tc>
          <w:tcPr>
            <w:tcW w:w="2060" w:type="dxa"/>
            <w:tcBorders>
              <w:top w:val="single" w:sz="8" w:space="0" w:color="auto"/>
              <w:left w:val="nil"/>
              <w:bottom w:val="single" w:sz="8" w:space="0" w:color="auto"/>
              <w:right w:val="nil"/>
            </w:tcBorders>
            <w:shd w:val="clear" w:color="auto" w:fill="auto"/>
            <w:vAlign w:val="center"/>
            <w:hideMark/>
          </w:tcPr>
          <w:p w:rsidR="0084589A" w:rsidRDefault="0084589A">
            <w:pPr>
              <w:jc w:val="right"/>
            </w:pPr>
            <w:r>
              <w:t xml:space="preserve">12,554,564 </w:t>
            </w:r>
          </w:p>
        </w:tc>
        <w:tc>
          <w:tcPr>
            <w:tcW w:w="2060" w:type="dxa"/>
            <w:tcBorders>
              <w:top w:val="single" w:sz="8" w:space="0" w:color="auto"/>
              <w:left w:val="nil"/>
              <w:bottom w:val="single" w:sz="8" w:space="0" w:color="auto"/>
              <w:right w:val="nil"/>
            </w:tcBorders>
            <w:shd w:val="clear" w:color="auto" w:fill="auto"/>
            <w:vAlign w:val="center"/>
            <w:hideMark/>
          </w:tcPr>
          <w:p w:rsidR="0084589A" w:rsidRDefault="0084589A">
            <w:pPr>
              <w:jc w:val="right"/>
            </w:pPr>
            <w:r>
              <w:t xml:space="preserve">12,554,564 </w:t>
            </w:r>
          </w:p>
        </w:tc>
        <w:tc>
          <w:tcPr>
            <w:tcW w:w="2060" w:type="dxa"/>
            <w:tcBorders>
              <w:top w:val="single" w:sz="8" w:space="0" w:color="auto"/>
              <w:left w:val="nil"/>
              <w:bottom w:val="single" w:sz="8" w:space="0" w:color="auto"/>
              <w:right w:val="nil"/>
            </w:tcBorders>
            <w:shd w:val="clear" w:color="auto" w:fill="auto"/>
            <w:vAlign w:val="center"/>
            <w:hideMark/>
          </w:tcPr>
          <w:p w:rsidR="0084589A" w:rsidRDefault="0084589A">
            <w:pPr>
              <w:jc w:val="right"/>
            </w:pPr>
            <w:r>
              <w:t xml:space="preserve">0 </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Revenues</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Non-Departmental Revenue</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111,768,227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115,838,408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4,070,181 </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Earthquake Revenue Anticipated</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19,000,000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19,000,000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0 </w:t>
            </w:r>
          </w:p>
        </w:tc>
      </w:tr>
      <w:tr w:rsidR="0084589A" w:rsidTr="0084589A">
        <w:trPr>
          <w:trHeight w:val="324"/>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Departmental Revenue</w:t>
            </w:r>
          </w:p>
        </w:tc>
        <w:tc>
          <w:tcPr>
            <w:tcW w:w="2060" w:type="dxa"/>
            <w:tcBorders>
              <w:top w:val="nil"/>
              <w:left w:val="nil"/>
              <w:bottom w:val="single" w:sz="8" w:space="0" w:color="auto"/>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64,128,184 </w:t>
            </w:r>
          </w:p>
        </w:tc>
        <w:tc>
          <w:tcPr>
            <w:tcW w:w="2060" w:type="dxa"/>
            <w:tcBorders>
              <w:top w:val="nil"/>
              <w:left w:val="nil"/>
              <w:bottom w:val="single" w:sz="8" w:space="0" w:color="auto"/>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73,047,980 </w:t>
            </w:r>
          </w:p>
        </w:tc>
        <w:tc>
          <w:tcPr>
            <w:tcW w:w="2060" w:type="dxa"/>
            <w:tcBorders>
              <w:top w:val="nil"/>
              <w:left w:val="nil"/>
              <w:bottom w:val="single" w:sz="8" w:space="0" w:color="auto"/>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8,919,796 </w:t>
            </w:r>
          </w:p>
        </w:tc>
      </w:tr>
      <w:tr w:rsidR="0084589A" w:rsidTr="0084589A">
        <w:trPr>
          <w:trHeight w:val="324"/>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Total Revenue</w:t>
            </w:r>
          </w:p>
        </w:tc>
        <w:tc>
          <w:tcPr>
            <w:tcW w:w="2060" w:type="dxa"/>
            <w:tcBorders>
              <w:top w:val="nil"/>
              <w:left w:val="nil"/>
              <w:bottom w:val="single" w:sz="8" w:space="0" w:color="auto"/>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194,896,411 </w:t>
            </w:r>
          </w:p>
        </w:tc>
        <w:tc>
          <w:tcPr>
            <w:tcW w:w="2060" w:type="dxa"/>
            <w:tcBorders>
              <w:top w:val="nil"/>
              <w:left w:val="nil"/>
              <w:bottom w:val="single" w:sz="8" w:space="0" w:color="auto"/>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207,886,388 </w:t>
            </w:r>
          </w:p>
        </w:tc>
        <w:tc>
          <w:tcPr>
            <w:tcW w:w="2060" w:type="dxa"/>
            <w:tcBorders>
              <w:top w:val="nil"/>
              <w:left w:val="nil"/>
              <w:bottom w:val="single" w:sz="8" w:space="0" w:color="auto"/>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12,989,977 </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b/>
                <w:bCs/>
                <w:sz w:val="22"/>
                <w:szCs w:val="22"/>
              </w:rPr>
            </w:pPr>
            <w:r>
              <w:rPr>
                <w:rFonts w:ascii="Palatino Linotype" w:hAnsi="Palatino Linotype"/>
                <w:b/>
                <w:bCs/>
                <w:sz w:val="22"/>
                <w:szCs w:val="22"/>
              </w:rPr>
              <w:t>Total Resources</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222,531,170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235,521,147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12,989,977 </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b/>
                <w:bCs/>
                <w:sz w:val="22"/>
                <w:szCs w:val="22"/>
              </w:rPr>
            </w:pPr>
            <w:r>
              <w:rPr>
                <w:rFonts w:ascii="Palatino Linotype" w:hAnsi="Palatino Linotype"/>
                <w:b/>
                <w:bCs/>
                <w:sz w:val="22"/>
                <w:szCs w:val="22"/>
              </w:rPr>
              <w:t>Requirements</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Expenditures</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194,118,229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196,863,256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(2,745,027)</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Earthquake-related Costs</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21,001,565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21,000,700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865 </w:t>
            </w:r>
          </w:p>
        </w:tc>
      </w:tr>
      <w:tr w:rsidR="0084589A" w:rsidTr="0084589A">
        <w:trPr>
          <w:trHeight w:val="324"/>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Appropriation for Contingencies </w:t>
            </w:r>
          </w:p>
        </w:tc>
        <w:tc>
          <w:tcPr>
            <w:tcW w:w="2060" w:type="dxa"/>
            <w:tcBorders>
              <w:top w:val="nil"/>
              <w:left w:val="nil"/>
              <w:bottom w:val="single" w:sz="8" w:space="0" w:color="auto"/>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4,691,500 </w:t>
            </w:r>
          </w:p>
        </w:tc>
        <w:tc>
          <w:tcPr>
            <w:tcW w:w="2060" w:type="dxa"/>
            <w:tcBorders>
              <w:top w:val="nil"/>
              <w:left w:val="nil"/>
              <w:bottom w:val="single" w:sz="8" w:space="0" w:color="auto"/>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4,151,164 </w:t>
            </w:r>
          </w:p>
        </w:tc>
        <w:tc>
          <w:tcPr>
            <w:tcW w:w="2060" w:type="dxa"/>
            <w:tcBorders>
              <w:top w:val="nil"/>
              <w:left w:val="nil"/>
              <w:bottom w:val="single" w:sz="8" w:space="0" w:color="auto"/>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540,336 </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Total Appropriations</w:t>
            </w:r>
          </w:p>
        </w:tc>
        <w:tc>
          <w:tcPr>
            <w:tcW w:w="2060" w:type="dxa"/>
            <w:tcBorders>
              <w:top w:val="single" w:sz="8" w:space="0" w:color="auto"/>
              <w:left w:val="nil"/>
              <w:bottom w:val="single" w:sz="8" w:space="0" w:color="auto"/>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219,811,294 </w:t>
            </w:r>
          </w:p>
        </w:tc>
        <w:tc>
          <w:tcPr>
            <w:tcW w:w="2060" w:type="dxa"/>
            <w:tcBorders>
              <w:top w:val="single" w:sz="8" w:space="0" w:color="auto"/>
              <w:left w:val="nil"/>
              <w:bottom w:val="single" w:sz="8" w:space="0" w:color="auto"/>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222,015,120 </w:t>
            </w:r>
          </w:p>
        </w:tc>
        <w:tc>
          <w:tcPr>
            <w:tcW w:w="2060" w:type="dxa"/>
            <w:tcBorders>
              <w:top w:val="single" w:sz="8" w:space="0" w:color="auto"/>
              <w:left w:val="nil"/>
              <w:bottom w:val="single" w:sz="8" w:space="0" w:color="auto"/>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(2,203,826)</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color w:val="FF0000"/>
                <w:sz w:val="22"/>
                <w:szCs w:val="22"/>
              </w:rPr>
            </w:pPr>
          </w:p>
        </w:tc>
        <w:tc>
          <w:tcPr>
            <w:tcW w:w="2060" w:type="dxa"/>
            <w:tcBorders>
              <w:top w:val="single" w:sz="8" w:space="0" w:color="auto"/>
              <w:left w:val="nil"/>
              <w:bottom w:val="nil"/>
              <w:right w:val="nil"/>
            </w:tcBorders>
            <w:shd w:val="clear" w:color="auto" w:fill="auto"/>
            <w:vAlign w:val="center"/>
            <w:hideMark/>
          </w:tcPr>
          <w:p w:rsidR="0084589A" w:rsidRDefault="0084589A">
            <w:pPr>
              <w:jc w:val="right"/>
              <w:rPr>
                <w:rFonts w:ascii="Palatino Linotype" w:hAnsi="Palatino Linotype"/>
                <w:color w:val="FF0000"/>
                <w:sz w:val="22"/>
                <w:szCs w:val="22"/>
              </w:rPr>
            </w:pPr>
          </w:p>
        </w:tc>
        <w:tc>
          <w:tcPr>
            <w:tcW w:w="2060" w:type="dxa"/>
            <w:tcBorders>
              <w:top w:val="single" w:sz="8" w:space="0" w:color="auto"/>
              <w:left w:val="nil"/>
              <w:bottom w:val="nil"/>
              <w:right w:val="nil"/>
            </w:tcBorders>
            <w:shd w:val="clear" w:color="auto" w:fill="auto"/>
            <w:vAlign w:val="center"/>
            <w:hideMark/>
          </w:tcPr>
          <w:p w:rsidR="0084589A" w:rsidRDefault="0084589A">
            <w:pPr>
              <w:jc w:val="right"/>
              <w:rPr>
                <w:rFonts w:ascii="Palatino Linotype" w:hAnsi="Palatino Linotype"/>
                <w:color w:val="FF0000"/>
                <w:sz w:val="22"/>
                <w:szCs w:val="22"/>
              </w:rPr>
            </w:pPr>
          </w:p>
        </w:tc>
        <w:tc>
          <w:tcPr>
            <w:tcW w:w="2060" w:type="dxa"/>
            <w:tcBorders>
              <w:top w:val="single" w:sz="8" w:space="0" w:color="auto"/>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r>
      <w:tr w:rsidR="0084589A" w:rsidTr="0084589A">
        <w:trPr>
          <w:trHeight w:val="348"/>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r>
              <w:rPr>
                <w:rFonts w:ascii="Palatino Linotype" w:hAnsi="Palatino Linotype"/>
                <w:sz w:val="22"/>
                <w:szCs w:val="22"/>
              </w:rPr>
              <w:t xml:space="preserve">   Increase Reserves </w:t>
            </w:r>
            <w:r>
              <w:rPr>
                <w:rFonts w:ascii="Palatino Linotype" w:hAnsi="Palatino Linotype"/>
                <w:sz w:val="22"/>
                <w:szCs w:val="22"/>
                <w:vertAlign w:val="superscript"/>
              </w:rPr>
              <w:t>4</w:t>
            </w:r>
          </w:p>
        </w:tc>
        <w:tc>
          <w:tcPr>
            <w:tcW w:w="2060" w:type="dxa"/>
            <w:tcBorders>
              <w:top w:val="nil"/>
              <w:left w:val="nil"/>
              <w:bottom w:val="nil"/>
              <w:right w:val="nil"/>
            </w:tcBorders>
            <w:shd w:val="clear" w:color="auto" w:fill="auto"/>
            <w:vAlign w:val="center"/>
            <w:hideMark/>
          </w:tcPr>
          <w:p w:rsidR="0084589A" w:rsidRDefault="0084589A">
            <w:pPr>
              <w:jc w:val="right"/>
            </w:pPr>
            <w:r>
              <w:t xml:space="preserve">1,933,436 </w:t>
            </w:r>
          </w:p>
        </w:tc>
        <w:tc>
          <w:tcPr>
            <w:tcW w:w="2060" w:type="dxa"/>
            <w:tcBorders>
              <w:top w:val="nil"/>
              <w:left w:val="nil"/>
              <w:bottom w:val="nil"/>
              <w:right w:val="nil"/>
            </w:tcBorders>
            <w:shd w:val="clear" w:color="auto" w:fill="auto"/>
            <w:vAlign w:val="center"/>
            <w:hideMark/>
          </w:tcPr>
          <w:p w:rsidR="0084589A" w:rsidRDefault="0084589A">
            <w:pPr>
              <w:jc w:val="right"/>
            </w:pPr>
            <w:r>
              <w:t xml:space="preserve">7,988,994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(6,055,558)</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0 </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b/>
                <w:bCs/>
                <w:sz w:val="22"/>
                <w:szCs w:val="22"/>
              </w:rPr>
            </w:pPr>
            <w:r>
              <w:rPr>
                <w:rFonts w:ascii="Palatino Linotype" w:hAnsi="Palatino Linotype"/>
                <w:b/>
                <w:bCs/>
                <w:sz w:val="22"/>
                <w:szCs w:val="22"/>
              </w:rPr>
              <w:t>Total Requirements</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221,744,730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 xml:space="preserve">230,004,114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r>
              <w:rPr>
                <w:rFonts w:ascii="Palatino Linotype" w:hAnsi="Palatino Linotype"/>
                <w:sz w:val="22"/>
                <w:szCs w:val="22"/>
              </w:rPr>
              <w:t>(8,259,384)</w:t>
            </w: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sz w:val="22"/>
                <w:szCs w:val="22"/>
              </w:rPr>
            </w:pPr>
          </w:p>
        </w:tc>
      </w:tr>
      <w:tr w:rsidR="0084589A" w:rsidTr="0084589A">
        <w:trPr>
          <w:trHeight w:val="312"/>
        </w:trPr>
        <w:tc>
          <w:tcPr>
            <w:tcW w:w="4800" w:type="dxa"/>
            <w:tcBorders>
              <w:top w:val="nil"/>
              <w:left w:val="nil"/>
              <w:bottom w:val="nil"/>
              <w:right w:val="nil"/>
            </w:tcBorders>
            <w:shd w:val="clear" w:color="auto" w:fill="auto"/>
            <w:vAlign w:val="center"/>
            <w:hideMark/>
          </w:tcPr>
          <w:p w:rsidR="0084589A" w:rsidRDefault="0084589A">
            <w:pPr>
              <w:rPr>
                <w:rFonts w:ascii="Palatino Linotype" w:hAnsi="Palatino Linotype"/>
                <w:b/>
                <w:bCs/>
                <w:sz w:val="22"/>
                <w:szCs w:val="22"/>
              </w:rPr>
            </w:pPr>
            <w:r>
              <w:rPr>
                <w:rFonts w:ascii="Palatino Linotype" w:hAnsi="Palatino Linotype"/>
                <w:b/>
                <w:bCs/>
                <w:sz w:val="22"/>
                <w:szCs w:val="22"/>
              </w:rPr>
              <w:t>Projected Ending Available Fund Balance</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b/>
                <w:bCs/>
                <w:sz w:val="22"/>
                <w:szCs w:val="22"/>
              </w:rPr>
            </w:pPr>
            <w:r>
              <w:rPr>
                <w:rFonts w:ascii="Palatino Linotype" w:hAnsi="Palatino Linotype"/>
                <w:b/>
                <w:bCs/>
                <w:sz w:val="22"/>
                <w:szCs w:val="22"/>
              </w:rPr>
              <w:t xml:space="preserve">786,440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b/>
                <w:bCs/>
                <w:sz w:val="22"/>
                <w:szCs w:val="22"/>
              </w:rPr>
            </w:pPr>
            <w:r>
              <w:rPr>
                <w:rFonts w:ascii="Palatino Linotype" w:hAnsi="Palatino Linotype"/>
                <w:b/>
                <w:bCs/>
                <w:sz w:val="22"/>
                <w:szCs w:val="22"/>
              </w:rPr>
              <w:t xml:space="preserve">5,517,033 </w:t>
            </w:r>
          </w:p>
        </w:tc>
        <w:tc>
          <w:tcPr>
            <w:tcW w:w="2060" w:type="dxa"/>
            <w:tcBorders>
              <w:top w:val="nil"/>
              <w:left w:val="nil"/>
              <w:bottom w:val="nil"/>
              <w:right w:val="nil"/>
            </w:tcBorders>
            <w:shd w:val="clear" w:color="auto" w:fill="auto"/>
            <w:vAlign w:val="center"/>
            <w:hideMark/>
          </w:tcPr>
          <w:p w:rsidR="0084589A" w:rsidRDefault="0084589A">
            <w:pPr>
              <w:jc w:val="right"/>
              <w:rPr>
                <w:rFonts w:ascii="Palatino Linotype" w:hAnsi="Palatino Linotype"/>
                <w:b/>
                <w:bCs/>
                <w:sz w:val="22"/>
                <w:szCs w:val="22"/>
              </w:rPr>
            </w:pPr>
            <w:r>
              <w:rPr>
                <w:rFonts w:ascii="Palatino Linotype" w:hAnsi="Palatino Linotype"/>
                <w:b/>
                <w:bCs/>
                <w:sz w:val="22"/>
                <w:szCs w:val="22"/>
              </w:rPr>
              <w:t xml:space="preserve">4,730,593 </w:t>
            </w:r>
          </w:p>
        </w:tc>
      </w:tr>
      <w:tr w:rsidR="0084589A" w:rsidTr="0084589A">
        <w:trPr>
          <w:trHeight w:val="288"/>
        </w:trPr>
        <w:tc>
          <w:tcPr>
            <w:tcW w:w="4800" w:type="dxa"/>
            <w:tcBorders>
              <w:top w:val="nil"/>
              <w:left w:val="nil"/>
              <w:bottom w:val="nil"/>
              <w:right w:val="nil"/>
            </w:tcBorders>
            <w:shd w:val="clear" w:color="auto" w:fill="auto"/>
            <w:noWrap/>
            <w:vAlign w:val="bottom"/>
            <w:hideMark/>
          </w:tcPr>
          <w:p w:rsidR="0084589A" w:rsidRDefault="0084589A">
            <w:pPr>
              <w:rPr>
                <w:rFonts w:ascii="Calibri" w:hAnsi="Calibri"/>
                <w:color w:val="000000"/>
                <w:sz w:val="22"/>
                <w:szCs w:val="22"/>
              </w:rPr>
            </w:pPr>
          </w:p>
        </w:tc>
        <w:tc>
          <w:tcPr>
            <w:tcW w:w="2060" w:type="dxa"/>
            <w:tcBorders>
              <w:top w:val="nil"/>
              <w:left w:val="nil"/>
              <w:bottom w:val="nil"/>
              <w:right w:val="nil"/>
            </w:tcBorders>
            <w:shd w:val="clear" w:color="auto" w:fill="auto"/>
            <w:noWrap/>
            <w:vAlign w:val="bottom"/>
            <w:hideMark/>
          </w:tcPr>
          <w:p w:rsidR="0084589A" w:rsidRDefault="0084589A">
            <w:pPr>
              <w:rPr>
                <w:rFonts w:ascii="Calibri" w:hAnsi="Calibri"/>
                <w:color w:val="000000"/>
                <w:sz w:val="22"/>
                <w:szCs w:val="22"/>
              </w:rPr>
            </w:pPr>
          </w:p>
        </w:tc>
        <w:tc>
          <w:tcPr>
            <w:tcW w:w="2060" w:type="dxa"/>
            <w:tcBorders>
              <w:top w:val="nil"/>
              <w:left w:val="nil"/>
              <w:bottom w:val="nil"/>
              <w:right w:val="nil"/>
            </w:tcBorders>
            <w:shd w:val="clear" w:color="auto" w:fill="auto"/>
            <w:noWrap/>
            <w:vAlign w:val="bottom"/>
            <w:hideMark/>
          </w:tcPr>
          <w:p w:rsidR="0084589A" w:rsidRDefault="0084589A">
            <w:pPr>
              <w:rPr>
                <w:rFonts w:ascii="Calibri" w:hAnsi="Calibri"/>
                <w:color w:val="000000"/>
                <w:sz w:val="22"/>
                <w:szCs w:val="22"/>
              </w:rPr>
            </w:pPr>
          </w:p>
        </w:tc>
        <w:tc>
          <w:tcPr>
            <w:tcW w:w="2060" w:type="dxa"/>
            <w:tcBorders>
              <w:top w:val="nil"/>
              <w:left w:val="nil"/>
              <w:bottom w:val="nil"/>
              <w:right w:val="nil"/>
            </w:tcBorders>
            <w:shd w:val="clear" w:color="auto" w:fill="auto"/>
            <w:noWrap/>
            <w:vAlign w:val="bottom"/>
            <w:hideMark/>
          </w:tcPr>
          <w:p w:rsidR="0084589A" w:rsidRDefault="0084589A">
            <w:pPr>
              <w:rPr>
                <w:rFonts w:ascii="Calibri" w:hAnsi="Calibri"/>
                <w:color w:val="000000"/>
                <w:sz w:val="22"/>
                <w:szCs w:val="22"/>
              </w:rPr>
            </w:pPr>
          </w:p>
        </w:tc>
      </w:tr>
      <w:tr w:rsidR="0084589A" w:rsidTr="0084589A">
        <w:trPr>
          <w:trHeight w:val="288"/>
        </w:trPr>
        <w:tc>
          <w:tcPr>
            <w:tcW w:w="8920" w:type="dxa"/>
            <w:gridSpan w:val="3"/>
            <w:tcBorders>
              <w:top w:val="nil"/>
              <w:left w:val="nil"/>
              <w:bottom w:val="nil"/>
              <w:right w:val="nil"/>
            </w:tcBorders>
            <w:shd w:val="clear" w:color="auto" w:fill="auto"/>
            <w:noWrap/>
            <w:vAlign w:val="bottom"/>
            <w:hideMark/>
          </w:tcPr>
          <w:p w:rsidR="0084589A" w:rsidRDefault="0084589A" w:rsidP="0084589A">
            <w:pPr>
              <w:rPr>
                <w:rFonts w:ascii="Calibri" w:hAnsi="Calibri"/>
                <w:color w:val="000000"/>
                <w:sz w:val="22"/>
                <w:szCs w:val="22"/>
              </w:rPr>
            </w:pPr>
            <w:r>
              <w:rPr>
                <w:rFonts w:ascii="Calibri" w:hAnsi="Calibri"/>
                <w:color w:val="000000"/>
                <w:sz w:val="18"/>
                <w:szCs w:val="18"/>
                <w:vertAlign w:val="superscript"/>
              </w:rPr>
              <w:t>1</w:t>
            </w:r>
            <w:r>
              <w:rPr>
                <w:rFonts w:ascii="Calibri" w:hAnsi="Calibri"/>
                <w:color w:val="000000"/>
                <w:sz w:val="22"/>
                <w:szCs w:val="22"/>
              </w:rPr>
              <w:t xml:space="preserve"> </w:t>
            </w:r>
            <w:r>
              <w:rPr>
                <w:rFonts w:ascii="Calibri" w:hAnsi="Calibri"/>
                <w:color w:val="000000"/>
                <w:sz w:val="20"/>
                <w:szCs w:val="20"/>
              </w:rPr>
              <w:t>Excluding Special Projects and Tobacco MSA, which technically are part of the General Fund</w:t>
            </w:r>
          </w:p>
        </w:tc>
        <w:tc>
          <w:tcPr>
            <w:tcW w:w="2060" w:type="dxa"/>
            <w:tcBorders>
              <w:top w:val="nil"/>
              <w:left w:val="nil"/>
              <w:bottom w:val="nil"/>
              <w:right w:val="nil"/>
            </w:tcBorders>
            <w:shd w:val="clear" w:color="auto" w:fill="auto"/>
            <w:noWrap/>
            <w:vAlign w:val="bottom"/>
            <w:hideMark/>
          </w:tcPr>
          <w:p w:rsidR="0084589A" w:rsidRDefault="0084589A">
            <w:pPr>
              <w:rPr>
                <w:rFonts w:ascii="Calibri" w:hAnsi="Calibri"/>
                <w:color w:val="000000"/>
                <w:sz w:val="22"/>
                <w:szCs w:val="22"/>
              </w:rPr>
            </w:pPr>
          </w:p>
        </w:tc>
      </w:tr>
      <w:tr w:rsidR="0084589A" w:rsidTr="0084589A">
        <w:trPr>
          <w:trHeight w:val="312"/>
        </w:trPr>
        <w:tc>
          <w:tcPr>
            <w:tcW w:w="6860" w:type="dxa"/>
            <w:gridSpan w:val="2"/>
            <w:tcBorders>
              <w:top w:val="nil"/>
              <w:left w:val="nil"/>
              <w:bottom w:val="nil"/>
              <w:right w:val="nil"/>
            </w:tcBorders>
            <w:shd w:val="clear" w:color="auto" w:fill="auto"/>
            <w:vAlign w:val="bottom"/>
            <w:hideMark/>
          </w:tcPr>
          <w:p w:rsidR="0084589A" w:rsidRDefault="0084589A" w:rsidP="0084589A">
            <w:pPr>
              <w:rPr>
                <w:rFonts w:ascii="Calibri" w:hAnsi="Calibri"/>
                <w:sz w:val="20"/>
                <w:szCs w:val="20"/>
              </w:rPr>
            </w:pPr>
            <w:r>
              <w:rPr>
                <w:rFonts w:ascii="Calibri" w:hAnsi="Calibri"/>
                <w:sz w:val="20"/>
                <w:szCs w:val="20"/>
                <w:vertAlign w:val="superscript"/>
              </w:rPr>
              <w:t>2</w:t>
            </w:r>
            <w:r>
              <w:rPr>
                <w:rFonts w:ascii="Calibri" w:hAnsi="Calibri"/>
                <w:sz w:val="20"/>
                <w:szCs w:val="20"/>
              </w:rPr>
              <w:t xml:space="preserve"> Includes budget adjustments through 3-31-2017</w:t>
            </w:r>
          </w:p>
        </w:tc>
        <w:tc>
          <w:tcPr>
            <w:tcW w:w="2060" w:type="dxa"/>
            <w:tcBorders>
              <w:top w:val="nil"/>
              <w:left w:val="nil"/>
              <w:bottom w:val="nil"/>
              <w:right w:val="nil"/>
            </w:tcBorders>
            <w:shd w:val="clear" w:color="auto" w:fill="auto"/>
            <w:vAlign w:val="bottom"/>
            <w:hideMark/>
          </w:tcPr>
          <w:p w:rsidR="0084589A" w:rsidRDefault="0084589A" w:rsidP="0084589A">
            <w:pPr>
              <w:rPr>
                <w:rFonts w:ascii="Calibri" w:hAnsi="Calibri"/>
                <w:color w:val="FF0000"/>
                <w:sz w:val="22"/>
                <w:szCs w:val="22"/>
              </w:rPr>
            </w:pPr>
          </w:p>
        </w:tc>
        <w:tc>
          <w:tcPr>
            <w:tcW w:w="2060" w:type="dxa"/>
            <w:tcBorders>
              <w:top w:val="nil"/>
              <w:left w:val="nil"/>
              <w:bottom w:val="nil"/>
              <w:right w:val="nil"/>
            </w:tcBorders>
            <w:shd w:val="clear" w:color="auto" w:fill="auto"/>
            <w:vAlign w:val="bottom"/>
            <w:hideMark/>
          </w:tcPr>
          <w:p w:rsidR="0084589A" w:rsidRDefault="0084589A">
            <w:pPr>
              <w:rPr>
                <w:rFonts w:ascii="Calibri" w:hAnsi="Calibri"/>
                <w:color w:val="FF0000"/>
                <w:sz w:val="22"/>
                <w:szCs w:val="22"/>
              </w:rPr>
            </w:pPr>
          </w:p>
        </w:tc>
      </w:tr>
      <w:tr w:rsidR="0084589A" w:rsidTr="0084589A">
        <w:trPr>
          <w:trHeight w:val="312"/>
        </w:trPr>
        <w:tc>
          <w:tcPr>
            <w:tcW w:w="4800" w:type="dxa"/>
            <w:tcBorders>
              <w:top w:val="nil"/>
              <w:left w:val="nil"/>
              <w:bottom w:val="nil"/>
              <w:right w:val="nil"/>
            </w:tcBorders>
            <w:shd w:val="clear" w:color="auto" w:fill="auto"/>
            <w:vAlign w:val="bottom"/>
            <w:hideMark/>
          </w:tcPr>
          <w:p w:rsidR="0084589A" w:rsidRDefault="0084589A" w:rsidP="0084589A">
            <w:pPr>
              <w:rPr>
                <w:rFonts w:ascii="Calibri" w:hAnsi="Calibri"/>
                <w:sz w:val="20"/>
                <w:szCs w:val="20"/>
              </w:rPr>
            </w:pPr>
            <w:r>
              <w:rPr>
                <w:rFonts w:ascii="Calibri" w:hAnsi="Calibri"/>
                <w:sz w:val="20"/>
                <w:szCs w:val="20"/>
                <w:vertAlign w:val="superscript"/>
              </w:rPr>
              <w:t>3</w:t>
            </w:r>
            <w:r>
              <w:rPr>
                <w:rFonts w:ascii="Calibri" w:hAnsi="Calibri"/>
                <w:sz w:val="20"/>
                <w:szCs w:val="20"/>
              </w:rPr>
              <w:t xml:space="preserve"> Unassigned beginning balance at 7-1-2016</w:t>
            </w:r>
          </w:p>
        </w:tc>
        <w:tc>
          <w:tcPr>
            <w:tcW w:w="2060" w:type="dxa"/>
            <w:tcBorders>
              <w:top w:val="nil"/>
              <w:left w:val="nil"/>
              <w:bottom w:val="nil"/>
              <w:right w:val="nil"/>
            </w:tcBorders>
            <w:shd w:val="clear" w:color="auto" w:fill="auto"/>
            <w:vAlign w:val="bottom"/>
            <w:hideMark/>
          </w:tcPr>
          <w:p w:rsidR="0084589A" w:rsidRDefault="0084589A" w:rsidP="0084589A">
            <w:pPr>
              <w:rPr>
                <w:rFonts w:ascii="Calibri" w:hAnsi="Calibri"/>
                <w:sz w:val="20"/>
                <w:szCs w:val="20"/>
              </w:rPr>
            </w:pPr>
          </w:p>
        </w:tc>
        <w:tc>
          <w:tcPr>
            <w:tcW w:w="2060" w:type="dxa"/>
            <w:tcBorders>
              <w:top w:val="nil"/>
              <w:left w:val="nil"/>
              <w:bottom w:val="nil"/>
              <w:right w:val="nil"/>
            </w:tcBorders>
            <w:shd w:val="clear" w:color="auto" w:fill="auto"/>
            <w:vAlign w:val="bottom"/>
            <w:hideMark/>
          </w:tcPr>
          <w:p w:rsidR="0084589A" w:rsidRDefault="0084589A" w:rsidP="0084589A">
            <w:pPr>
              <w:rPr>
                <w:rFonts w:ascii="Calibri" w:hAnsi="Calibri"/>
                <w:color w:val="FF0000"/>
                <w:sz w:val="22"/>
                <w:szCs w:val="22"/>
              </w:rPr>
            </w:pPr>
          </w:p>
        </w:tc>
        <w:tc>
          <w:tcPr>
            <w:tcW w:w="2060" w:type="dxa"/>
            <w:tcBorders>
              <w:top w:val="nil"/>
              <w:left w:val="nil"/>
              <w:bottom w:val="nil"/>
              <w:right w:val="nil"/>
            </w:tcBorders>
            <w:shd w:val="clear" w:color="auto" w:fill="auto"/>
            <w:vAlign w:val="bottom"/>
            <w:hideMark/>
          </w:tcPr>
          <w:p w:rsidR="0084589A" w:rsidRDefault="0084589A">
            <w:pPr>
              <w:rPr>
                <w:rFonts w:ascii="Calibri" w:hAnsi="Calibri"/>
                <w:color w:val="FF0000"/>
                <w:sz w:val="22"/>
                <w:szCs w:val="22"/>
              </w:rPr>
            </w:pPr>
          </w:p>
        </w:tc>
      </w:tr>
      <w:tr w:rsidR="0084589A" w:rsidTr="0084589A">
        <w:trPr>
          <w:trHeight w:val="300"/>
        </w:trPr>
        <w:tc>
          <w:tcPr>
            <w:tcW w:w="8920" w:type="dxa"/>
            <w:gridSpan w:val="3"/>
            <w:tcBorders>
              <w:top w:val="nil"/>
              <w:left w:val="nil"/>
              <w:bottom w:val="nil"/>
              <w:right w:val="nil"/>
            </w:tcBorders>
            <w:shd w:val="clear" w:color="auto" w:fill="auto"/>
            <w:noWrap/>
            <w:vAlign w:val="center"/>
            <w:hideMark/>
          </w:tcPr>
          <w:p w:rsidR="0084589A" w:rsidRDefault="0084589A" w:rsidP="0084589A">
            <w:pPr>
              <w:rPr>
                <w:rFonts w:ascii="Calibri" w:hAnsi="Calibri"/>
                <w:sz w:val="20"/>
                <w:szCs w:val="20"/>
              </w:rPr>
            </w:pPr>
            <w:bookmarkStart w:id="1" w:name="RANGE!A38"/>
            <w:r>
              <w:rPr>
                <w:rFonts w:ascii="Calibri" w:hAnsi="Calibri"/>
                <w:sz w:val="20"/>
                <w:szCs w:val="20"/>
                <w:vertAlign w:val="superscript"/>
              </w:rPr>
              <w:t>4</w:t>
            </w:r>
            <w:r>
              <w:rPr>
                <w:rFonts w:ascii="Calibri" w:hAnsi="Calibri"/>
                <w:sz w:val="20"/>
                <w:szCs w:val="20"/>
              </w:rPr>
              <w:t xml:space="preserve"> General Reserve increased by $1,933,436 as part of budget adoption and $6,055,558 added on 2-28-17</w:t>
            </w:r>
            <w:bookmarkEnd w:id="1"/>
          </w:p>
        </w:tc>
        <w:tc>
          <w:tcPr>
            <w:tcW w:w="2060" w:type="dxa"/>
            <w:tcBorders>
              <w:top w:val="nil"/>
              <w:left w:val="nil"/>
              <w:bottom w:val="nil"/>
              <w:right w:val="nil"/>
            </w:tcBorders>
            <w:shd w:val="clear" w:color="auto" w:fill="auto"/>
            <w:noWrap/>
            <w:vAlign w:val="bottom"/>
            <w:hideMark/>
          </w:tcPr>
          <w:p w:rsidR="0084589A" w:rsidRDefault="0084589A">
            <w:pPr>
              <w:rPr>
                <w:rFonts w:ascii="Calibri" w:hAnsi="Calibri"/>
                <w:color w:val="000000"/>
                <w:sz w:val="22"/>
                <w:szCs w:val="22"/>
              </w:rPr>
            </w:pPr>
          </w:p>
        </w:tc>
      </w:tr>
    </w:tbl>
    <w:p w:rsidR="00576159" w:rsidRDefault="003B0F70" w:rsidP="006E0425">
      <w:pPr>
        <w:rPr>
          <w:rFonts w:ascii="Palatino Linotype" w:hAnsi="Palatino Linotype"/>
          <w:b/>
        </w:rPr>
      </w:pPr>
      <w:r>
        <w:rPr>
          <w:rFonts w:ascii="Palatino Linotype" w:hAnsi="Palatino Linotype"/>
          <w:b/>
        </w:rPr>
        <w:lastRenderedPageBreak/>
        <w:t>General Fund Summary</w:t>
      </w:r>
    </w:p>
    <w:p w:rsidR="00576159" w:rsidRDefault="00576159" w:rsidP="006E0425">
      <w:pPr>
        <w:rPr>
          <w:rFonts w:ascii="Palatino Linotype" w:hAnsi="Palatino Linotype"/>
          <w:sz w:val="22"/>
          <w:szCs w:val="22"/>
        </w:rPr>
      </w:pPr>
    </w:p>
    <w:p w:rsidR="00A61FD8" w:rsidRPr="00036203" w:rsidRDefault="00C138D1" w:rsidP="006E0425">
      <w:pPr>
        <w:rPr>
          <w:rFonts w:ascii="Palatino Linotype" w:hAnsi="Palatino Linotype"/>
          <w:sz w:val="22"/>
          <w:szCs w:val="22"/>
        </w:rPr>
      </w:pPr>
      <w:r>
        <w:rPr>
          <w:rFonts w:ascii="Palatino Linotype" w:hAnsi="Palatino Linotype"/>
          <w:sz w:val="22"/>
          <w:szCs w:val="22"/>
        </w:rPr>
        <w:t xml:space="preserve">Below is a </w:t>
      </w:r>
      <w:r w:rsidR="003B0F70">
        <w:rPr>
          <w:rFonts w:ascii="Palatino Linotype" w:hAnsi="Palatino Linotype"/>
          <w:sz w:val="22"/>
          <w:szCs w:val="22"/>
        </w:rPr>
        <w:t>brief explanation of the “differences” in</w:t>
      </w:r>
      <w:r w:rsidR="00A61FD8" w:rsidRPr="00036203">
        <w:rPr>
          <w:rFonts w:ascii="Palatino Linotype" w:hAnsi="Palatino Linotype"/>
          <w:sz w:val="22"/>
          <w:szCs w:val="22"/>
        </w:rPr>
        <w:t xml:space="preserve"> </w:t>
      </w:r>
      <w:r w:rsidR="00C65856" w:rsidRPr="00036203">
        <w:rPr>
          <w:rFonts w:ascii="Palatino Linotype" w:hAnsi="Palatino Linotype"/>
          <w:sz w:val="22"/>
          <w:szCs w:val="22"/>
        </w:rPr>
        <w:t>each</w:t>
      </w:r>
      <w:r w:rsidR="00A61FD8" w:rsidRPr="00036203">
        <w:rPr>
          <w:rFonts w:ascii="Palatino Linotype" w:hAnsi="Palatino Linotype"/>
          <w:sz w:val="22"/>
          <w:szCs w:val="22"/>
        </w:rPr>
        <w:t xml:space="preserve"> </w:t>
      </w:r>
      <w:r w:rsidR="00D56A0E">
        <w:rPr>
          <w:rFonts w:ascii="Palatino Linotype" w:hAnsi="Palatino Linotype"/>
          <w:sz w:val="22"/>
          <w:szCs w:val="22"/>
        </w:rPr>
        <w:t>R</w:t>
      </w:r>
      <w:r w:rsidR="00A61FD8" w:rsidRPr="00036203">
        <w:rPr>
          <w:rFonts w:ascii="Palatino Linotype" w:hAnsi="Palatino Linotype"/>
          <w:sz w:val="22"/>
          <w:szCs w:val="22"/>
        </w:rPr>
        <w:t xml:space="preserve">esource </w:t>
      </w:r>
      <w:r w:rsidR="00D56A0E">
        <w:rPr>
          <w:rFonts w:ascii="Palatino Linotype" w:hAnsi="Palatino Linotype"/>
          <w:sz w:val="22"/>
          <w:szCs w:val="22"/>
        </w:rPr>
        <w:t>and R</w:t>
      </w:r>
      <w:r w:rsidR="00A61FD8" w:rsidRPr="00036203">
        <w:rPr>
          <w:rFonts w:ascii="Palatino Linotype" w:hAnsi="Palatino Linotype"/>
          <w:sz w:val="22"/>
          <w:szCs w:val="22"/>
        </w:rPr>
        <w:t xml:space="preserve">equirement category </w:t>
      </w:r>
      <w:r w:rsidR="003B0F70">
        <w:rPr>
          <w:rFonts w:ascii="Palatino Linotype" w:hAnsi="Palatino Linotype"/>
          <w:sz w:val="22"/>
          <w:szCs w:val="22"/>
        </w:rPr>
        <w:t xml:space="preserve">identified </w:t>
      </w:r>
      <w:r w:rsidR="00E82236">
        <w:rPr>
          <w:rFonts w:ascii="Palatino Linotype" w:hAnsi="Palatino Linotype"/>
          <w:sz w:val="22"/>
          <w:szCs w:val="22"/>
        </w:rPr>
        <w:t>in the table above</w:t>
      </w:r>
      <w:r w:rsidR="00A61FD8" w:rsidRPr="00036203">
        <w:rPr>
          <w:rFonts w:ascii="Palatino Linotype" w:hAnsi="Palatino Linotype"/>
          <w:sz w:val="22"/>
          <w:szCs w:val="22"/>
        </w:rPr>
        <w:t>.</w:t>
      </w:r>
    </w:p>
    <w:p w:rsidR="00A61FD8" w:rsidRPr="00036203" w:rsidRDefault="00A61FD8" w:rsidP="006E0425">
      <w:pPr>
        <w:rPr>
          <w:rFonts w:ascii="Palatino Linotype" w:hAnsi="Palatino Linotype"/>
          <w:sz w:val="22"/>
          <w:szCs w:val="22"/>
          <w:highlight w:val="yellow"/>
        </w:rPr>
      </w:pPr>
    </w:p>
    <w:p w:rsidR="008275B1" w:rsidRDefault="00FB6A4A" w:rsidP="006E0425">
      <w:pPr>
        <w:rPr>
          <w:rFonts w:ascii="Palatino Linotype" w:hAnsi="Palatino Linotype"/>
          <w:sz w:val="22"/>
          <w:szCs w:val="22"/>
        </w:rPr>
      </w:pPr>
      <w:r w:rsidRPr="00914B77">
        <w:rPr>
          <w:rFonts w:ascii="Palatino Linotype" w:hAnsi="Palatino Linotype"/>
          <w:b/>
          <w:sz w:val="22"/>
          <w:szCs w:val="22"/>
        </w:rPr>
        <w:t xml:space="preserve">Non-Departmental </w:t>
      </w:r>
      <w:r w:rsidR="00A61FD8" w:rsidRPr="00914B77">
        <w:rPr>
          <w:rFonts w:ascii="Palatino Linotype" w:hAnsi="Palatino Linotype"/>
          <w:b/>
          <w:sz w:val="22"/>
          <w:szCs w:val="22"/>
        </w:rPr>
        <w:t>Revenue</w:t>
      </w:r>
      <w:r w:rsidR="003F3F4D" w:rsidRPr="00914B77">
        <w:rPr>
          <w:rFonts w:ascii="Palatino Linotype" w:hAnsi="Palatino Linotype"/>
          <w:b/>
          <w:sz w:val="22"/>
          <w:szCs w:val="22"/>
        </w:rPr>
        <w:t>s</w:t>
      </w:r>
      <w:r w:rsidR="00A61FD8" w:rsidRPr="00914B77">
        <w:rPr>
          <w:rFonts w:ascii="Palatino Linotype" w:hAnsi="Palatino Linotype"/>
          <w:b/>
          <w:sz w:val="22"/>
          <w:szCs w:val="22"/>
        </w:rPr>
        <w:t>:</w:t>
      </w:r>
      <w:r w:rsidR="00A61FD8" w:rsidRPr="00036203">
        <w:rPr>
          <w:rFonts w:ascii="Palatino Linotype" w:hAnsi="Palatino Linotype"/>
          <w:sz w:val="22"/>
          <w:szCs w:val="22"/>
        </w:rPr>
        <w:t xml:space="preserve">  </w:t>
      </w:r>
    </w:p>
    <w:p w:rsidR="008275B1" w:rsidRDefault="008275B1" w:rsidP="006E0425">
      <w:pPr>
        <w:rPr>
          <w:rFonts w:ascii="Palatino Linotype" w:hAnsi="Palatino Linotype"/>
          <w:sz w:val="22"/>
          <w:szCs w:val="22"/>
        </w:rPr>
      </w:pPr>
    </w:p>
    <w:p w:rsidR="0068071A" w:rsidRDefault="00A5764F" w:rsidP="006E0425">
      <w:pPr>
        <w:rPr>
          <w:rFonts w:ascii="Palatino Linotype" w:hAnsi="Palatino Linotype"/>
          <w:sz w:val="22"/>
          <w:szCs w:val="22"/>
        </w:rPr>
      </w:pPr>
      <w:r>
        <w:rPr>
          <w:rFonts w:ascii="Palatino Linotype" w:hAnsi="Palatino Linotype"/>
          <w:sz w:val="22"/>
          <w:szCs w:val="22"/>
        </w:rPr>
        <w:t>“</w:t>
      </w:r>
      <w:r w:rsidR="00FB6A4A" w:rsidRPr="00036203">
        <w:rPr>
          <w:rFonts w:ascii="Palatino Linotype" w:hAnsi="Palatino Linotype"/>
          <w:sz w:val="22"/>
          <w:szCs w:val="22"/>
        </w:rPr>
        <w:t>Non-Departmental</w:t>
      </w:r>
      <w:r w:rsidR="00A61FD8" w:rsidRPr="00036203">
        <w:rPr>
          <w:rFonts w:ascii="Palatino Linotype" w:hAnsi="Palatino Linotype"/>
          <w:sz w:val="22"/>
          <w:szCs w:val="22"/>
        </w:rPr>
        <w:t>,</w:t>
      </w:r>
      <w:r>
        <w:rPr>
          <w:rFonts w:ascii="Palatino Linotype" w:hAnsi="Palatino Linotype"/>
          <w:sz w:val="22"/>
          <w:szCs w:val="22"/>
        </w:rPr>
        <w:t>”</w:t>
      </w:r>
      <w:r w:rsidR="00A61FD8" w:rsidRPr="00036203">
        <w:rPr>
          <w:rFonts w:ascii="Palatino Linotype" w:hAnsi="Palatino Linotype"/>
          <w:sz w:val="22"/>
          <w:szCs w:val="22"/>
        </w:rPr>
        <w:t xml:space="preserve"> or general purpose, revenues </w:t>
      </w:r>
      <w:r w:rsidR="0047693D" w:rsidRPr="00036203">
        <w:rPr>
          <w:rFonts w:ascii="Palatino Linotype" w:hAnsi="Palatino Linotype"/>
          <w:sz w:val="22"/>
          <w:szCs w:val="22"/>
        </w:rPr>
        <w:t xml:space="preserve">are revenues that are not specific to a certain department or program, but </w:t>
      </w:r>
      <w:r w:rsidR="00586180" w:rsidRPr="00036203">
        <w:rPr>
          <w:rFonts w:ascii="Palatino Linotype" w:hAnsi="Palatino Linotype"/>
          <w:sz w:val="22"/>
          <w:szCs w:val="22"/>
        </w:rPr>
        <w:t>are</w:t>
      </w:r>
      <w:r w:rsidR="0047693D" w:rsidRPr="00036203">
        <w:rPr>
          <w:rFonts w:ascii="Palatino Linotype" w:hAnsi="Palatino Linotype"/>
          <w:sz w:val="22"/>
          <w:szCs w:val="22"/>
        </w:rPr>
        <w:t xml:space="preserve"> used to support the County’s established mandates and spending priorities as articulated in the annual budget.  </w:t>
      </w:r>
      <w:r>
        <w:rPr>
          <w:rFonts w:ascii="Palatino Linotype" w:hAnsi="Palatino Linotype"/>
          <w:sz w:val="22"/>
          <w:szCs w:val="22"/>
        </w:rPr>
        <w:t xml:space="preserve">Non-departmental </w:t>
      </w:r>
      <w:r w:rsidR="0047693D" w:rsidRPr="00036203">
        <w:rPr>
          <w:rFonts w:ascii="Palatino Linotype" w:hAnsi="Palatino Linotype"/>
          <w:sz w:val="22"/>
          <w:szCs w:val="22"/>
        </w:rPr>
        <w:t xml:space="preserve">revenues </w:t>
      </w:r>
      <w:r w:rsidR="00C13F17">
        <w:rPr>
          <w:rFonts w:ascii="Palatino Linotype" w:hAnsi="Palatino Linotype"/>
          <w:sz w:val="22"/>
          <w:szCs w:val="22"/>
        </w:rPr>
        <w:t>include Property Tax, Transient Occupancy Tax (TOT)</w:t>
      </w:r>
      <w:r w:rsidR="00BA3210">
        <w:rPr>
          <w:rFonts w:ascii="Palatino Linotype" w:hAnsi="Palatino Linotype"/>
          <w:sz w:val="22"/>
          <w:szCs w:val="22"/>
        </w:rPr>
        <w:t xml:space="preserve"> and</w:t>
      </w:r>
      <w:r w:rsidR="00C13F17">
        <w:rPr>
          <w:rFonts w:ascii="Palatino Linotype" w:hAnsi="Palatino Linotype"/>
          <w:sz w:val="22"/>
          <w:szCs w:val="22"/>
        </w:rPr>
        <w:t xml:space="preserve"> </w:t>
      </w:r>
      <w:r w:rsidR="00BA3210">
        <w:rPr>
          <w:rFonts w:ascii="Palatino Linotype" w:hAnsi="Palatino Linotype"/>
          <w:sz w:val="22"/>
          <w:szCs w:val="22"/>
        </w:rPr>
        <w:t xml:space="preserve">Sales and Use Tax, </w:t>
      </w:r>
      <w:r w:rsidR="00C13F17" w:rsidRPr="00EB403F">
        <w:rPr>
          <w:rFonts w:ascii="Palatino Linotype" w:hAnsi="Palatino Linotype"/>
          <w:sz w:val="22"/>
          <w:szCs w:val="22"/>
        </w:rPr>
        <w:t>as well as</w:t>
      </w:r>
      <w:r w:rsidR="00C13F17">
        <w:rPr>
          <w:rFonts w:ascii="Palatino Linotype" w:hAnsi="Palatino Linotype"/>
          <w:sz w:val="22"/>
          <w:szCs w:val="22"/>
        </w:rPr>
        <w:t xml:space="preserve"> </w:t>
      </w:r>
      <w:r w:rsidR="00261600">
        <w:rPr>
          <w:rFonts w:ascii="Palatino Linotype" w:hAnsi="Palatino Linotype"/>
          <w:sz w:val="22"/>
          <w:szCs w:val="22"/>
        </w:rPr>
        <w:t xml:space="preserve">revenue from a variety of court fines and fees, tax penalties, </w:t>
      </w:r>
      <w:r w:rsidR="00EB403F">
        <w:rPr>
          <w:rFonts w:ascii="Palatino Linotype" w:hAnsi="Palatino Linotype"/>
          <w:sz w:val="22"/>
          <w:szCs w:val="22"/>
        </w:rPr>
        <w:t>C</w:t>
      </w:r>
      <w:r w:rsidR="00261600">
        <w:rPr>
          <w:rFonts w:ascii="Palatino Linotype" w:hAnsi="Palatino Linotype"/>
          <w:sz w:val="22"/>
          <w:szCs w:val="22"/>
        </w:rPr>
        <w:t>ounty A-87 (overhead) costs paid by non-</w:t>
      </w:r>
      <w:r w:rsidR="00261600" w:rsidRPr="00F83B1E">
        <w:rPr>
          <w:rFonts w:ascii="Palatino Linotype" w:hAnsi="Palatino Linotype"/>
          <w:sz w:val="22"/>
          <w:szCs w:val="22"/>
        </w:rPr>
        <w:t>General Fund departments</w:t>
      </w:r>
      <w:r w:rsidR="00EB403F" w:rsidRPr="00F83B1E">
        <w:rPr>
          <w:rFonts w:ascii="Palatino Linotype" w:hAnsi="Palatino Linotype"/>
          <w:sz w:val="22"/>
          <w:szCs w:val="22"/>
        </w:rPr>
        <w:t>, and other sources</w:t>
      </w:r>
      <w:r w:rsidR="00261600" w:rsidRPr="00F83B1E">
        <w:rPr>
          <w:rFonts w:ascii="Palatino Linotype" w:hAnsi="Palatino Linotype"/>
          <w:sz w:val="22"/>
          <w:szCs w:val="22"/>
        </w:rPr>
        <w:t>.</w:t>
      </w:r>
      <w:r w:rsidR="00C13F17" w:rsidRPr="00F83B1E">
        <w:rPr>
          <w:rFonts w:ascii="Palatino Linotype" w:hAnsi="Palatino Linotype"/>
          <w:sz w:val="22"/>
          <w:szCs w:val="22"/>
        </w:rPr>
        <w:t xml:space="preserve"> </w:t>
      </w:r>
      <w:r w:rsidR="00BA3210">
        <w:rPr>
          <w:rFonts w:ascii="Palatino Linotype" w:hAnsi="Palatino Linotype"/>
          <w:sz w:val="22"/>
          <w:szCs w:val="22"/>
        </w:rPr>
        <w:t>Total n</w:t>
      </w:r>
      <w:r w:rsidR="00C13F17" w:rsidRPr="00F83B1E">
        <w:rPr>
          <w:rFonts w:ascii="Palatino Linotype" w:hAnsi="Palatino Linotype"/>
          <w:sz w:val="22"/>
          <w:szCs w:val="22"/>
        </w:rPr>
        <w:t>on-departmental revenue</w:t>
      </w:r>
      <w:r w:rsidR="00BA3210">
        <w:rPr>
          <w:rFonts w:ascii="Palatino Linotype" w:hAnsi="Palatino Linotype"/>
          <w:sz w:val="22"/>
          <w:szCs w:val="22"/>
        </w:rPr>
        <w:t>s are</w:t>
      </w:r>
      <w:r w:rsidR="00A61FD8" w:rsidRPr="00F83B1E">
        <w:rPr>
          <w:rFonts w:ascii="Palatino Linotype" w:hAnsi="Palatino Linotype"/>
          <w:sz w:val="22"/>
          <w:szCs w:val="22"/>
        </w:rPr>
        <w:t xml:space="preserve"> projected to total approximately </w:t>
      </w:r>
      <w:r w:rsidR="00A61FD8" w:rsidRPr="00E23145">
        <w:rPr>
          <w:rFonts w:ascii="Palatino Linotype" w:hAnsi="Palatino Linotype"/>
          <w:sz w:val="22"/>
          <w:szCs w:val="22"/>
        </w:rPr>
        <w:t>$</w:t>
      </w:r>
      <w:r w:rsidR="00BA3210" w:rsidRPr="00E23145">
        <w:rPr>
          <w:rFonts w:ascii="Palatino Linotype" w:hAnsi="Palatino Linotype"/>
          <w:sz w:val="22"/>
          <w:szCs w:val="22"/>
        </w:rPr>
        <w:t>115.8</w:t>
      </w:r>
      <w:r w:rsidR="00A61FD8" w:rsidRPr="00E23145">
        <w:rPr>
          <w:rFonts w:ascii="Palatino Linotype" w:hAnsi="Palatino Linotype"/>
          <w:sz w:val="22"/>
          <w:szCs w:val="22"/>
        </w:rPr>
        <w:t xml:space="preserve"> million,</w:t>
      </w:r>
      <w:r w:rsidR="00024320" w:rsidRPr="00E23145">
        <w:rPr>
          <w:rFonts w:ascii="Palatino Linotype" w:hAnsi="Palatino Linotype"/>
          <w:sz w:val="22"/>
          <w:szCs w:val="22"/>
        </w:rPr>
        <w:t xml:space="preserve"> </w:t>
      </w:r>
      <w:r w:rsidR="00A61FD8" w:rsidRPr="00E23145">
        <w:rPr>
          <w:rFonts w:ascii="Palatino Linotype" w:hAnsi="Palatino Linotype"/>
          <w:sz w:val="22"/>
          <w:szCs w:val="22"/>
        </w:rPr>
        <w:t xml:space="preserve">which is </w:t>
      </w:r>
      <w:r w:rsidR="00A83CC6" w:rsidRPr="00E23145">
        <w:rPr>
          <w:rFonts w:ascii="Palatino Linotype" w:hAnsi="Palatino Linotype"/>
          <w:sz w:val="22"/>
          <w:szCs w:val="22"/>
        </w:rPr>
        <w:t>about</w:t>
      </w:r>
      <w:r w:rsidR="00A61FD8" w:rsidRPr="00E23145">
        <w:rPr>
          <w:rFonts w:ascii="Palatino Linotype" w:hAnsi="Palatino Linotype"/>
          <w:sz w:val="22"/>
          <w:szCs w:val="22"/>
        </w:rPr>
        <w:t xml:space="preserve"> $</w:t>
      </w:r>
      <w:r w:rsidR="00BA3210" w:rsidRPr="00E23145">
        <w:rPr>
          <w:rFonts w:ascii="Palatino Linotype" w:hAnsi="Palatino Linotype"/>
          <w:sz w:val="22"/>
          <w:szCs w:val="22"/>
        </w:rPr>
        <w:t>4.1</w:t>
      </w:r>
      <w:r w:rsidR="0047693D" w:rsidRPr="00E23145">
        <w:rPr>
          <w:rFonts w:ascii="Palatino Linotype" w:hAnsi="Palatino Linotype"/>
          <w:sz w:val="22"/>
          <w:szCs w:val="22"/>
        </w:rPr>
        <w:t xml:space="preserve"> million</w:t>
      </w:r>
      <w:r w:rsidR="00A61FD8" w:rsidRPr="00E23145">
        <w:rPr>
          <w:rFonts w:ascii="Palatino Linotype" w:hAnsi="Palatino Linotype"/>
          <w:sz w:val="22"/>
          <w:szCs w:val="22"/>
        </w:rPr>
        <w:t xml:space="preserve">, or </w:t>
      </w:r>
      <w:r w:rsidR="00BA3210" w:rsidRPr="00E23145">
        <w:rPr>
          <w:rFonts w:ascii="Palatino Linotype" w:hAnsi="Palatino Linotype"/>
          <w:sz w:val="22"/>
          <w:szCs w:val="22"/>
        </w:rPr>
        <w:t>3.6</w:t>
      </w:r>
      <w:r w:rsidR="00A61FD8" w:rsidRPr="00E23145">
        <w:rPr>
          <w:rFonts w:ascii="Palatino Linotype" w:hAnsi="Palatino Linotype"/>
          <w:sz w:val="22"/>
          <w:szCs w:val="22"/>
        </w:rPr>
        <w:t xml:space="preserve">%, </w:t>
      </w:r>
      <w:r w:rsidR="0047693D" w:rsidRPr="00E23145">
        <w:rPr>
          <w:rFonts w:ascii="Palatino Linotype" w:hAnsi="Palatino Linotype"/>
          <w:sz w:val="22"/>
          <w:szCs w:val="22"/>
        </w:rPr>
        <w:t xml:space="preserve">higher than </w:t>
      </w:r>
      <w:r w:rsidR="00A61FD8" w:rsidRPr="00E23145">
        <w:rPr>
          <w:rFonts w:ascii="Palatino Linotype" w:hAnsi="Palatino Linotype"/>
          <w:sz w:val="22"/>
          <w:szCs w:val="22"/>
        </w:rPr>
        <w:t>the budgeted level.</w:t>
      </w:r>
      <w:r w:rsidR="00A61FD8" w:rsidRPr="00F83B1E">
        <w:rPr>
          <w:rFonts w:ascii="Palatino Linotype" w:hAnsi="Palatino Linotype"/>
          <w:sz w:val="22"/>
          <w:szCs w:val="22"/>
        </w:rPr>
        <w:t xml:space="preserve"> </w:t>
      </w:r>
    </w:p>
    <w:p w:rsidR="001944E0" w:rsidRDefault="001944E0" w:rsidP="001944E0">
      <w:pPr>
        <w:pStyle w:val="FootnoteText"/>
        <w:spacing w:after="0" w:line="240" w:lineRule="auto"/>
        <w:rPr>
          <w:rFonts w:ascii="Palatino Linotype" w:hAnsi="Palatino Linotype"/>
          <w:color w:val="000000" w:themeColor="text1"/>
          <w:sz w:val="18"/>
          <w:szCs w:val="18"/>
        </w:rPr>
      </w:pPr>
    </w:p>
    <w:p w:rsidR="000B0B22" w:rsidRDefault="007B1E94" w:rsidP="000B0B22">
      <w:pPr>
        <w:pStyle w:val="FootnoteText"/>
        <w:spacing w:after="0" w:line="240" w:lineRule="auto"/>
        <w:rPr>
          <w:rFonts w:ascii="Palatino Linotype" w:hAnsi="Palatino Linotype"/>
          <w:sz w:val="22"/>
          <w:szCs w:val="22"/>
        </w:rPr>
      </w:pPr>
      <w:r>
        <w:rPr>
          <w:rFonts w:ascii="Palatino Linotype" w:hAnsi="Palatino Linotype"/>
          <w:sz w:val="22"/>
          <w:szCs w:val="22"/>
        </w:rPr>
        <w:t xml:space="preserve">General property tax revenue is </w:t>
      </w:r>
      <w:r w:rsidR="00C33E2A">
        <w:rPr>
          <w:rFonts w:ascii="Palatino Linotype" w:hAnsi="Palatino Linotype"/>
          <w:sz w:val="22"/>
          <w:szCs w:val="22"/>
        </w:rPr>
        <w:t>projected</w:t>
      </w:r>
      <w:r>
        <w:rPr>
          <w:rFonts w:ascii="Palatino Linotype" w:hAnsi="Palatino Linotype"/>
          <w:sz w:val="22"/>
          <w:szCs w:val="22"/>
        </w:rPr>
        <w:t xml:space="preserve"> to be approximately $1.7 million (2.2%) higher th</w:t>
      </w:r>
      <w:r w:rsidR="00BA3210">
        <w:rPr>
          <w:rFonts w:ascii="Palatino Linotype" w:hAnsi="Palatino Linotype"/>
          <w:sz w:val="22"/>
          <w:szCs w:val="22"/>
        </w:rPr>
        <w:t>a</w:t>
      </w:r>
      <w:r>
        <w:rPr>
          <w:rFonts w:ascii="Palatino Linotype" w:hAnsi="Palatino Linotype"/>
          <w:sz w:val="22"/>
          <w:szCs w:val="22"/>
        </w:rPr>
        <w:t>n budgeted.</w:t>
      </w:r>
      <w:r w:rsidR="000B0B22">
        <w:rPr>
          <w:rFonts w:ascii="Palatino Linotype" w:hAnsi="Palatino Linotype"/>
          <w:sz w:val="22"/>
          <w:szCs w:val="22"/>
        </w:rPr>
        <w:t xml:space="preserve">  </w:t>
      </w:r>
      <w:r w:rsidRPr="00E23145">
        <w:rPr>
          <w:rFonts w:ascii="Palatino Linotype" w:hAnsi="Palatino Linotype"/>
          <w:sz w:val="22"/>
          <w:szCs w:val="22"/>
        </w:rPr>
        <w:t xml:space="preserve">Transient Occupancy Tax (TOT) is projected </w:t>
      </w:r>
      <w:r w:rsidR="00C33E2A">
        <w:rPr>
          <w:rFonts w:ascii="Palatino Linotype" w:hAnsi="Palatino Linotype"/>
          <w:sz w:val="22"/>
          <w:szCs w:val="22"/>
        </w:rPr>
        <w:t>to be $482,000</w:t>
      </w:r>
      <w:r w:rsidRPr="00E23145">
        <w:rPr>
          <w:rFonts w:ascii="Palatino Linotype" w:hAnsi="Palatino Linotype"/>
          <w:sz w:val="22"/>
          <w:szCs w:val="22"/>
        </w:rPr>
        <w:t xml:space="preserve"> </w:t>
      </w:r>
      <w:r w:rsidR="00C33E2A">
        <w:rPr>
          <w:rFonts w:ascii="Palatino Linotype" w:hAnsi="Palatino Linotype"/>
          <w:sz w:val="22"/>
          <w:szCs w:val="22"/>
        </w:rPr>
        <w:t>(</w:t>
      </w:r>
      <w:r w:rsidR="00BA3210" w:rsidRPr="00E23145">
        <w:rPr>
          <w:rFonts w:ascii="Palatino Linotype" w:hAnsi="Palatino Linotype"/>
          <w:sz w:val="22"/>
          <w:szCs w:val="22"/>
        </w:rPr>
        <w:t>3.8</w:t>
      </w:r>
      <w:r w:rsidRPr="00E23145">
        <w:rPr>
          <w:rFonts w:ascii="Palatino Linotype" w:hAnsi="Palatino Linotype"/>
          <w:sz w:val="22"/>
          <w:szCs w:val="22"/>
        </w:rPr>
        <w:t>%</w:t>
      </w:r>
      <w:r w:rsidR="00C33E2A">
        <w:rPr>
          <w:rFonts w:ascii="Palatino Linotype" w:hAnsi="Palatino Linotype"/>
          <w:sz w:val="22"/>
          <w:szCs w:val="22"/>
        </w:rPr>
        <w:t>)</w:t>
      </w:r>
      <w:r w:rsidRPr="00E23145">
        <w:rPr>
          <w:rFonts w:ascii="Palatino Linotype" w:hAnsi="Palatino Linotype"/>
          <w:sz w:val="22"/>
          <w:szCs w:val="22"/>
        </w:rPr>
        <w:t xml:space="preserve"> highe</w:t>
      </w:r>
      <w:r w:rsidR="00BA3210" w:rsidRPr="00E23145">
        <w:rPr>
          <w:rFonts w:ascii="Palatino Linotype" w:hAnsi="Palatino Linotype"/>
          <w:sz w:val="22"/>
          <w:szCs w:val="22"/>
        </w:rPr>
        <w:t>r than budgeted</w:t>
      </w:r>
      <w:r w:rsidRPr="00E23145">
        <w:rPr>
          <w:rFonts w:ascii="Palatino Linotype" w:hAnsi="Palatino Linotype"/>
          <w:sz w:val="22"/>
          <w:szCs w:val="22"/>
        </w:rPr>
        <w:t>.</w:t>
      </w:r>
      <w:r w:rsidR="000B0B22">
        <w:rPr>
          <w:rFonts w:ascii="Palatino Linotype" w:hAnsi="Palatino Linotype"/>
          <w:sz w:val="22"/>
          <w:szCs w:val="22"/>
        </w:rPr>
        <w:t xml:space="preserve">  </w:t>
      </w:r>
    </w:p>
    <w:p w:rsidR="000B0B22" w:rsidRDefault="000B0B22" w:rsidP="000B0B22">
      <w:pPr>
        <w:pStyle w:val="FootnoteText"/>
        <w:spacing w:after="0" w:line="240" w:lineRule="auto"/>
        <w:rPr>
          <w:rFonts w:ascii="Palatino Linotype" w:hAnsi="Palatino Linotype"/>
          <w:sz w:val="22"/>
          <w:szCs w:val="22"/>
        </w:rPr>
      </w:pPr>
    </w:p>
    <w:p w:rsidR="00240B93" w:rsidRPr="00240B93" w:rsidRDefault="001944E0" w:rsidP="000B0B22">
      <w:pPr>
        <w:pStyle w:val="FootnoteText"/>
        <w:spacing w:after="0" w:line="240" w:lineRule="auto"/>
        <w:rPr>
          <w:rFonts w:ascii="Palatino Linotype" w:hAnsi="Palatino Linotype"/>
          <w:sz w:val="22"/>
          <w:szCs w:val="22"/>
        </w:rPr>
      </w:pPr>
      <w:r w:rsidRPr="00240B93">
        <w:rPr>
          <w:rFonts w:ascii="Palatino Linotype" w:hAnsi="Palatino Linotype"/>
          <w:sz w:val="22"/>
          <w:szCs w:val="22"/>
        </w:rPr>
        <w:t xml:space="preserve">Sales tax </w:t>
      </w:r>
      <w:r w:rsidR="00803F50" w:rsidRPr="00240B93">
        <w:rPr>
          <w:rFonts w:ascii="Palatino Linotype" w:hAnsi="Palatino Linotype"/>
          <w:sz w:val="22"/>
          <w:szCs w:val="22"/>
        </w:rPr>
        <w:t>is projected to be $1</w:t>
      </w:r>
      <w:r w:rsidR="00C33E2A">
        <w:rPr>
          <w:rFonts w:ascii="Palatino Linotype" w:hAnsi="Palatino Linotype"/>
          <w:sz w:val="22"/>
          <w:szCs w:val="22"/>
        </w:rPr>
        <w:t>.</w:t>
      </w:r>
      <w:r w:rsidR="00803F50" w:rsidRPr="00240B93">
        <w:rPr>
          <w:rFonts w:ascii="Palatino Linotype" w:hAnsi="Palatino Linotype"/>
          <w:sz w:val="22"/>
          <w:szCs w:val="22"/>
        </w:rPr>
        <w:t>3 million (13.3%) higher than budgeted, m</w:t>
      </w:r>
      <w:r w:rsidR="00BA3210" w:rsidRPr="00240B93">
        <w:rPr>
          <w:rFonts w:ascii="Palatino Linotype" w:hAnsi="Palatino Linotype"/>
          <w:sz w:val="22"/>
          <w:szCs w:val="22"/>
        </w:rPr>
        <w:t>ostly</w:t>
      </w:r>
      <w:r w:rsidR="00803F50" w:rsidRPr="00240B93">
        <w:rPr>
          <w:rFonts w:ascii="Palatino Linotype" w:hAnsi="Palatino Linotype"/>
          <w:sz w:val="22"/>
          <w:szCs w:val="22"/>
        </w:rPr>
        <w:t xml:space="preserve"> due to the </w:t>
      </w:r>
      <w:r w:rsidRPr="00240B93">
        <w:rPr>
          <w:rFonts w:ascii="Palatino Linotype" w:hAnsi="Palatino Linotype"/>
          <w:sz w:val="22"/>
          <w:szCs w:val="22"/>
        </w:rPr>
        <w:t xml:space="preserve">end of the </w:t>
      </w:r>
      <w:r w:rsidR="00430550" w:rsidRPr="00240B93">
        <w:rPr>
          <w:rFonts w:ascii="Palatino Linotype" w:hAnsi="Palatino Linotype"/>
          <w:sz w:val="22"/>
          <w:szCs w:val="22"/>
        </w:rPr>
        <w:t>“</w:t>
      </w:r>
      <w:r w:rsidRPr="00240B93">
        <w:rPr>
          <w:rFonts w:ascii="Palatino Linotype" w:hAnsi="Palatino Linotype"/>
          <w:sz w:val="22"/>
          <w:szCs w:val="22"/>
        </w:rPr>
        <w:t>Triple Flip</w:t>
      </w:r>
      <w:r w:rsidR="00240B93" w:rsidRPr="00240B93">
        <w:rPr>
          <w:rFonts w:ascii="Palatino Linotype" w:hAnsi="Palatino Linotype"/>
          <w:sz w:val="22"/>
          <w:szCs w:val="22"/>
        </w:rPr>
        <w:t>.</w:t>
      </w:r>
      <w:r w:rsidR="00430550" w:rsidRPr="00240B93">
        <w:rPr>
          <w:rFonts w:ascii="Palatino Linotype" w:hAnsi="Palatino Linotype"/>
          <w:sz w:val="22"/>
          <w:szCs w:val="22"/>
        </w:rPr>
        <w:t>”</w:t>
      </w:r>
      <w:r w:rsidR="00947E4E" w:rsidRPr="00240B93">
        <w:rPr>
          <w:rFonts w:ascii="Palatino Linotype" w:hAnsi="Palatino Linotype"/>
          <w:sz w:val="22"/>
          <w:szCs w:val="22"/>
        </w:rPr>
        <w:t xml:space="preserve"> </w:t>
      </w:r>
      <w:r w:rsidR="00240B93" w:rsidRPr="00240B93">
        <w:rPr>
          <w:rFonts w:ascii="Palatino Linotype" w:hAnsi="Palatino Linotype"/>
          <w:sz w:val="22"/>
          <w:szCs w:val="22"/>
        </w:rPr>
        <w:t>In 2004 voters approved Proposition 57 authorizing the sale of economic recovery bonds guaranteed by a 0.25% sales tax pledge.  To maintain revenue neutrality, the County’s share of sales tax was reduced from 1.00% to 0.75% with the State backfilling the County’s lost sales tax revenues by increasing property tax revenue taken from E</w:t>
      </w:r>
      <w:r w:rsidR="00240B93">
        <w:rPr>
          <w:rFonts w:ascii="Palatino Linotype" w:hAnsi="Palatino Linotype"/>
          <w:sz w:val="22"/>
          <w:szCs w:val="22"/>
        </w:rPr>
        <w:t>ducational Revenue Augmentation Fund (E</w:t>
      </w:r>
      <w:r w:rsidR="00240B93" w:rsidRPr="00240B93">
        <w:rPr>
          <w:rFonts w:ascii="Palatino Linotype" w:hAnsi="Palatino Linotype"/>
          <w:sz w:val="22"/>
          <w:szCs w:val="22"/>
        </w:rPr>
        <w:t>RAF</w:t>
      </w:r>
      <w:r w:rsidR="00240B93">
        <w:rPr>
          <w:rFonts w:ascii="Palatino Linotype" w:hAnsi="Palatino Linotype"/>
          <w:sz w:val="22"/>
          <w:szCs w:val="22"/>
        </w:rPr>
        <w:t>)</w:t>
      </w:r>
      <w:r w:rsidR="00240B93" w:rsidRPr="00240B93">
        <w:rPr>
          <w:rFonts w:ascii="Palatino Linotype" w:hAnsi="Palatino Linotype"/>
          <w:sz w:val="22"/>
          <w:szCs w:val="22"/>
        </w:rPr>
        <w:t xml:space="preserve"> shifts.  During </w:t>
      </w:r>
      <w:r w:rsidR="00240B93">
        <w:rPr>
          <w:rFonts w:ascii="Palatino Linotype" w:hAnsi="Palatino Linotype"/>
          <w:sz w:val="22"/>
          <w:szCs w:val="22"/>
        </w:rPr>
        <w:t>F</w:t>
      </w:r>
      <w:r w:rsidR="00240B93" w:rsidRPr="00240B93">
        <w:rPr>
          <w:rFonts w:ascii="Palatino Linotype" w:hAnsi="Palatino Linotype"/>
          <w:sz w:val="22"/>
          <w:szCs w:val="22"/>
        </w:rPr>
        <w:t xml:space="preserve">iscal </w:t>
      </w:r>
      <w:r w:rsidR="00240B93">
        <w:rPr>
          <w:rFonts w:ascii="Palatino Linotype" w:hAnsi="Palatino Linotype"/>
          <w:sz w:val="22"/>
          <w:szCs w:val="22"/>
        </w:rPr>
        <w:t>Y</w:t>
      </w:r>
      <w:r w:rsidR="00240B93" w:rsidRPr="00240B93">
        <w:rPr>
          <w:rFonts w:ascii="Palatino Linotype" w:hAnsi="Palatino Linotype"/>
          <w:sz w:val="22"/>
          <w:szCs w:val="22"/>
        </w:rPr>
        <w:t xml:space="preserve">ear 2015-16, the State paid off its </w:t>
      </w:r>
      <w:r w:rsidR="00240B93">
        <w:rPr>
          <w:rFonts w:ascii="Palatino Linotype" w:hAnsi="Palatino Linotype"/>
          <w:sz w:val="22"/>
          <w:szCs w:val="22"/>
        </w:rPr>
        <w:t>e</w:t>
      </w:r>
      <w:r w:rsidR="00240B93" w:rsidRPr="00240B93">
        <w:rPr>
          <w:rFonts w:ascii="Palatino Linotype" w:hAnsi="Palatino Linotype"/>
          <w:sz w:val="22"/>
          <w:szCs w:val="22"/>
        </w:rPr>
        <w:t xml:space="preserve">conomic </w:t>
      </w:r>
      <w:r w:rsidR="00240B93">
        <w:rPr>
          <w:rFonts w:ascii="Palatino Linotype" w:hAnsi="Palatino Linotype"/>
          <w:sz w:val="22"/>
          <w:szCs w:val="22"/>
        </w:rPr>
        <w:t>r</w:t>
      </w:r>
      <w:r w:rsidR="00240B93" w:rsidRPr="00240B93">
        <w:rPr>
          <w:rFonts w:ascii="Palatino Linotype" w:hAnsi="Palatino Linotype"/>
          <w:sz w:val="22"/>
          <w:szCs w:val="22"/>
        </w:rPr>
        <w:t xml:space="preserve">ecovery </w:t>
      </w:r>
      <w:r w:rsidR="00240B93">
        <w:rPr>
          <w:rFonts w:ascii="Palatino Linotype" w:hAnsi="Palatino Linotype"/>
          <w:sz w:val="22"/>
          <w:szCs w:val="22"/>
        </w:rPr>
        <w:t>b</w:t>
      </w:r>
      <w:r w:rsidR="00240B93" w:rsidRPr="00240B93">
        <w:rPr>
          <w:rFonts w:ascii="Palatino Linotype" w:hAnsi="Palatino Linotype"/>
          <w:sz w:val="22"/>
          <w:szCs w:val="22"/>
        </w:rPr>
        <w:t>onds</w:t>
      </w:r>
      <w:r w:rsidR="00240B93">
        <w:rPr>
          <w:rFonts w:ascii="Palatino Linotype" w:hAnsi="Palatino Linotype"/>
          <w:sz w:val="22"/>
          <w:szCs w:val="22"/>
        </w:rPr>
        <w:t>,</w:t>
      </w:r>
      <w:r w:rsidR="00240B93" w:rsidRPr="00240B93">
        <w:rPr>
          <w:rFonts w:ascii="Palatino Linotype" w:hAnsi="Palatino Linotype"/>
          <w:sz w:val="22"/>
          <w:szCs w:val="22"/>
        </w:rPr>
        <w:t xml:space="preserve"> which allowed for the wind down of the Triple Flip.  With the elimination of the Triple Flip, the County’s share of sales tax was restored</w:t>
      </w:r>
      <w:r w:rsidR="00240B93">
        <w:rPr>
          <w:rFonts w:ascii="Palatino Linotype" w:hAnsi="Palatino Linotype"/>
          <w:sz w:val="22"/>
          <w:szCs w:val="22"/>
        </w:rPr>
        <w:t>,</w:t>
      </w:r>
      <w:r w:rsidR="00240B93" w:rsidRPr="00240B93">
        <w:rPr>
          <w:rFonts w:ascii="Palatino Linotype" w:hAnsi="Palatino Linotype"/>
          <w:sz w:val="22"/>
          <w:szCs w:val="22"/>
        </w:rPr>
        <w:t xml:space="preserve"> resulting in a significant increase in sales tax revenues </w:t>
      </w:r>
      <w:r w:rsidR="00C8460F">
        <w:rPr>
          <w:rFonts w:ascii="Palatino Linotype" w:hAnsi="Palatino Linotype"/>
          <w:sz w:val="22"/>
          <w:szCs w:val="22"/>
        </w:rPr>
        <w:t xml:space="preserve">and </w:t>
      </w:r>
      <w:r w:rsidR="00240B93" w:rsidRPr="00240B93">
        <w:rPr>
          <w:rFonts w:ascii="Palatino Linotype" w:hAnsi="Palatino Linotype"/>
          <w:sz w:val="22"/>
          <w:szCs w:val="22"/>
        </w:rPr>
        <w:t xml:space="preserve">a loss </w:t>
      </w:r>
      <w:r w:rsidR="00A71CDC">
        <w:rPr>
          <w:rFonts w:ascii="Palatino Linotype" w:hAnsi="Palatino Linotype"/>
          <w:sz w:val="22"/>
          <w:szCs w:val="22"/>
        </w:rPr>
        <w:t>in</w:t>
      </w:r>
      <w:r w:rsidR="00240B93" w:rsidRPr="00240B93">
        <w:rPr>
          <w:rFonts w:ascii="Palatino Linotype" w:hAnsi="Palatino Linotype"/>
          <w:sz w:val="22"/>
          <w:szCs w:val="22"/>
        </w:rPr>
        <w:t xml:space="preserve"> property tax revenue</w:t>
      </w:r>
      <w:r w:rsidR="008976FF">
        <w:rPr>
          <w:rFonts w:ascii="Palatino Linotype" w:hAnsi="Palatino Linotype"/>
          <w:sz w:val="22"/>
          <w:szCs w:val="22"/>
        </w:rPr>
        <w:t>, although total property tax revenue has increased, as noted above</w:t>
      </w:r>
      <w:r w:rsidR="00240B93" w:rsidRPr="00240B93">
        <w:rPr>
          <w:rFonts w:ascii="Palatino Linotype" w:hAnsi="Palatino Linotype"/>
          <w:sz w:val="22"/>
          <w:szCs w:val="22"/>
        </w:rPr>
        <w:t xml:space="preserve">.  </w:t>
      </w:r>
    </w:p>
    <w:p w:rsidR="00A21899" w:rsidRPr="00240B93" w:rsidRDefault="00A21899" w:rsidP="001944E0">
      <w:pPr>
        <w:rPr>
          <w:rFonts w:ascii="Palatino Linotype" w:eastAsia="Calibri" w:hAnsi="Palatino Linotype"/>
          <w:sz w:val="22"/>
          <w:szCs w:val="22"/>
        </w:rPr>
      </w:pPr>
    </w:p>
    <w:p w:rsidR="007B5682" w:rsidRPr="0050775B" w:rsidRDefault="007B5682" w:rsidP="007B5682">
      <w:pPr>
        <w:ind w:left="720"/>
        <w:jc w:val="center"/>
        <w:rPr>
          <w:rFonts w:ascii="Palatino Linotype" w:hAnsi="Palatino Linotype"/>
          <w:b/>
          <w:sz w:val="22"/>
          <w:szCs w:val="22"/>
        </w:rPr>
      </w:pPr>
      <w:r w:rsidRPr="0050775B">
        <w:rPr>
          <w:rFonts w:ascii="Palatino Linotype" w:hAnsi="Palatino Linotype"/>
          <w:b/>
          <w:sz w:val="22"/>
          <w:szCs w:val="22"/>
        </w:rPr>
        <w:t>Non-Departmental Revenue Summary</w:t>
      </w:r>
    </w:p>
    <w:p w:rsidR="007B5682" w:rsidRPr="00BA1D10" w:rsidRDefault="007B5682" w:rsidP="007B5682">
      <w:pPr>
        <w:ind w:left="360"/>
        <w:jc w:val="center"/>
        <w:rPr>
          <w:rFonts w:ascii="Palatino Linotype" w:hAnsi="Palatino Linotype"/>
          <w:b/>
          <w:sz w:val="22"/>
          <w:szCs w:val="22"/>
          <w:highlight w:val="yellow"/>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1800"/>
        <w:gridCol w:w="1710"/>
        <w:gridCol w:w="1530"/>
        <w:gridCol w:w="1530"/>
      </w:tblGrid>
      <w:tr w:rsidR="007B5682" w:rsidRPr="00BA1D10" w:rsidTr="001027B2">
        <w:tc>
          <w:tcPr>
            <w:tcW w:w="2790" w:type="dxa"/>
          </w:tcPr>
          <w:p w:rsidR="007B5682" w:rsidRPr="00BA1D10" w:rsidRDefault="007B5682" w:rsidP="001027B2">
            <w:pPr>
              <w:pStyle w:val="ListParagraph"/>
              <w:spacing w:after="0" w:line="240" w:lineRule="auto"/>
              <w:ind w:left="0"/>
              <w:jc w:val="center"/>
              <w:rPr>
                <w:rFonts w:ascii="Palatino Linotype" w:hAnsi="Palatino Linotype"/>
                <w:color w:val="000000" w:themeColor="text1"/>
                <w:highlight w:val="yellow"/>
              </w:rPr>
            </w:pPr>
            <w:r w:rsidRPr="0050775B">
              <w:rPr>
                <w:rFonts w:ascii="Palatino Linotype" w:hAnsi="Palatino Linotype"/>
                <w:color w:val="000000" w:themeColor="text1"/>
              </w:rPr>
              <w:t>Revenue</w:t>
            </w:r>
          </w:p>
        </w:tc>
        <w:tc>
          <w:tcPr>
            <w:tcW w:w="1800" w:type="dxa"/>
          </w:tcPr>
          <w:p w:rsidR="007B5682" w:rsidRPr="00FB37A4" w:rsidRDefault="007B5682" w:rsidP="001027B2">
            <w:pPr>
              <w:pStyle w:val="ListParagraph"/>
              <w:spacing w:after="0" w:line="240" w:lineRule="auto"/>
              <w:ind w:left="0"/>
              <w:jc w:val="center"/>
              <w:rPr>
                <w:rFonts w:ascii="Palatino Linotype" w:hAnsi="Palatino Linotype"/>
                <w:color w:val="000000" w:themeColor="text1"/>
              </w:rPr>
            </w:pPr>
            <w:r w:rsidRPr="00FB37A4">
              <w:rPr>
                <w:rFonts w:ascii="Palatino Linotype" w:hAnsi="Palatino Linotype"/>
                <w:color w:val="000000" w:themeColor="text1"/>
              </w:rPr>
              <w:t>FY 16-17</w:t>
            </w:r>
          </w:p>
          <w:p w:rsidR="007B5682" w:rsidRPr="00FB37A4" w:rsidRDefault="007B5682" w:rsidP="001027B2">
            <w:pPr>
              <w:pStyle w:val="ListParagraph"/>
              <w:spacing w:after="0" w:line="240" w:lineRule="auto"/>
              <w:ind w:left="0"/>
              <w:jc w:val="center"/>
              <w:rPr>
                <w:rFonts w:ascii="Palatino Linotype" w:hAnsi="Palatino Linotype"/>
                <w:color w:val="000000" w:themeColor="text1"/>
              </w:rPr>
            </w:pPr>
            <w:r w:rsidRPr="00FB37A4">
              <w:rPr>
                <w:rFonts w:ascii="Palatino Linotype" w:hAnsi="Palatino Linotype"/>
                <w:color w:val="000000" w:themeColor="text1"/>
              </w:rPr>
              <w:t>Budgeted</w:t>
            </w:r>
          </w:p>
        </w:tc>
        <w:tc>
          <w:tcPr>
            <w:tcW w:w="1710" w:type="dxa"/>
          </w:tcPr>
          <w:p w:rsidR="007B5682" w:rsidRPr="00980153" w:rsidRDefault="007B5682" w:rsidP="001027B2">
            <w:pPr>
              <w:pStyle w:val="ListParagraph"/>
              <w:spacing w:after="0" w:line="240" w:lineRule="auto"/>
              <w:ind w:left="0"/>
              <w:jc w:val="center"/>
              <w:rPr>
                <w:rFonts w:ascii="Palatino Linotype" w:hAnsi="Palatino Linotype"/>
                <w:color w:val="000000" w:themeColor="text1"/>
              </w:rPr>
            </w:pPr>
            <w:r w:rsidRPr="00980153">
              <w:rPr>
                <w:rFonts w:ascii="Palatino Linotype" w:hAnsi="Palatino Linotype"/>
                <w:color w:val="000000" w:themeColor="text1"/>
              </w:rPr>
              <w:t>FY 16-17</w:t>
            </w:r>
          </w:p>
          <w:p w:rsidR="007B5682" w:rsidRPr="00980153" w:rsidRDefault="007B5682" w:rsidP="001027B2">
            <w:pPr>
              <w:pStyle w:val="ListParagraph"/>
              <w:spacing w:after="0" w:line="240" w:lineRule="auto"/>
              <w:ind w:left="0"/>
              <w:jc w:val="center"/>
              <w:rPr>
                <w:rFonts w:ascii="Palatino Linotype" w:hAnsi="Palatino Linotype"/>
                <w:color w:val="000000" w:themeColor="text1"/>
              </w:rPr>
            </w:pPr>
            <w:r w:rsidRPr="00980153">
              <w:rPr>
                <w:rFonts w:ascii="Palatino Linotype" w:hAnsi="Palatino Linotype"/>
                <w:color w:val="000000" w:themeColor="text1"/>
              </w:rPr>
              <w:t>Estimated</w:t>
            </w:r>
          </w:p>
        </w:tc>
        <w:tc>
          <w:tcPr>
            <w:tcW w:w="1530" w:type="dxa"/>
          </w:tcPr>
          <w:p w:rsidR="007B5682" w:rsidRPr="00980153" w:rsidRDefault="007B5682" w:rsidP="001027B2">
            <w:pPr>
              <w:pStyle w:val="ListParagraph"/>
              <w:spacing w:after="0" w:line="240" w:lineRule="auto"/>
              <w:ind w:left="0"/>
              <w:jc w:val="center"/>
              <w:rPr>
                <w:rFonts w:ascii="Palatino Linotype" w:hAnsi="Palatino Linotype"/>
                <w:color w:val="000000" w:themeColor="text1"/>
              </w:rPr>
            </w:pPr>
            <w:r w:rsidRPr="00980153">
              <w:rPr>
                <w:rFonts w:ascii="Palatino Linotype" w:hAnsi="Palatino Linotype"/>
                <w:color w:val="000000" w:themeColor="text1"/>
              </w:rPr>
              <w:t>Difference</w:t>
            </w:r>
          </w:p>
        </w:tc>
        <w:tc>
          <w:tcPr>
            <w:tcW w:w="1530" w:type="dxa"/>
          </w:tcPr>
          <w:p w:rsidR="007B5682" w:rsidRPr="00980153" w:rsidRDefault="007B5682" w:rsidP="001027B2">
            <w:pPr>
              <w:pStyle w:val="ListParagraph"/>
              <w:spacing w:after="0" w:line="240" w:lineRule="auto"/>
              <w:ind w:left="0"/>
              <w:jc w:val="center"/>
              <w:rPr>
                <w:rFonts w:ascii="Palatino Linotype" w:hAnsi="Palatino Linotype"/>
                <w:color w:val="000000" w:themeColor="text1"/>
              </w:rPr>
            </w:pPr>
            <w:r w:rsidRPr="00980153">
              <w:rPr>
                <w:rFonts w:ascii="Palatino Linotype" w:hAnsi="Palatino Linotype"/>
                <w:color w:val="000000" w:themeColor="text1"/>
              </w:rPr>
              <w:t>Percent Difference</w:t>
            </w:r>
          </w:p>
        </w:tc>
      </w:tr>
      <w:tr w:rsidR="007B5682" w:rsidRPr="00BA1D10" w:rsidTr="001027B2">
        <w:tc>
          <w:tcPr>
            <w:tcW w:w="2790" w:type="dxa"/>
          </w:tcPr>
          <w:p w:rsidR="007B5682" w:rsidRPr="00FB37A4" w:rsidRDefault="007B5682" w:rsidP="001027B2">
            <w:pPr>
              <w:pStyle w:val="ListParagraph"/>
              <w:spacing w:after="0" w:line="240" w:lineRule="auto"/>
              <w:ind w:left="0"/>
              <w:rPr>
                <w:rFonts w:ascii="Palatino Linotype" w:hAnsi="Palatino Linotype"/>
                <w:color w:val="000000" w:themeColor="text1"/>
              </w:rPr>
            </w:pPr>
            <w:r w:rsidRPr="00FB37A4">
              <w:rPr>
                <w:rFonts w:ascii="Palatino Linotype" w:hAnsi="Palatino Linotype"/>
                <w:color w:val="000000" w:themeColor="text1"/>
              </w:rPr>
              <w:t>Property Tax</w:t>
            </w:r>
          </w:p>
        </w:tc>
        <w:tc>
          <w:tcPr>
            <w:tcW w:w="1800" w:type="dxa"/>
          </w:tcPr>
          <w:p w:rsidR="007B5682" w:rsidRPr="00FB37A4" w:rsidRDefault="007B5682" w:rsidP="001027B2">
            <w:pPr>
              <w:pStyle w:val="ListParagraph"/>
              <w:spacing w:after="0" w:line="240" w:lineRule="auto"/>
              <w:ind w:left="0"/>
              <w:jc w:val="right"/>
              <w:rPr>
                <w:rFonts w:ascii="Palatino Linotype" w:hAnsi="Palatino Linotype"/>
                <w:color w:val="000000" w:themeColor="text1"/>
              </w:rPr>
            </w:pPr>
            <w:r w:rsidRPr="00FB37A4">
              <w:rPr>
                <w:rFonts w:ascii="Palatino Linotype" w:hAnsi="Palatino Linotype"/>
                <w:color w:val="000000" w:themeColor="text1"/>
              </w:rPr>
              <w:t>79,461,580</w:t>
            </w:r>
          </w:p>
        </w:tc>
        <w:tc>
          <w:tcPr>
            <w:tcW w:w="1710" w:type="dxa"/>
          </w:tcPr>
          <w:p w:rsidR="007B5682" w:rsidRPr="00980153" w:rsidRDefault="007B5682" w:rsidP="00761B3B">
            <w:pPr>
              <w:pStyle w:val="ListParagraph"/>
              <w:spacing w:after="0" w:line="240" w:lineRule="auto"/>
              <w:ind w:left="0"/>
              <w:jc w:val="right"/>
              <w:rPr>
                <w:rFonts w:ascii="Palatino Linotype" w:hAnsi="Palatino Linotype"/>
                <w:color w:val="000000" w:themeColor="text1"/>
              </w:rPr>
            </w:pPr>
            <w:r w:rsidRPr="00980153">
              <w:rPr>
                <w:rFonts w:ascii="Palatino Linotype" w:hAnsi="Palatino Linotype"/>
                <w:color w:val="000000" w:themeColor="text1"/>
              </w:rPr>
              <w:t>81,202,83</w:t>
            </w:r>
            <w:r w:rsidR="00761B3B">
              <w:rPr>
                <w:rFonts w:ascii="Palatino Linotype" w:hAnsi="Palatino Linotype"/>
                <w:color w:val="000000" w:themeColor="text1"/>
              </w:rPr>
              <w:t>5</w:t>
            </w:r>
          </w:p>
        </w:tc>
        <w:tc>
          <w:tcPr>
            <w:tcW w:w="1530" w:type="dxa"/>
          </w:tcPr>
          <w:p w:rsidR="007B5682" w:rsidRPr="00980153" w:rsidRDefault="007B5682" w:rsidP="001027B2">
            <w:pPr>
              <w:pStyle w:val="ListParagraph"/>
              <w:spacing w:after="0" w:line="240" w:lineRule="auto"/>
              <w:ind w:left="0"/>
              <w:jc w:val="right"/>
              <w:rPr>
                <w:rFonts w:ascii="Palatino Linotype" w:hAnsi="Palatino Linotype"/>
                <w:color w:val="000000" w:themeColor="text1"/>
              </w:rPr>
            </w:pPr>
            <w:r w:rsidRPr="00980153">
              <w:rPr>
                <w:rFonts w:ascii="Palatino Linotype" w:hAnsi="Palatino Linotype"/>
                <w:color w:val="000000" w:themeColor="text1"/>
              </w:rPr>
              <w:t>1,741,256</w:t>
            </w:r>
          </w:p>
        </w:tc>
        <w:tc>
          <w:tcPr>
            <w:tcW w:w="1530" w:type="dxa"/>
          </w:tcPr>
          <w:p w:rsidR="007B5682" w:rsidRPr="00980153" w:rsidRDefault="007B5682" w:rsidP="001027B2">
            <w:pPr>
              <w:pStyle w:val="ListParagraph"/>
              <w:spacing w:after="0" w:line="240" w:lineRule="auto"/>
              <w:ind w:left="0"/>
              <w:jc w:val="right"/>
              <w:rPr>
                <w:rFonts w:ascii="Palatino Linotype" w:hAnsi="Palatino Linotype"/>
                <w:color w:val="000000" w:themeColor="text1"/>
              </w:rPr>
            </w:pPr>
            <w:r w:rsidRPr="00980153">
              <w:rPr>
                <w:rFonts w:ascii="Palatino Linotype" w:hAnsi="Palatino Linotype"/>
                <w:color w:val="000000" w:themeColor="text1"/>
              </w:rPr>
              <w:t>2.2%</w:t>
            </w:r>
          </w:p>
        </w:tc>
      </w:tr>
      <w:tr w:rsidR="007B5682" w:rsidRPr="00BA1D10" w:rsidTr="001027B2">
        <w:tc>
          <w:tcPr>
            <w:tcW w:w="2790" w:type="dxa"/>
          </w:tcPr>
          <w:p w:rsidR="007B5682" w:rsidRPr="00FB37A4" w:rsidRDefault="007B5682" w:rsidP="00B71B31">
            <w:pPr>
              <w:pStyle w:val="ListParagraph"/>
              <w:spacing w:after="0" w:line="240" w:lineRule="auto"/>
              <w:ind w:left="0"/>
              <w:rPr>
                <w:rFonts w:ascii="Palatino Linotype" w:hAnsi="Palatino Linotype"/>
                <w:color w:val="000000" w:themeColor="text1"/>
              </w:rPr>
            </w:pPr>
            <w:r w:rsidRPr="00FB37A4">
              <w:rPr>
                <w:rFonts w:ascii="Palatino Linotype" w:hAnsi="Palatino Linotype"/>
                <w:color w:val="000000" w:themeColor="text1"/>
              </w:rPr>
              <w:t>Transient Occ</w:t>
            </w:r>
            <w:r w:rsidR="00B71B31" w:rsidRPr="00FB37A4">
              <w:rPr>
                <w:rFonts w:ascii="Palatino Linotype" w:hAnsi="Palatino Linotype"/>
                <w:color w:val="000000" w:themeColor="text1"/>
              </w:rPr>
              <w:t>upancy</w:t>
            </w:r>
            <w:r w:rsidRPr="00FB37A4">
              <w:rPr>
                <w:rFonts w:ascii="Palatino Linotype" w:hAnsi="Palatino Linotype"/>
                <w:color w:val="000000" w:themeColor="text1"/>
              </w:rPr>
              <w:t xml:space="preserve"> Tax</w:t>
            </w:r>
          </w:p>
        </w:tc>
        <w:tc>
          <w:tcPr>
            <w:tcW w:w="1800" w:type="dxa"/>
          </w:tcPr>
          <w:p w:rsidR="007B5682" w:rsidRPr="00FB37A4" w:rsidRDefault="007B5682" w:rsidP="001027B2">
            <w:pPr>
              <w:pStyle w:val="ListParagraph"/>
              <w:spacing w:after="0" w:line="240" w:lineRule="auto"/>
              <w:ind w:left="0"/>
              <w:jc w:val="right"/>
              <w:rPr>
                <w:rFonts w:ascii="Palatino Linotype" w:hAnsi="Palatino Linotype"/>
                <w:color w:val="000000" w:themeColor="text1"/>
              </w:rPr>
            </w:pPr>
            <w:r w:rsidRPr="00FB37A4">
              <w:rPr>
                <w:rFonts w:ascii="Palatino Linotype" w:hAnsi="Palatino Linotype"/>
                <w:color w:val="000000" w:themeColor="text1"/>
              </w:rPr>
              <w:t>12,688,000</w:t>
            </w:r>
          </w:p>
        </w:tc>
        <w:tc>
          <w:tcPr>
            <w:tcW w:w="1710" w:type="dxa"/>
          </w:tcPr>
          <w:p w:rsidR="007B5682" w:rsidRPr="0050775B" w:rsidRDefault="007B5682" w:rsidP="000E4F9B">
            <w:pPr>
              <w:pStyle w:val="ListParagraph"/>
              <w:spacing w:after="0" w:line="240" w:lineRule="auto"/>
              <w:ind w:left="0"/>
              <w:jc w:val="right"/>
              <w:rPr>
                <w:rFonts w:ascii="Palatino Linotype" w:hAnsi="Palatino Linotype"/>
                <w:color w:val="000000" w:themeColor="text1"/>
              </w:rPr>
            </w:pPr>
            <w:r w:rsidRPr="0050775B">
              <w:rPr>
                <w:rFonts w:ascii="Palatino Linotype" w:hAnsi="Palatino Linotype"/>
                <w:color w:val="000000" w:themeColor="text1"/>
              </w:rPr>
              <w:t>1</w:t>
            </w:r>
            <w:r w:rsidR="000E4F9B" w:rsidRPr="0050775B">
              <w:rPr>
                <w:rFonts w:ascii="Palatino Linotype" w:hAnsi="Palatino Linotype"/>
                <w:color w:val="000000" w:themeColor="text1"/>
              </w:rPr>
              <w:t>3,170,000</w:t>
            </w:r>
          </w:p>
        </w:tc>
        <w:tc>
          <w:tcPr>
            <w:tcW w:w="1530" w:type="dxa"/>
          </w:tcPr>
          <w:p w:rsidR="007B5682" w:rsidRPr="0050775B" w:rsidRDefault="00E913D7" w:rsidP="00E913D7">
            <w:pPr>
              <w:pStyle w:val="ListParagraph"/>
              <w:spacing w:after="0" w:line="240" w:lineRule="auto"/>
              <w:ind w:left="0"/>
              <w:jc w:val="right"/>
              <w:rPr>
                <w:rFonts w:ascii="Palatino Linotype" w:hAnsi="Palatino Linotype"/>
                <w:color w:val="000000" w:themeColor="text1"/>
              </w:rPr>
            </w:pPr>
            <w:r w:rsidRPr="0050775B">
              <w:rPr>
                <w:rFonts w:ascii="Palatino Linotype" w:hAnsi="Palatino Linotype"/>
                <w:color w:val="000000" w:themeColor="text1"/>
              </w:rPr>
              <w:t>482,000</w:t>
            </w:r>
          </w:p>
        </w:tc>
        <w:tc>
          <w:tcPr>
            <w:tcW w:w="1530" w:type="dxa"/>
          </w:tcPr>
          <w:p w:rsidR="007B5682" w:rsidRPr="0050775B" w:rsidRDefault="00E913D7" w:rsidP="00E913D7">
            <w:pPr>
              <w:pStyle w:val="ListParagraph"/>
              <w:spacing w:after="0" w:line="240" w:lineRule="auto"/>
              <w:ind w:left="0"/>
              <w:jc w:val="right"/>
              <w:rPr>
                <w:rFonts w:ascii="Palatino Linotype" w:hAnsi="Palatino Linotype"/>
                <w:color w:val="000000" w:themeColor="text1"/>
              </w:rPr>
            </w:pPr>
            <w:r w:rsidRPr="0050775B">
              <w:rPr>
                <w:rFonts w:ascii="Palatino Linotype" w:hAnsi="Palatino Linotype"/>
                <w:color w:val="000000" w:themeColor="text1"/>
              </w:rPr>
              <w:t>3.8</w:t>
            </w:r>
            <w:r w:rsidR="007B5682" w:rsidRPr="0050775B">
              <w:rPr>
                <w:rFonts w:ascii="Palatino Linotype" w:hAnsi="Palatino Linotype"/>
                <w:color w:val="000000" w:themeColor="text1"/>
              </w:rPr>
              <w:t>%</w:t>
            </w:r>
          </w:p>
        </w:tc>
      </w:tr>
      <w:tr w:rsidR="007B5682" w:rsidRPr="00BA1D10" w:rsidTr="001027B2">
        <w:tc>
          <w:tcPr>
            <w:tcW w:w="2790" w:type="dxa"/>
            <w:tcBorders>
              <w:bottom w:val="single" w:sz="4" w:space="0" w:color="000000"/>
            </w:tcBorders>
          </w:tcPr>
          <w:p w:rsidR="007B5682" w:rsidRPr="00FB37A4" w:rsidRDefault="007B5682" w:rsidP="001027B2">
            <w:pPr>
              <w:pStyle w:val="ListParagraph"/>
              <w:spacing w:after="0" w:line="240" w:lineRule="auto"/>
              <w:ind w:left="0"/>
              <w:rPr>
                <w:rFonts w:ascii="Palatino Linotype" w:hAnsi="Palatino Linotype"/>
                <w:color w:val="000000" w:themeColor="text1"/>
              </w:rPr>
            </w:pPr>
            <w:r w:rsidRPr="00FB37A4">
              <w:rPr>
                <w:rFonts w:ascii="Palatino Linotype" w:hAnsi="Palatino Linotype"/>
                <w:color w:val="000000" w:themeColor="text1"/>
              </w:rPr>
              <w:t>Sales &amp; Use Tax</w:t>
            </w:r>
          </w:p>
        </w:tc>
        <w:tc>
          <w:tcPr>
            <w:tcW w:w="1800" w:type="dxa"/>
            <w:tcBorders>
              <w:bottom w:val="single" w:sz="4" w:space="0" w:color="000000"/>
            </w:tcBorders>
          </w:tcPr>
          <w:p w:rsidR="007B5682" w:rsidRPr="00FB37A4" w:rsidRDefault="007B5682" w:rsidP="001027B2">
            <w:pPr>
              <w:pStyle w:val="ListParagraph"/>
              <w:spacing w:after="0" w:line="240" w:lineRule="auto"/>
              <w:ind w:left="0"/>
              <w:jc w:val="right"/>
              <w:rPr>
                <w:rFonts w:ascii="Palatino Linotype" w:hAnsi="Palatino Linotype"/>
                <w:color w:val="000000" w:themeColor="text1"/>
              </w:rPr>
            </w:pPr>
            <w:r w:rsidRPr="00FB37A4">
              <w:rPr>
                <w:rFonts w:ascii="Palatino Linotype" w:hAnsi="Palatino Linotype"/>
                <w:color w:val="000000" w:themeColor="text1"/>
              </w:rPr>
              <w:t>9,975,038</w:t>
            </w:r>
          </w:p>
        </w:tc>
        <w:tc>
          <w:tcPr>
            <w:tcW w:w="1710" w:type="dxa"/>
            <w:tcBorders>
              <w:bottom w:val="single" w:sz="4" w:space="0" w:color="000000"/>
            </w:tcBorders>
          </w:tcPr>
          <w:p w:rsidR="007B5682" w:rsidRPr="00980153" w:rsidRDefault="007B5682" w:rsidP="001944E0">
            <w:pPr>
              <w:pStyle w:val="ListParagraph"/>
              <w:spacing w:after="0" w:line="240" w:lineRule="auto"/>
              <w:ind w:left="0"/>
              <w:jc w:val="right"/>
              <w:rPr>
                <w:rFonts w:ascii="Palatino Linotype" w:hAnsi="Palatino Linotype"/>
                <w:color w:val="000000" w:themeColor="text1"/>
              </w:rPr>
            </w:pPr>
            <w:r w:rsidRPr="00980153">
              <w:rPr>
                <w:rFonts w:ascii="Palatino Linotype" w:hAnsi="Palatino Linotype"/>
                <w:color w:val="000000" w:themeColor="text1"/>
              </w:rPr>
              <w:t>11,300,000</w:t>
            </w:r>
          </w:p>
        </w:tc>
        <w:tc>
          <w:tcPr>
            <w:tcW w:w="1530" w:type="dxa"/>
            <w:tcBorders>
              <w:bottom w:val="single" w:sz="4" w:space="0" w:color="000000"/>
            </w:tcBorders>
          </w:tcPr>
          <w:p w:rsidR="007B5682" w:rsidRPr="00980153" w:rsidRDefault="007B5682" w:rsidP="001027B2">
            <w:pPr>
              <w:pStyle w:val="ListParagraph"/>
              <w:spacing w:after="0" w:line="240" w:lineRule="auto"/>
              <w:ind w:left="0"/>
              <w:jc w:val="right"/>
              <w:rPr>
                <w:rFonts w:ascii="Palatino Linotype" w:hAnsi="Palatino Linotype"/>
                <w:color w:val="000000" w:themeColor="text1"/>
              </w:rPr>
            </w:pPr>
            <w:r w:rsidRPr="00980153">
              <w:rPr>
                <w:rFonts w:ascii="Palatino Linotype" w:hAnsi="Palatino Linotype"/>
                <w:color w:val="000000" w:themeColor="text1"/>
              </w:rPr>
              <w:t>1,324,962</w:t>
            </w:r>
          </w:p>
        </w:tc>
        <w:tc>
          <w:tcPr>
            <w:tcW w:w="1530" w:type="dxa"/>
            <w:tcBorders>
              <w:bottom w:val="single" w:sz="4" w:space="0" w:color="000000"/>
            </w:tcBorders>
          </w:tcPr>
          <w:p w:rsidR="007B5682" w:rsidRPr="00980153" w:rsidRDefault="007B5682" w:rsidP="001027B2">
            <w:pPr>
              <w:pStyle w:val="ListParagraph"/>
              <w:spacing w:after="0" w:line="240" w:lineRule="auto"/>
              <w:ind w:left="0"/>
              <w:jc w:val="right"/>
              <w:rPr>
                <w:rFonts w:ascii="Palatino Linotype" w:hAnsi="Palatino Linotype"/>
                <w:color w:val="000000" w:themeColor="text1"/>
              </w:rPr>
            </w:pPr>
            <w:r w:rsidRPr="00980153">
              <w:rPr>
                <w:rFonts w:ascii="Palatino Linotype" w:hAnsi="Palatino Linotype"/>
                <w:color w:val="000000" w:themeColor="text1"/>
              </w:rPr>
              <w:t>13.3%</w:t>
            </w:r>
          </w:p>
        </w:tc>
      </w:tr>
      <w:tr w:rsidR="007B5682" w:rsidRPr="00980153" w:rsidTr="001027B2">
        <w:tc>
          <w:tcPr>
            <w:tcW w:w="2790" w:type="dxa"/>
            <w:tcBorders>
              <w:bottom w:val="single" w:sz="4" w:space="0" w:color="000000"/>
            </w:tcBorders>
          </w:tcPr>
          <w:p w:rsidR="007B5682" w:rsidRPr="00FB37A4" w:rsidRDefault="007B5682" w:rsidP="001027B2">
            <w:pPr>
              <w:pStyle w:val="ListParagraph"/>
              <w:spacing w:after="0" w:line="240" w:lineRule="auto"/>
              <w:ind w:left="0"/>
              <w:rPr>
                <w:rFonts w:ascii="Palatino Linotype" w:hAnsi="Palatino Linotype"/>
                <w:color w:val="000000" w:themeColor="text1"/>
              </w:rPr>
            </w:pPr>
            <w:r w:rsidRPr="00FB37A4">
              <w:rPr>
                <w:rFonts w:ascii="Palatino Linotype" w:hAnsi="Palatino Linotype"/>
                <w:color w:val="000000" w:themeColor="text1"/>
              </w:rPr>
              <w:t>Other Revenue</w:t>
            </w:r>
          </w:p>
        </w:tc>
        <w:tc>
          <w:tcPr>
            <w:tcW w:w="1800" w:type="dxa"/>
            <w:tcBorders>
              <w:bottom w:val="single" w:sz="4" w:space="0" w:color="000000"/>
            </w:tcBorders>
          </w:tcPr>
          <w:p w:rsidR="007B5682" w:rsidRPr="00FB37A4" w:rsidRDefault="007B5682" w:rsidP="001027B2">
            <w:pPr>
              <w:pStyle w:val="ListParagraph"/>
              <w:spacing w:after="0" w:line="240" w:lineRule="auto"/>
              <w:ind w:left="0"/>
              <w:jc w:val="right"/>
              <w:rPr>
                <w:rFonts w:ascii="Palatino Linotype" w:hAnsi="Palatino Linotype"/>
                <w:color w:val="000000" w:themeColor="text1"/>
              </w:rPr>
            </w:pPr>
            <w:r w:rsidRPr="00FB37A4">
              <w:rPr>
                <w:rFonts w:ascii="Palatino Linotype" w:hAnsi="Palatino Linotype"/>
                <w:color w:val="000000" w:themeColor="text1"/>
              </w:rPr>
              <w:t>9,643,609</w:t>
            </w:r>
          </w:p>
        </w:tc>
        <w:tc>
          <w:tcPr>
            <w:tcW w:w="1710" w:type="dxa"/>
            <w:tcBorders>
              <w:bottom w:val="single" w:sz="4" w:space="0" w:color="000000"/>
            </w:tcBorders>
          </w:tcPr>
          <w:p w:rsidR="007B5682" w:rsidRPr="00980153" w:rsidRDefault="007B5682" w:rsidP="001027B2">
            <w:pPr>
              <w:pStyle w:val="ListParagraph"/>
              <w:spacing w:after="0" w:line="240" w:lineRule="auto"/>
              <w:ind w:left="0"/>
              <w:jc w:val="right"/>
              <w:rPr>
                <w:rFonts w:ascii="Palatino Linotype" w:hAnsi="Palatino Linotype"/>
                <w:color w:val="000000" w:themeColor="text1"/>
              </w:rPr>
            </w:pPr>
            <w:r w:rsidRPr="00980153">
              <w:rPr>
                <w:rFonts w:ascii="Palatino Linotype" w:hAnsi="Palatino Linotype"/>
                <w:color w:val="000000" w:themeColor="text1"/>
              </w:rPr>
              <w:t>10,165,573</w:t>
            </w:r>
          </w:p>
        </w:tc>
        <w:tc>
          <w:tcPr>
            <w:tcW w:w="1530" w:type="dxa"/>
            <w:tcBorders>
              <w:bottom w:val="single" w:sz="4" w:space="0" w:color="000000"/>
            </w:tcBorders>
          </w:tcPr>
          <w:p w:rsidR="007B5682" w:rsidRPr="00980153" w:rsidRDefault="007B5682" w:rsidP="001027B2">
            <w:pPr>
              <w:pStyle w:val="ListParagraph"/>
              <w:spacing w:after="0" w:line="240" w:lineRule="auto"/>
              <w:ind w:left="0"/>
              <w:jc w:val="right"/>
              <w:rPr>
                <w:rFonts w:ascii="Palatino Linotype" w:hAnsi="Palatino Linotype"/>
                <w:color w:val="000000" w:themeColor="text1"/>
              </w:rPr>
            </w:pPr>
            <w:r w:rsidRPr="00980153">
              <w:rPr>
                <w:rFonts w:ascii="Palatino Linotype" w:hAnsi="Palatino Linotype"/>
                <w:color w:val="000000" w:themeColor="text1"/>
              </w:rPr>
              <w:t>521,964</w:t>
            </w:r>
          </w:p>
        </w:tc>
        <w:tc>
          <w:tcPr>
            <w:tcW w:w="1530" w:type="dxa"/>
            <w:tcBorders>
              <w:bottom w:val="single" w:sz="4" w:space="0" w:color="000000"/>
            </w:tcBorders>
          </w:tcPr>
          <w:p w:rsidR="007B5682" w:rsidRPr="00980153" w:rsidRDefault="007B5682" w:rsidP="001027B2">
            <w:pPr>
              <w:pStyle w:val="ListParagraph"/>
              <w:spacing w:after="0" w:line="240" w:lineRule="auto"/>
              <w:ind w:left="0"/>
              <w:jc w:val="right"/>
              <w:rPr>
                <w:rFonts w:ascii="Palatino Linotype" w:hAnsi="Palatino Linotype"/>
                <w:color w:val="000000" w:themeColor="text1"/>
              </w:rPr>
            </w:pPr>
            <w:r w:rsidRPr="00980153">
              <w:rPr>
                <w:rFonts w:ascii="Palatino Linotype" w:hAnsi="Palatino Linotype"/>
                <w:color w:val="000000" w:themeColor="text1"/>
              </w:rPr>
              <w:t>5.4%</w:t>
            </w:r>
          </w:p>
        </w:tc>
      </w:tr>
      <w:tr w:rsidR="001944E0" w:rsidRPr="001944E0" w:rsidTr="001027B2">
        <w:tc>
          <w:tcPr>
            <w:tcW w:w="2790" w:type="dxa"/>
            <w:tcBorders>
              <w:top w:val="double" w:sz="4" w:space="0" w:color="auto"/>
            </w:tcBorders>
          </w:tcPr>
          <w:p w:rsidR="007B5682" w:rsidRPr="00FB37A4" w:rsidRDefault="007B5682" w:rsidP="00B71B31">
            <w:pPr>
              <w:pStyle w:val="ListParagraph"/>
              <w:spacing w:after="0" w:line="240" w:lineRule="auto"/>
              <w:ind w:left="0"/>
              <w:rPr>
                <w:rFonts w:ascii="Palatino Linotype" w:hAnsi="Palatino Linotype"/>
              </w:rPr>
            </w:pPr>
            <w:r w:rsidRPr="00FB37A4">
              <w:rPr>
                <w:rFonts w:ascii="Palatino Linotype" w:hAnsi="Palatino Linotype"/>
              </w:rPr>
              <w:t xml:space="preserve">Total Non-dept. Revenue </w:t>
            </w:r>
          </w:p>
        </w:tc>
        <w:tc>
          <w:tcPr>
            <w:tcW w:w="1800" w:type="dxa"/>
            <w:tcBorders>
              <w:top w:val="double" w:sz="4" w:space="0" w:color="auto"/>
            </w:tcBorders>
          </w:tcPr>
          <w:p w:rsidR="007B5682" w:rsidRPr="00BA1D10" w:rsidRDefault="007B5682" w:rsidP="001027B2">
            <w:pPr>
              <w:pStyle w:val="ListParagraph"/>
              <w:spacing w:after="0" w:line="240" w:lineRule="auto"/>
              <w:ind w:left="0"/>
              <w:jc w:val="right"/>
              <w:rPr>
                <w:rFonts w:ascii="Palatino Linotype" w:hAnsi="Palatino Linotype"/>
                <w:highlight w:val="yellow"/>
              </w:rPr>
            </w:pPr>
            <w:r w:rsidRPr="00BA1D10">
              <w:rPr>
                <w:rFonts w:ascii="Palatino Linotype" w:hAnsi="Palatino Linotype"/>
              </w:rPr>
              <w:t>111,768,227</w:t>
            </w:r>
          </w:p>
        </w:tc>
        <w:tc>
          <w:tcPr>
            <w:tcW w:w="1710" w:type="dxa"/>
            <w:tcBorders>
              <w:top w:val="double" w:sz="4" w:space="0" w:color="auto"/>
            </w:tcBorders>
          </w:tcPr>
          <w:p w:rsidR="007B5682" w:rsidRPr="0050775B" w:rsidRDefault="007B5682" w:rsidP="00761B3B">
            <w:pPr>
              <w:pStyle w:val="ListParagraph"/>
              <w:spacing w:after="0" w:line="240" w:lineRule="auto"/>
              <w:ind w:left="0"/>
              <w:jc w:val="right"/>
              <w:rPr>
                <w:rFonts w:ascii="Palatino Linotype" w:hAnsi="Palatino Linotype"/>
              </w:rPr>
            </w:pPr>
            <w:r w:rsidRPr="0050775B">
              <w:rPr>
                <w:rFonts w:ascii="Palatino Linotype" w:hAnsi="Palatino Linotype"/>
              </w:rPr>
              <w:t>115,</w:t>
            </w:r>
            <w:r w:rsidR="000E4F9B" w:rsidRPr="0050775B">
              <w:rPr>
                <w:rFonts w:ascii="Palatino Linotype" w:hAnsi="Palatino Linotype"/>
              </w:rPr>
              <w:t>838</w:t>
            </w:r>
            <w:r w:rsidR="00980153" w:rsidRPr="0050775B">
              <w:rPr>
                <w:rFonts w:ascii="Palatino Linotype" w:hAnsi="Palatino Linotype"/>
              </w:rPr>
              <w:t>,40</w:t>
            </w:r>
            <w:r w:rsidR="00761B3B">
              <w:rPr>
                <w:rFonts w:ascii="Palatino Linotype" w:hAnsi="Palatino Linotype"/>
              </w:rPr>
              <w:t>8</w:t>
            </w:r>
          </w:p>
        </w:tc>
        <w:tc>
          <w:tcPr>
            <w:tcW w:w="1530" w:type="dxa"/>
            <w:tcBorders>
              <w:top w:val="double" w:sz="4" w:space="0" w:color="auto"/>
            </w:tcBorders>
          </w:tcPr>
          <w:p w:rsidR="007B5682" w:rsidRPr="0050775B" w:rsidRDefault="00E913D7" w:rsidP="00761B3B">
            <w:pPr>
              <w:pStyle w:val="ListParagraph"/>
              <w:spacing w:after="0" w:line="240" w:lineRule="auto"/>
              <w:ind w:left="0"/>
              <w:jc w:val="right"/>
              <w:rPr>
                <w:rFonts w:ascii="Palatino Linotype" w:hAnsi="Palatino Linotype"/>
              </w:rPr>
            </w:pPr>
            <w:r w:rsidRPr="0050775B">
              <w:rPr>
                <w:rFonts w:ascii="Palatino Linotype" w:hAnsi="Palatino Linotype"/>
              </w:rPr>
              <w:t>4,070,18</w:t>
            </w:r>
            <w:r w:rsidR="00761B3B">
              <w:rPr>
                <w:rFonts w:ascii="Palatino Linotype" w:hAnsi="Palatino Linotype"/>
              </w:rPr>
              <w:t>1</w:t>
            </w:r>
          </w:p>
        </w:tc>
        <w:tc>
          <w:tcPr>
            <w:tcW w:w="1530" w:type="dxa"/>
            <w:tcBorders>
              <w:top w:val="double" w:sz="4" w:space="0" w:color="auto"/>
            </w:tcBorders>
          </w:tcPr>
          <w:p w:rsidR="007B5682" w:rsidRPr="0050775B" w:rsidRDefault="007B5682" w:rsidP="00E913D7">
            <w:pPr>
              <w:pStyle w:val="ListParagraph"/>
              <w:spacing w:after="0" w:line="240" w:lineRule="auto"/>
              <w:ind w:left="0"/>
              <w:jc w:val="right"/>
              <w:rPr>
                <w:rFonts w:ascii="Palatino Linotype" w:hAnsi="Palatino Linotype"/>
              </w:rPr>
            </w:pPr>
            <w:r w:rsidRPr="0050775B">
              <w:rPr>
                <w:rFonts w:ascii="Palatino Linotype" w:hAnsi="Palatino Linotype"/>
              </w:rPr>
              <w:t>3.</w:t>
            </w:r>
            <w:r w:rsidR="00E913D7" w:rsidRPr="0050775B">
              <w:rPr>
                <w:rFonts w:ascii="Palatino Linotype" w:hAnsi="Palatino Linotype"/>
              </w:rPr>
              <w:t>6</w:t>
            </w:r>
            <w:r w:rsidRPr="0050775B">
              <w:rPr>
                <w:rFonts w:ascii="Palatino Linotype" w:hAnsi="Palatino Linotype"/>
              </w:rPr>
              <w:t>%</w:t>
            </w:r>
          </w:p>
        </w:tc>
      </w:tr>
    </w:tbl>
    <w:p w:rsidR="007B5682" w:rsidRDefault="007B5682" w:rsidP="007B5682">
      <w:pPr>
        <w:pStyle w:val="ListParagraph"/>
        <w:spacing w:after="0" w:line="240" w:lineRule="auto"/>
        <w:ind w:left="0"/>
        <w:rPr>
          <w:rFonts w:ascii="Palatino Linotype" w:hAnsi="Palatino Linotype"/>
          <w:highlight w:val="yellow"/>
        </w:rPr>
      </w:pPr>
    </w:p>
    <w:p w:rsidR="008275B1" w:rsidRDefault="00A61FD8" w:rsidP="0024511D">
      <w:pPr>
        <w:pStyle w:val="ListParagraph"/>
        <w:spacing w:after="0" w:line="240" w:lineRule="auto"/>
        <w:ind w:left="0"/>
        <w:rPr>
          <w:rFonts w:ascii="Palatino Linotype" w:hAnsi="Palatino Linotype"/>
        </w:rPr>
      </w:pPr>
      <w:r w:rsidRPr="0024511D">
        <w:rPr>
          <w:rFonts w:ascii="Palatino Linotype" w:hAnsi="Palatino Linotype"/>
          <w:b/>
        </w:rPr>
        <w:t>D</w:t>
      </w:r>
      <w:r w:rsidRPr="00AE5E01">
        <w:rPr>
          <w:rFonts w:ascii="Palatino Linotype" w:hAnsi="Palatino Linotype"/>
          <w:b/>
        </w:rPr>
        <w:t>epartmental Revenue</w:t>
      </w:r>
      <w:r w:rsidR="00AE5E01" w:rsidRPr="00AE5E01">
        <w:rPr>
          <w:rFonts w:ascii="Palatino Linotype" w:hAnsi="Palatino Linotype"/>
          <w:b/>
        </w:rPr>
        <w:t>s</w:t>
      </w:r>
      <w:r w:rsidRPr="00AE5E01">
        <w:rPr>
          <w:rFonts w:ascii="Palatino Linotype" w:hAnsi="Palatino Linotype"/>
          <w:b/>
        </w:rPr>
        <w:t>:</w:t>
      </w:r>
      <w:r w:rsidRPr="00036203">
        <w:rPr>
          <w:rFonts w:ascii="Palatino Linotype" w:hAnsi="Palatino Linotype"/>
        </w:rPr>
        <w:t xml:space="preserve">  </w:t>
      </w:r>
    </w:p>
    <w:p w:rsidR="008275B1" w:rsidRDefault="008275B1" w:rsidP="0024511D">
      <w:pPr>
        <w:pStyle w:val="ListParagraph"/>
        <w:spacing w:after="0" w:line="240" w:lineRule="auto"/>
        <w:ind w:left="0"/>
        <w:rPr>
          <w:rFonts w:ascii="Palatino Linotype" w:hAnsi="Palatino Linotype"/>
        </w:rPr>
      </w:pPr>
    </w:p>
    <w:p w:rsidR="00A61FD8" w:rsidRDefault="00A61FD8" w:rsidP="0024511D">
      <w:pPr>
        <w:pStyle w:val="ListParagraph"/>
        <w:spacing w:after="0" w:line="240" w:lineRule="auto"/>
        <w:ind w:left="0"/>
        <w:rPr>
          <w:rFonts w:ascii="Palatino Linotype" w:hAnsi="Palatino Linotype"/>
        </w:rPr>
      </w:pPr>
      <w:r w:rsidRPr="00036203">
        <w:rPr>
          <w:rFonts w:ascii="Palatino Linotype" w:hAnsi="Palatino Linotype"/>
        </w:rPr>
        <w:t xml:space="preserve">Departmental </w:t>
      </w:r>
      <w:r w:rsidRPr="00F83B1E">
        <w:rPr>
          <w:rFonts w:ascii="Palatino Linotype" w:hAnsi="Palatino Linotype"/>
        </w:rPr>
        <w:t xml:space="preserve">revenues are projected to be approximately </w:t>
      </w:r>
      <w:r w:rsidR="0031096F" w:rsidRPr="00F83B1E">
        <w:rPr>
          <w:rFonts w:ascii="Palatino Linotype" w:hAnsi="Palatino Linotype"/>
        </w:rPr>
        <w:t>$</w:t>
      </w:r>
      <w:r w:rsidR="00F83B1E" w:rsidRPr="00F83B1E">
        <w:rPr>
          <w:rFonts w:ascii="Palatino Linotype" w:hAnsi="Palatino Linotype"/>
        </w:rPr>
        <w:t>8.9</w:t>
      </w:r>
      <w:r w:rsidR="0031096F" w:rsidRPr="00F83B1E">
        <w:rPr>
          <w:rFonts w:ascii="Palatino Linotype" w:hAnsi="Palatino Linotype"/>
        </w:rPr>
        <w:t xml:space="preserve"> million (</w:t>
      </w:r>
      <w:r w:rsidR="00F83B1E" w:rsidRPr="00F83B1E">
        <w:rPr>
          <w:rFonts w:ascii="Palatino Linotype" w:hAnsi="Palatino Linotype"/>
        </w:rPr>
        <w:t>1</w:t>
      </w:r>
      <w:r w:rsidR="00D15CBE">
        <w:rPr>
          <w:rFonts w:ascii="Palatino Linotype" w:hAnsi="Palatino Linotype"/>
        </w:rPr>
        <w:t>3.9</w:t>
      </w:r>
      <w:r w:rsidR="0031096F" w:rsidRPr="00F83B1E">
        <w:rPr>
          <w:rFonts w:ascii="Palatino Linotype" w:hAnsi="Palatino Linotype"/>
        </w:rPr>
        <w:t>%) higher</w:t>
      </w:r>
      <w:r w:rsidR="004F36AA" w:rsidRPr="00F83B1E">
        <w:rPr>
          <w:rFonts w:ascii="Palatino Linotype" w:hAnsi="Palatino Linotype"/>
        </w:rPr>
        <w:t xml:space="preserve"> than </w:t>
      </w:r>
      <w:r w:rsidR="004F36AA">
        <w:rPr>
          <w:rFonts w:ascii="Palatino Linotype" w:hAnsi="Palatino Linotype"/>
        </w:rPr>
        <w:t>the budgeted level.</w:t>
      </w:r>
      <w:r w:rsidR="000E4F9B">
        <w:rPr>
          <w:rFonts w:ascii="Palatino Linotype" w:hAnsi="Palatino Linotype"/>
        </w:rPr>
        <w:t xml:space="preserve">  This is primarily </w:t>
      </w:r>
      <w:r w:rsidR="00B46DF1">
        <w:rPr>
          <w:rFonts w:ascii="Palatino Linotype" w:hAnsi="Palatino Linotype"/>
        </w:rPr>
        <w:t xml:space="preserve">due </w:t>
      </w:r>
      <w:r w:rsidR="000E4F9B">
        <w:rPr>
          <w:rFonts w:ascii="Palatino Linotype" w:hAnsi="Palatino Linotype"/>
        </w:rPr>
        <w:t>to:</w:t>
      </w:r>
    </w:p>
    <w:p w:rsidR="00B83695" w:rsidRDefault="00B83695" w:rsidP="0024511D">
      <w:pPr>
        <w:pStyle w:val="ListParagraph"/>
        <w:spacing w:after="0" w:line="240" w:lineRule="auto"/>
        <w:ind w:left="0"/>
        <w:rPr>
          <w:rFonts w:ascii="Palatino Linotype" w:hAnsi="Palatino Linotype"/>
        </w:rPr>
      </w:pPr>
    </w:p>
    <w:p w:rsidR="00DB1135" w:rsidRDefault="00DB1135" w:rsidP="00DB1135">
      <w:pPr>
        <w:pStyle w:val="ListParagraph"/>
        <w:numPr>
          <w:ilvl w:val="0"/>
          <w:numId w:val="36"/>
        </w:numPr>
        <w:spacing w:after="0" w:line="240" w:lineRule="auto"/>
        <w:rPr>
          <w:rFonts w:ascii="Palatino Linotype" w:hAnsi="Palatino Linotype"/>
        </w:rPr>
      </w:pPr>
      <w:r>
        <w:rPr>
          <w:rFonts w:ascii="Palatino Linotype" w:hAnsi="Palatino Linotype"/>
        </w:rPr>
        <w:lastRenderedPageBreak/>
        <w:t>$4.1 million in additional non-departmental revenues consisting of tax</w:t>
      </w:r>
      <w:r w:rsidR="00966319">
        <w:rPr>
          <w:rFonts w:ascii="Palatino Linotype" w:hAnsi="Palatino Linotype"/>
        </w:rPr>
        <w:t xml:space="preserve"> revenue</w:t>
      </w:r>
      <w:r>
        <w:rPr>
          <w:rFonts w:ascii="Palatino Linotype" w:hAnsi="Palatino Linotype"/>
        </w:rPr>
        <w:t xml:space="preserve"> and other revenue increases noted in the chart above.</w:t>
      </w:r>
    </w:p>
    <w:p w:rsidR="00B83695" w:rsidRPr="005514D0" w:rsidRDefault="005514D0" w:rsidP="00B83695">
      <w:pPr>
        <w:pStyle w:val="ListParagraph"/>
        <w:numPr>
          <w:ilvl w:val="0"/>
          <w:numId w:val="36"/>
        </w:numPr>
        <w:spacing w:after="0" w:line="240" w:lineRule="auto"/>
        <w:rPr>
          <w:rFonts w:ascii="Palatino Linotype" w:hAnsi="Palatino Linotype"/>
        </w:rPr>
      </w:pPr>
      <w:r>
        <w:rPr>
          <w:rFonts w:ascii="Palatino Linotype" w:hAnsi="Palatino Linotype"/>
        </w:rPr>
        <w:t>$8.8 million in additional revenues for Public Works projects, consisting of Measure A flood control revenues for a variety of projects and State Revolving Fund loan proceeds for the MST recycled water project.</w:t>
      </w:r>
      <w:r w:rsidR="008C7A21">
        <w:rPr>
          <w:rFonts w:ascii="Palatino Linotype" w:hAnsi="Palatino Linotype"/>
        </w:rPr>
        <w:t xml:space="preserve"> These revenues are offset by an additional $6.9 million in expenditures for these projects. The revenue increase exceeds the expenditure increase because the MST project expenditures occurred </w:t>
      </w:r>
      <w:r w:rsidR="00966319">
        <w:rPr>
          <w:rFonts w:ascii="Palatino Linotype" w:hAnsi="Palatino Linotype"/>
        </w:rPr>
        <w:t>earlier (</w:t>
      </w:r>
      <w:r w:rsidR="008C7A21">
        <w:rPr>
          <w:rFonts w:ascii="Palatino Linotype" w:hAnsi="Palatino Linotype"/>
        </w:rPr>
        <w:t>before the loan revenue</w:t>
      </w:r>
      <w:r w:rsidR="00966319">
        <w:rPr>
          <w:rFonts w:ascii="Palatino Linotype" w:hAnsi="Palatino Linotype"/>
        </w:rPr>
        <w:t xml:space="preserve"> was received)</w:t>
      </w:r>
      <w:r w:rsidR="008C7A21">
        <w:rPr>
          <w:rFonts w:ascii="Palatino Linotype" w:hAnsi="Palatino Linotype"/>
        </w:rPr>
        <w:t>.</w:t>
      </w:r>
    </w:p>
    <w:p w:rsidR="00D00B51" w:rsidRPr="00D00B51" w:rsidRDefault="00D00B51" w:rsidP="00D00B51">
      <w:pPr>
        <w:pStyle w:val="ListParagraph"/>
        <w:numPr>
          <w:ilvl w:val="0"/>
          <w:numId w:val="36"/>
        </w:numPr>
        <w:spacing w:after="0" w:line="240" w:lineRule="auto"/>
        <w:rPr>
          <w:rFonts w:ascii="Palatino Linotype" w:hAnsi="Palatino Linotype"/>
        </w:rPr>
      </w:pPr>
      <w:r w:rsidRPr="00D00B51">
        <w:rPr>
          <w:rFonts w:ascii="Palatino Linotype" w:hAnsi="Palatino Linotype"/>
        </w:rPr>
        <w:t>$2</w:t>
      </w:r>
      <w:r w:rsidR="00136C72">
        <w:rPr>
          <w:rFonts w:ascii="Palatino Linotype" w:hAnsi="Palatino Linotype"/>
        </w:rPr>
        <w:t>18,390</w:t>
      </w:r>
      <w:r>
        <w:rPr>
          <w:rFonts w:ascii="Palatino Linotype" w:hAnsi="Palatino Linotype"/>
        </w:rPr>
        <w:t xml:space="preserve"> in additional </w:t>
      </w:r>
      <w:r w:rsidR="00136C72">
        <w:rPr>
          <w:rFonts w:ascii="Palatino Linotype" w:hAnsi="Palatino Linotype"/>
        </w:rPr>
        <w:t xml:space="preserve">revenue in </w:t>
      </w:r>
      <w:r>
        <w:rPr>
          <w:rFonts w:ascii="Palatino Linotype" w:hAnsi="Palatino Linotype"/>
        </w:rPr>
        <w:t xml:space="preserve">the Elections </w:t>
      </w:r>
      <w:r w:rsidR="001F1699">
        <w:rPr>
          <w:rFonts w:ascii="Palatino Linotype" w:hAnsi="Palatino Linotype"/>
        </w:rPr>
        <w:t>D</w:t>
      </w:r>
      <w:r>
        <w:rPr>
          <w:rFonts w:ascii="Palatino Linotype" w:hAnsi="Palatino Linotype"/>
        </w:rPr>
        <w:t xml:space="preserve">epartment, </w:t>
      </w:r>
      <w:r w:rsidR="00136C72">
        <w:rPr>
          <w:rFonts w:ascii="Palatino Linotype" w:hAnsi="Palatino Linotype"/>
        </w:rPr>
        <w:t xml:space="preserve">most of which is </w:t>
      </w:r>
      <w:r w:rsidR="00136C72" w:rsidRPr="00D00B51">
        <w:rPr>
          <w:rFonts w:ascii="Palatino Linotype" w:hAnsi="Palatino Linotype"/>
        </w:rPr>
        <w:t>State and Election Services revenue</w:t>
      </w:r>
      <w:r w:rsidR="003B5DAE">
        <w:rPr>
          <w:rFonts w:ascii="Palatino Linotype" w:hAnsi="Palatino Linotype"/>
        </w:rPr>
        <w:t>,</w:t>
      </w:r>
      <w:r w:rsidR="00136C72">
        <w:rPr>
          <w:rFonts w:ascii="Palatino Linotype" w:hAnsi="Palatino Linotype"/>
        </w:rPr>
        <w:t xml:space="preserve"> </w:t>
      </w:r>
      <w:r>
        <w:rPr>
          <w:rFonts w:ascii="Palatino Linotype" w:hAnsi="Palatino Linotype"/>
        </w:rPr>
        <w:t xml:space="preserve">some of which </w:t>
      </w:r>
      <w:r w:rsidR="003B5DAE">
        <w:rPr>
          <w:rFonts w:ascii="Palatino Linotype" w:hAnsi="Palatino Linotype"/>
        </w:rPr>
        <w:t xml:space="preserve">will pay for </w:t>
      </w:r>
      <w:r w:rsidR="004B6FA4">
        <w:rPr>
          <w:rFonts w:ascii="Palatino Linotype" w:hAnsi="Palatino Linotype"/>
        </w:rPr>
        <w:t xml:space="preserve">additional </w:t>
      </w:r>
      <w:r w:rsidR="003B5DAE">
        <w:rPr>
          <w:rFonts w:ascii="Palatino Linotype" w:hAnsi="Palatino Linotype"/>
        </w:rPr>
        <w:t>p</w:t>
      </w:r>
      <w:r w:rsidRPr="00D00B51">
        <w:rPr>
          <w:rFonts w:ascii="Palatino Linotype" w:hAnsi="Palatino Linotype"/>
        </w:rPr>
        <w:t>rinting costs and Public Works charges.</w:t>
      </w:r>
    </w:p>
    <w:p w:rsidR="001F1699" w:rsidRPr="00DB0B08" w:rsidRDefault="001F1699" w:rsidP="001F1699">
      <w:pPr>
        <w:pStyle w:val="ListParagraph"/>
        <w:numPr>
          <w:ilvl w:val="0"/>
          <w:numId w:val="36"/>
        </w:numPr>
        <w:spacing w:after="0" w:line="240" w:lineRule="auto"/>
        <w:rPr>
          <w:rFonts w:ascii="Palatino Linotype" w:hAnsi="Palatino Linotype"/>
        </w:rPr>
      </w:pPr>
      <w:r w:rsidRPr="00DB0B08">
        <w:rPr>
          <w:rFonts w:ascii="Palatino Linotype" w:hAnsi="Palatino Linotype"/>
        </w:rPr>
        <w:t>$</w:t>
      </w:r>
      <w:r w:rsidR="00B36F49">
        <w:rPr>
          <w:rFonts w:ascii="Palatino Linotype" w:hAnsi="Palatino Linotype"/>
        </w:rPr>
        <w:t xml:space="preserve">1.7 million in </w:t>
      </w:r>
      <w:r w:rsidRPr="00DB0B08">
        <w:rPr>
          <w:rFonts w:ascii="Palatino Linotype" w:hAnsi="Palatino Linotype"/>
        </w:rPr>
        <w:t>additional Prop</w:t>
      </w:r>
      <w:r w:rsidR="00D81359" w:rsidRPr="00DB0B08">
        <w:rPr>
          <w:rFonts w:ascii="Palatino Linotype" w:hAnsi="Palatino Linotype"/>
        </w:rPr>
        <w:t>osition</w:t>
      </w:r>
      <w:r w:rsidRPr="00DB0B08">
        <w:rPr>
          <w:rFonts w:ascii="Palatino Linotype" w:hAnsi="Palatino Linotype"/>
        </w:rPr>
        <w:t xml:space="preserve"> 172 </w:t>
      </w:r>
      <w:r w:rsidR="004B6FA4" w:rsidRPr="00DB0B08">
        <w:rPr>
          <w:rFonts w:ascii="Palatino Linotype" w:hAnsi="Palatino Linotype"/>
        </w:rPr>
        <w:t xml:space="preserve">local public safety </w:t>
      </w:r>
      <w:r w:rsidRPr="00DB0B08">
        <w:rPr>
          <w:rFonts w:ascii="Palatino Linotype" w:hAnsi="Palatino Linotype"/>
        </w:rPr>
        <w:t xml:space="preserve">revenue in the </w:t>
      </w:r>
      <w:r w:rsidR="00DB0B08" w:rsidRPr="00DB0B08">
        <w:rPr>
          <w:rFonts w:ascii="Palatino Linotype" w:hAnsi="Palatino Linotype"/>
        </w:rPr>
        <w:t xml:space="preserve">criminal justice departments, reflecting </w:t>
      </w:r>
      <w:r w:rsidRPr="00DB0B08">
        <w:rPr>
          <w:rFonts w:ascii="Palatino Linotype" w:hAnsi="Palatino Linotype"/>
        </w:rPr>
        <w:t>FY 201</w:t>
      </w:r>
      <w:r w:rsidR="00B36F49">
        <w:rPr>
          <w:rFonts w:ascii="Palatino Linotype" w:hAnsi="Palatino Linotype"/>
        </w:rPr>
        <w:t>6</w:t>
      </w:r>
      <w:r w:rsidRPr="00DB0B08">
        <w:rPr>
          <w:rFonts w:ascii="Palatino Linotype" w:hAnsi="Palatino Linotype"/>
        </w:rPr>
        <w:t>-1</w:t>
      </w:r>
      <w:r w:rsidR="00B36F49">
        <w:rPr>
          <w:rFonts w:ascii="Palatino Linotype" w:hAnsi="Palatino Linotype"/>
        </w:rPr>
        <w:t xml:space="preserve">7 </w:t>
      </w:r>
      <w:r w:rsidRPr="00DB0B08">
        <w:rPr>
          <w:rFonts w:ascii="Palatino Linotype" w:hAnsi="Palatino Linotype"/>
        </w:rPr>
        <w:t xml:space="preserve">revenue </w:t>
      </w:r>
      <w:r w:rsidR="00B36F49">
        <w:rPr>
          <w:rFonts w:ascii="Palatino Linotype" w:hAnsi="Palatino Linotype"/>
        </w:rPr>
        <w:t xml:space="preserve">previously credited to </w:t>
      </w:r>
      <w:r w:rsidRPr="00DB0B08">
        <w:rPr>
          <w:rFonts w:ascii="Palatino Linotype" w:hAnsi="Palatino Linotype"/>
        </w:rPr>
        <w:t>FY 201</w:t>
      </w:r>
      <w:r w:rsidR="00B36F49">
        <w:rPr>
          <w:rFonts w:ascii="Palatino Linotype" w:hAnsi="Palatino Linotype"/>
        </w:rPr>
        <w:t>5</w:t>
      </w:r>
      <w:r w:rsidRPr="00DB0B08">
        <w:rPr>
          <w:rFonts w:ascii="Palatino Linotype" w:hAnsi="Palatino Linotype"/>
        </w:rPr>
        <w:t>-1</w:t>
      </w:r>
      <w:r w:rsidR="00B36F49">
        <w:rPr>
          <w:rFonts w:ascii="Palatino Linotype" w:hAnsi="Palatino Linotype"/>
        </w:rPr>
        <w:t>6</w:t>
      </w:r>
      <w:r w:rsidRPr="00DB0B08">
        <w:rPr>
          <w:rFonts w:ascii="Palatino Linotype" w:hAnsi="Palatino Linotype"/>
        </w:rPr>
        <w:t xml:space="preserve">. </w:t>
      </w:r>
    </w:p>
    <w:p w:rsidR="00410E4F" w:rsidRDefault="00410E4F">
      <w:pPr>
        <w:rPr>
          <w:rFonts w:ascii="Palatino Linotype" w:hAnsi="Palatino Linotype"/>
          <w:b/>
        </w:rPr>
      </w:pPr>
    </w:p>
    <w:p w:rsidR="00FB0698" w:rsidRPr="007D0462" w:rsidRDefault="00FB0698" w:rsidP="007D0462">
      <w:pPr>
        <w:rPr>
          <w:rFonts w:ascii="Palatino Linotype" w:hAnsi="Palatino Linotype"/>
          <w:b/>
          <w:sz w:val="22"/>
          <w:szCs w:val="22"/>
        </w:rPr>
      </w:pPr>
      <w:r w:rsidRPr="007D0462">
        <w:rPr>
          <w:rFonts w:ascii="Palatino Linotype" w:hAnsi="Palatino Linotype"/>
          <w:b/>
          <w:sz w:val="22"/>
          <w:szCs w:val="22"/>
        </w:rPr>
        <w:t>2014 Earthquake</w:t>
      </w:r>
      <w:r w:rsidR="00CD5040">
        <w:rPr>
          <w:rFonts w:ascii="Palatino Linotype" w:hAnsi="Palatino Linotype"/>
          <w:b/>
          <w:sz w:val="22"/>
          <w:szCs w:val="22"/>
        </w:rPr>
        <w:t>:</w:t>
      </w:r>
    </w:p>
    <w:p w:rsidR="00FB0698" w:rsidRPr="007D0462" w:rsidRDefault="00FB0698" w:rsidP="00FB0698">
      <w:pPr>
        <w:pStyle w:val="ListParagraph"/>
        <w:spacing w:after="0" w:line="240" w:lineRule="auto"/>
        <w:rPr>
          <w:rFonts w:ascii="Palatino Linotype" w:hAnsi="Palatino Linotype"/>
          <w:b/>
        </w:rPr>
      </w:pPr>
    </w:p>
    <w:p w:rsidR="00FB0698" w:rsidRPr="007D0462" w:rsidRDefault="00FB0698" w:rsidP="007D0462">
      <w:pPr>
        <w:rPr>
          <w:rFonts w:ascii="Palatino Linotype" w:hAnsi="Palatino Linotype"/>
          <w:sz w:val="22"/>
          <w:szCs w:val="22"/>
        </w:rPr>
      </w:pPr>
      <w:r w:rsidRPr="00442097">
        <w:rPr>
          <w:rFonts w:ascii="Palatino Linotype" w:hAnsi="Palatino Linotype"/>
          <w:sz w:val="22"/>
          <w:szCs w:val="22"/>
        </w:rPr>
        <w:t>The County continues recovery activities, mainly in the form of capital projects.  A portion of the Napa County Jail/Hall of Justice repairs is expected to be completed this summer.  Once repairs are completed, the Probation Department will once again be housed in the Hall of Justice and will be joined by County Fire and the Parks and Open Space District.  The Historic Courthouse is still in the planning process</w:t>
      </w:r>
      <w:r>
        <w:rPr>
          <w:rFonts w:ascii="Palatino Linotype" w:hAnsi="Palatino Linotype"/>
          <w:sz w:val="22"/>
          <w:szCs w:val="22"/>
        </w:rPr>
        <w:t>. R</w:t>
      </w:r>
      <w:r w:rsidRPr="00442097">
        <w:rPr>
          <w:rFonts w:ascii="Palatino Linotype" w:hAnsi="Palatino Linotype"/>
          <w:sz w:val="22"/>
          <w:szCs w:val="22"/>
        </w:rPr>
        <w:t>epairs are expected to begin this summer and will take approximately 18 months.  Much of the recovery cost is borne by insurance, and advance payments have been received</w:t>
      </w:r>
      <w:r w:rsidRPr="007D0462">
        <w:rPr>
          <w:rFonts w:ascii="Palatino Linotype" w:hAnsi="Palatino Linotype"/>
          <w:sz w:val="22"/>
          <w:szCs w:val="22"/>
        </w:rPr>
        <w:t xml:space="preserve">.  However, until the work is completed, we cannot recognize the insurance payments as revenue.  </w:t>
      </w:r>
    </w:p>
    <w:p w:rsidR="00FB0698" w:rsidRPr="007D0462" w:rsidRDefault="00FB0698" w:rsidP="007D0462">
      <w:pPr>
        <w:rPr>
          <w:rFonts w:ascii="Palatino Linotype" w:hAnsi="Palatino Linotype"/>
          <w:sz w:val="22"/>
          <w:szCs w:val="22"/>
        </w:rPr>
      </w:pPr>
    </w:p>
    <w:p w:rsidR="00FB0698" w:rsidRPr="007D0462" w:rsidRDefault="00FB0698" w:rsidP="007D0462">
      <w:pPr>
        <w:rPr>
          <w:rFonts w:ascii="Palatino Linotype" w:hAnsi="Palatino Linotype"/>
          <w:sz w:val="22"/>
          <w:szCs w:val="22"/>
        </w:rPr>
      </w:pPr>
      <w:r w:rsidRPr="007D0462">
        <w:rPr>
          <w:rFonts w:ascii="Palatino Linotype" w:hAnsi="Palatino Linotype"/>
          <w:sz w:val="22"/>
          <w:szCs w:val="22"/>
        </w:rPr>
        <w:t xml:space="preserve">In FY 2014-15, the Board of Supervisors approved the use of up to $13.9 million from the General Reserve for earthquake response and recovery activities.  For this review, we have assumed $19,000,000 in estimated revenue and </w:t>
      </w:r>
      <w:r w:rsidR="00B83695">
        <w:rPr>
          <w:rFonts w:ascii="Palatino Linotype" w:hAnsi="Palatino Linotype"/>
          <w:sz w:val="22"/>
          <w:szCs w:val="22"/>
        </w:rPr>
        <w:t xml:space="preserve">approximately </w:t>
      </w:r>
      <w:r w:rsidRPr="007D0462">
        <w:rPr>
          <w:rFonts w:ascii="Palatino Linotype" w:hAnsi="Palatino Linotype"/>
          <w:sz w:val="22"/>
          <w:szCs w:val="22"/>
        </w:rPr>
        <w:t xml:space="preserve">$21,000,000 in estimated expenditures </w:t>
      </w:r>
      <w:r w:rsidR="009B5538">
        <w:rPr>
          <w:rFonts w:ascii="Palatino Linotype" w:hAnsi="Palatino Linotype"/>
          <w:sz w:val="22"/>
          <w:szCs w:val="22"/>
        </w:rPr>
        <w:t xml:space="preserve">this year </w:t>
      </w:r>
      <w:r w:rsidRPr="007D0462">
        <w:rPr>
          <w:rFonts w:ascii="Palatino Linotype" w:hAnsi="Palatino Linotype"/>
          <w:sz w:val="22"/>
          <w:szCs w:val="22"/>
        </w:rPr>
        <w:t xml:space="preserve">associated with the 2014 earthquake.  The Auditor-Controller will present to the Board a complete accounting of </w:t>
      </w:r>
      <w:r w:rsidR="000A4096">
        <w:rPr>
          <w:rFonts w:ascii="Palatino Linotype" w:hAnsi="Palatino Linotype"/>
          <w:sz w:val="22"/>
          <w:szCs w:val="22"/>
        </w:rPr>
        <w:t xml:space="preserve">2014 </w:t>
      </w:r>
      <w:r w:rsidRPr="007D0462">
        <w:rPr>
          <w:rFonts w:ascii="Palatino Linotype" w:hAnsi="Palatino Linotype"/>
          <w:sz w:val="22"/>
          <w:szCs w:val="22"/>
        </w:rPr>
        <w:t xml:space="preserve">Earthquake-related costs and reimbursements to date </w:t>
      </w:r>
      <w:r w:rsidR="00A8751F">
        <w:rPr>
          <w:rFonts w:ascii="Palatino Linotype" w:hAnsi="Palatino Linotype"/>
          <w:sz w:val="22"/>
          <w:szCs w:val="22"/>
        </w:rPr>
        <w:t>by the end of the fiscal year</w:t>
      </w:r>
      <w:r w:rsidRPr="007D0462">
        <w:rPr>
          <w:rFonts w:ascii="Palatino Linotype" w:hAnsi="Palatino Linotype"/>
          <w:sz w:val="22"/>
          <w:szCs w:val="22"/>
        </w:rPr>
        <w:t>.    </w:t>
      </w:r>
    </w:p>
    <w:p w:rsidR="00FB0698" w:rsidRDefault="00FB0698">
      <w:pPr>
        <w:rPr>
          <w:rFonts w:ascii="Palatino Linotype" w:hAnsi="Palatino Linotype"/>
          <w:b/>
          <w:sz w:val="22"/>
          <w:szCs w:val="22"/>
        </w:rPr>
      </w:pPr>
    </w:p>
    <w:p w:rsidR="003F41B8" w:rsidRDefault="003F41B8">
      <w:pPr>
        <w:rPr>
          <w:rFonts w:ascii="Palatino Linotype" w:hAnsi="Palatino Linotype"/>
          <w:b/>
          <w:sz w:val="22"/>
          <w:szCs w:val="22"/>
        </w:rPr>
      </w:pPr>
      <w:r>
        <w:rPr>
          <w:rFonts w:ascii="Palatino Linotype" w:hAnsi="Palatino Linotype"/>
          <w:b/>
          <w:sz w:val="22"/>
          <w:szCs w:val="22"/>
        </w:rPr>
        <w:t>2017 Winter Storms:</w:t>
      </w:r>
    </w:p>
    <w:p w:rsidR="003F41B8" w:rsidRDefault="003F41B8">
      <w:pPr>
        <w:rPr>
          <w:rFonts w:ascii="Palatino Linotype" w:hAnsi="Palatino Linotype"/>
          <w:b/>
          <w:sz w:val="22"/>
          <w:szCs w:val="22"/>
        </w:rPr>
      </w:pPr>
    </w:p>
    <w:p w:rsidR="003F41B8" w:rsidRPr="00F754BE" w:rsidRDefault="006B07DF" w:rsidP="003F41B8">
      <w:pPr>
        <w:pStyle w:val="ListParagraph"/>
        <w:spacing w:after="0" w:line="240" w:lineRule="auto"/>
        <w:ind w:left="0"/>
        <w:rPr>
          <w:rFonts w:ascii="Palatino Linotype" w:hAnsi="Palatino Linotype"/>
          <w:b/>
          <w:highlight w:val="yellow"/>
        </w:rPr>
      </w:pPr>
      <w:r w:rsidRPr="006B07DF">
        <w:rPr>
          <w:rFonts w:ascii="Palatino Linotype" w:hAnsi="Palatino Linotype"/>
        </w:rPr>
        <w:t>On January 31, 2017 t</w:t>
      </w:r>
      <w:r w:rsidR="00F754BE" w:rsidRPr="006B07DF">
        <w:rPr>
          <w:rFonts w:ascii="Palatino Linotype" w:hAnsi="Palatino Linotype"/>
        </w:rPr>
        <w:t xml:space="preserve">he Board </w:t>
      </w:r>
      <w:r>
        <w:rPr>
          <w:rFonts w:ascii="Palatino Linotype" w:hAnsi="Palatino Linotype"/>
        </w:rPr>
        <w:t xml:space="preserve">approved </w:t>
      </w:r>
      <w:r w:rsidR="00F754BE" w:rsidRPr="006B07DF">
        <w:rPr>
          <w:rFonts w:ascii="Palatino Linotype" w:hAnsi="Palatino Linotype"/>
        </w:rPr>
        <w:t xml:space="preserve">an </w:t>
      </w:r>
      <w:r w:rsidR="003F41B8" w:rsidRPr="006B07DF">
        <w:rPr>
          <w:rFonts w:ascii="Palatino Linotype" w:hAnsi="Palatino Linotype"/>
        </w:rPr>
        <w:t xml:space="preserve">additional $1 million </w:t>
      </w:r>
      <w:r>
        <w:rPr>
          <w:rFonts w:ascii="Palatino Linotype" w:hAnsi="Palatino Linotype"/>
        </w:rPr>
        <w:t>General Fund contribution to</w:t>
      </w:r>
      <w:r w:rsidR="00F754BE" w:rsidRPr="006B07DF">
        <w:rPr>
          <w:rFonts w:ascii="Palatino Linotype" w:hAnsi="Palatino Linotype"/>
        </w:rPr>
        <w:t xml:space="preserve"> the</w:t>
      </w:r>
      <w:r w:rsidR="003F41B8" w:rsidRPr="006B07DF">
        <w:rPr>
          <w:rFonts w:ascii="Palatino Linotype" w:hAnsi="Palatino Linotype"/>
        </w:rPr>
        <w:t xml:space="preserve"> Roads </w:t>
      </w:r>
      <w:r w:rsidR="00F754BE" w:rsidRPr="006B07DF">
        <w:rPr>
          <w:rFonts w:ascii="Palatino Linotype" w:hAnsi="Palatino Linotype"/>
        </w:rPr>
        <w:t>Fund</w:t>
      </w:r>
      <w:r>
        <w:rPr>
          <w:rFonts w:ascii="Palatino Linotype" w:hAnsi="Palatino Linotype"/>
        </w:rPr>
        <w:t xml:space="preserve"> </w:t>
      </w:r>
      <w:r w:rsidRPr="006B07DF">
        <w:rPr>
          <w:rFonts w:ascii="Palatino Linotype" w:hAnsi="Palatino Linotype"/>
        </w:rPr>
        <w:t xml:space="preserve">for </w:t>
      </w:r>
      <w:r>
        <w:rPr>
          <w:rFonts w:ascii="Palatino Linotype" w:hAnsi="Palatino Linotype"/>
        </w:rPr>
        <w:t xml:space="preserve">initial </w:t>
      </w:r>
      <w:r w:rsidRPr="006B07DF">
        <w:rPr>
          <w:rFonts w:ascii="Palatino Linotype" w:hAnsi="Palatino Linotype"/>
        </w:rPr>
        <w:t>planning</w:t>
      </w:r>
      <w:r>
        <w:rPr>
          <w:rFonts w:ascii="Palatino Linotype" w:hAnsi="Palatino Linotype"/>
        </w:rPr>
        <w:t>,</w:t>
      </w:r>
      <w:r w:rsidRPr="006B07DF">
        <w:rPr>
          <w:rFonts w:ascii="Palatino Linotype" w:hAnsi="Palatino Linotype"/>
        </w:rPr>
        <w:t xml:space="preserve"> design and construction </w:t>
      </w:r>
      <w:r>
        <w:rPr>
          <w:rFonts w:ascii="Palatino Linotype" w:hAnsi="Palatino Linotype"/>
        </w:rPr>
        <w:t>related to</w:t>
      </w:r>
      <w:r w:rsidRPr="006B07DF">
        <w:rPr>
          <w:rFonts w:ascii="Palatino Linotype" w:hAnsi="Palatino Linotype"/>
        </w:rPr>
        <w:t xml:space="preserve"> storm recovery efforts.</w:t>
      </w:r>
      <w:r w:rsidR="00F754BE" w:rsidRPr="006B07DF">
        <w:rPr>
          <w:rFonts w:ascii="Palatino Linotype" w:hAnsi="Palatino Linotype"/>
        </w:rPr>
        <w:t xml:space="preserve"> </w:t>
      </w:r>
      <w:r>
        <w:rPr>
          <w:rFonts w:ascii="Palatino Linotype" w:hAnsi="Palatino Linotype"/>
        </w:rPr>
        <w:t xml:space="preserve"> </w:t>
      </w:r>
      <w:r w:rsidR="003F41B8" w:rsidRPr="00123853">
        <w:rPr>
          <w:rFonts w:ascii="Palatino Linotype" w:hAnsi="Palatino Linotype"/>
        </w:rPr>
        <w:t xml:space="preserve">Use of </w:t>
      </w:r>
      <w:r w:rsidR="00123853" w:rsidRPr="00123853">
        <w:rPr>
          <w:rFonts w:ascii="Palatino Linotype" w:hAnsi="Palatino Linotype"/>
        </w:rPr>
        <w:t xml:space="preserve">the Roads </w:t>
      </w:r>
      <w:r w:rsidR="009841CE">
        <w:rPr>
          <w:rFonts w:ascii="Palatino Linotype" w:hAnsi="Palatino Linotype"/>
        </w:rPr>
        <w:t>f</w:t>
      </w:r>
      <w:r w:rsidR="003F41B8" w:rsidRPr="00123853">
        <w:rPr>
          <w:rFonts w:ascii="Palatino Linotype" w:hAnsi="Palatino Linotype"/>
        </w:rPr>
        <w:t xml:space="preserve">und </w:t>
      </w:r>
      <w:r w:rsidR="009841CE">
        <w:rPr>
          <w:rFonts w:ascii="Palatino Linotype" w:hAnsi="Palatino Linotype"/>
        </w:rPr>
        <w:t>b</w:t>
      </w:r>
      <w:r w:rsidR="003F41B8" w:rsidRPr="00123853">
        <w:rPr>
          <w:rFonts w:ascii="Palatino Linotype" w:hAnsi="Palatino Linotype"/>
        </w:rPr>
        <w:t xml:space="preserve">alance is expected to increase by $54,135 as a result of significant Roads staff overtime costs associated with the winter 2017 storms.  </w:t>
      </w:r>
      <w:r w:rsidR="00AE0F9B">
        <w:rPr>
          <w:rFonts w:ascii="Palatino Linotype" w:hAnsi="Palatino Linotype"/>
        </w:rPr>
        <w:t>However, t</w:t>
      </w:r>
      <w:r>
        <w:rPr>
          <w:rFonts w:ascii="Palatino Linotype" w:hAnsi="Palatino Linotype"/>
        </w:rPr>
        <w:t xml:space="preserve">hese </w:t>
      </w:r>
      <w:r w:rsidR="003F41B8" w:rsidRPr="00123853">
        <w:rPr>
          <w:rFonts w:ascii="Palatino Linotype" w:hAnsi="Palatino Linotype"/>
        </w:rPr>
        <w:t>overtime costs are partly offset by savings from unanticipated vacancies</w:t>
      </w:r>
      <w:r>
        <w:rPr>
          <w:rFonts w:ascii="Palatino Linotype" w:hAnsi="Palatino Linotype"/>
        </w:rPr>
        <w:t>, and n</w:t>
      </w:r>
      <w:r w:rsidR="003F41B8" w:rsidRPr="00123853">
        <w:rPr>
          <w:rFonts w:ascii="Palatino Linotype" w:hAnsi="Palatino Linotype"/>
        </w:rPr>
        <w:t>o budget adjustments are needed at this time</w:t>
      </w:r>
      <w:r>
        <w:rPr>
          <w:rFonts w:ascii="Palatino Linotype" w:hAnsi="Palatino Linotype"/>
        </w:rPr>
        <w:t>.</w:t>
      </w:r>
      <w:r w:rsidR="003F41B8" w:rsidRPr="00123853">
        <w:rPr>
          <w:rFonts w:ascii="Palatino Linotype" w:hAnsi="Palatino Linotype"/>
        </w:rPr>
        <w:t xml:space="preserve">  </w:t>
      </w:r>
    </w:p>
    <w:p w:rsidR="003F41B8" w:rsidRPr="00123853" w:rsidRDefault="003F41B8" w:rsidP="003F41B8">
      <w:pPr>
        <w:pStyle w:val="ListParagraph"/>
        <w:spacing w:after="0" w:line="240" w:lineRule="auto"/>
        <w:ind w:left="0"/>
        <w:rPr>
          <w:rFonts w:ascii="Palatino Linotype" w:hAnsi="Palatino Linotype"/>
        </w:rPr>
      </w:pPr>
    </w:p>
    <w:p w:rsidR="003F41B8" w:rsidRPr="00123853" w:rsidRDefault="003F41B8" w:rsidP="003F41B8">
      <w:pPr>
        <w:pStyle w:val="ListParagraph"/>
        <w:spacing w:after="0" w:line="240" w:lineRule="auto"/>
        <w:ind w:left="0"/>
        <w:rPr>
          <w:rFonts w:ascii="Palatino Linotype" w:hAnsi="Palatino Linotype"/>
        </w:rPr>
      </w:pPr>
      <w:r w:rsidRPr="00123853">
        <w:rPr>
          <w:rFonts w:ascii="Palatino Linotype" w:hAnsi="Palatino Linotype"/>
        </w:rPr>
        <w:t xml:space="preserve">Public Works is in the process of quantifying total winter storm non-capital emergency operations costs, </w:t>
      </w:r>
      <w:r w:rsidR="00F754BE">
        <w:rPr>
          <w:rFonts w:ascii="Palatino Linotype" w:hAnsi="Palatino Linotype"/>
        </w:rPr>
        <w:t>a</w:t>
      </w:r>
      <w:r w:rsidR="00F754BE" w:rsidRPr="00123853">
        <w:rPr>
          <w:rFonts w:ascii="Palatino Linotype" w:hAnsi="Palatino Linotype"/>
        </w:rPr>
        <w:t xml:space="preserve">part from the significant staff overtime costs incurred to date, </w:t>
      </w:r>
      <w:r w:rsidR="00F754BE">
        <w:rPr>
          <w:rFonts w:ascii="Palatino Linotype" w:hAnsi="Palatino Linotype"/>
        </w:rPr>
        <w:t>since</w:t>
      </w:r>
      <w:r w:rsidRPr="00123853">
        <w:rPr>
          <w:rFonts w:ascii="Palatino Linotype" w:hAnsi="Palatino Linotype"/>
        </w:rPr>
        <w:t xml:space="preserve"> storm repairs have absorbed appropriations originally intended for non-storm Roads projects this year.  Additional funding will be required from the General Fund to offset the cost of the storms’ impact on the Roads budget and to cover significant capital repair costs in advance of state and potential federal cost reimbursement (although the percentage of total costs that will be reimbursed is unknown at this time).  This cost estimate will be completed in late spring/early summer 2017, and additional actions will be requested at that time.  </w:t>
      </w:r>
    </w:p>
    <w:p w:rsidR="003F41B8" w:rsidRPr="00123853" w:rsidRDefault="003F41B8" w:rsidP="003F41B8">
      <w:pPr>
        <w:pStyle w:val="ListParagraph"/>
        <w:spacing w:after="0" w:line="240" w:lineRule="auto"/>
        <w:ind w:left="0"/>
        <w:rPr>
          <w:rFonts w:ascii="Palatino Linotype" w:hAnsi="Palatino Linotype"/>
        </w:rPr>
      </w:pPr>
    </w:p>
    <w:p w:rsidR="00FB0698" w:rsidRPr="007D0462" w:rsidRDefault="00FB0698" w:rsidP="00FB0698">
      <w:pPr>
        <w:rPr>
          <w:rFonts w:ascii="Palatino Linotype" w:hAnsi="Palatino Linotype"/>
          <w:b/>
          <w:sz w:val="22"/>
          <w:szCs w:val="22"/>
        </w:rPr>
      </w:pPr>
      <w:r w:rsidRPr="007D0462">
        <w:rPr>
          <w:rFonts w:ascii="Palatino Linotype" w:hAnsi="Palatino Linotype"/>
          <w:b/>
          <w:sz w:val="22"/>
          <w:szCs w:val="22"/>
        </w:rPr>
        <w:t xml:space="preserve">Appropriation for Contingencies:  </w:t>
      </w:r>
    </w:p>
    <w:p w:rsidR="00FB0698" w:rsidRPr="007D0462" w:rsidRDefault="00FB0698" w:rsidP="00FB0698">
      <w:pPr>
        <w:pStyle w:val="ListParagraph"/>
        <w:spacing w:after="0" w:line="240" w:lineRule="auto"/>
        <w:rPr>
          <w:rFonts w:ascii="Palatino Linotype" w:hAnsi="Palatino Linotype"/>
        </w:rPr>
      </w:pPr>
    </w:p>
    <w:p w:rsidR="00FB0698" w:rsidRPr="00803C4E" w:rsidRDefault="00CB7528" w:rsidP="00100F35">
      <w:pPr>
        <w:pStyle w:val="ListParagraph"/>
        <w:spacing w:after="0" w:line="240" w:lineRule="auto"/>
        <w:ind w:left="0"/>
        <w:rPr>
          <w:rFonts w:ascii="Palatino Linotype" w:hAnsi="Palatino Linotype"/>
        </w:rPr>
      </w:pPr>
      <w:r>
        <w:rPr>
          <w:rFonts w:ascii="Palatino Linotype" w:hAnsi="Palatino Linotype"/>
        </w:rPr>
        <w:t xml:space="preserve">This review assumes </w:t>
      </w:r>
      <w:r w:rsidRPr="00347B6D">
        <w:rPr>
          <w:rFonts w:ascii="Palatino Linotype" w:hAnsi="Palatino Linotype"/>
        </w:rPr>
        <w:t xml:space="preserve">that </w:t>
      </w:r>
      <w:r w:rsidR="00347B6D">
        <w:rPr>
          <w:rFonts w:ascii="Palatino Linotype" w:hAnsi="Palatino Linotype"/>
        </w:rPr>
        <w:t>the entire</w:t>
      </w:r>
      <w:r w:rsidRPr="00347B6D">
        <w:rPr>
          <w:rFonts w:ascii="Palatino Linotype" w:hAnsi="Palatino Linotype"/>
        </w:rPr>
        <w:t xml:space="preserve"> $4,651,500 Appropriation for Contingencies will be spent</w:t>
      </w:r>
      <w:r>
        <w:rPr>
          <w:rFonts w:ascii="Palatino Linotype" w:hAnsi="Palatino Linotype"/>
        </w:rPr>
        <w:t xml:space="preserve"> during the current fiscal year. </w:t>
      </w:r>
      <w:r w:rsidR="00FB0698" w:rsidRPr="007D0462">
        <w:rPr>
          <w:rFonts w:ascii="Palatino Linotype" w:hAnsi="Palatino Linotype"/>
        </w:rPr>
        <w:t>Budget adjustment</w:t>
      </w:r>
      <w:r>
        <w:rPr>
          <w:rFonts w:ascii="Palatino Linotype" w:hAnsi="Palatino Linotype"/>
        </w:rPr>
        <w:t xml:space="preserve"> request</w:t>
      </w:r>
      <w:r w:rsidR="00FB0698" w:rsidRPr="007D0462">
        <w:rPr>
          <w:rFonts w:ascii="Palatino Linotype" w:hAnsi="Palatino Linotype"/>
        </w:rPr>
        <w:t xml:space="preserve">s reducing the Appropriation for Contingencies by $540,336 are being requested </w:t>
      </w:r>
      <w:r>
        <w:rPr>
          <w:rFonts w:ascii="Palatino Linotype" w:hAnsi="Palatino Linotype"/>
        </w:rPr>
        <w:t xml:space="preserve">now </w:t>
      </w:r>
      <w:r w:rsidR="00FB0698" w:rsidRPr="007D0462">
        <w:rPr>
          <w:rFonts w:ascii="Palatino Linotype" w:hAnsi="Palatino Linotype"/>
        </w:rPr>
        <w:t xml:space="preserve">to support increased costs in </w:t>
      </w:r>
      <w:r>
        <w:rPr>
          <w:rFonts w:ascii="Palatino Linotype" w:hAnsi="Palatino Linotype"/>
        </w:rPr>
        <w:t>several</w:t>
      </w:r>
      <w:r w:rsidR="00FB0698" w:rsidRPr="00803C4E">
        <w:rPr>
          <w:rFonts w:ascii="Palatino Linotype" w:hAnsi="Palatino Linotype"/>
        </w:rPr>
        <w:t xml:space="preserve"> budgets:</w:t>
      </w:r>
    </w:p>
    <w:p w:rsidR="00100F35" w:rsidRDefault="00100F35" w:rsidP="00100F35">
      <w:pPr>
        <w:pStyle w:val="ListParagraph"/>
        <w:spacing w:after="0" w:line="240" w:lineRule="auto"/>
        <w:rPr>
          <w:rFonts w:ascii="Palatino Linotype" w:hAnsi="Palatino Linotype"/>
        </w:rPr>
      </w:pPr>
    </w:p>
    <w:p w:rsidR="00100F35" w:rsidRPr="00556010" w:rsidRDefault="00FB0698" w:rsidP="00100F35">
      <w:pPr>
        <w:pStyle w:val="ListParagraph"/>
        <w:numPr>
          <w:ilvl w:val="0"/>
          <w:numId w:val="37"/>
        </w:numPr>
        <w:spacing w:after="0" w:line="240" w:lineRule="auto"/>
        <w:rPr>
          <w:rFonts w:ascii="Palatino Linotype" w:hAnsi="Palatino Linotype"/>
        </w:rPr>
      </w:pPr>
      <w:r w:rsidRPr="00100F35">
        <w:rPr>
          <w:rFonts w:ascii="Palatino Linotype" w:hAnsi="Palatino Linotype"/>
        </w:rPr>
        <w:t xml:space="preserve">County </w:t>
      </w:r>
      <w:r w:rsidRPr="000260B5">
        <w:rPr>
          <w:rFonts w:ascii="Palatino Linotype" w:hAnsi="Palatino Linotype"/>
        </w:rPr>
        <w:t>Counsel: $8</w:t>
      </w:r>
      <w:r w:rsidR="000260B5" w:rsidRPr="000260B5">
        <w:rPr>
          <w:rFonts w:ascii="Palatino Linotype" w:hAnsi="Palatino Linotype"/>
        </w:rPr>
        <w:t>2,000</w:t>
      </w:r>
      <w:r w:rsidRPr="000260B5">
        <w:rPr>
          <w:rFonts w:ascii="Palatino Linotype" w:hAnsi="Palatino Linotype"/>
        </w:rPr>
        <w:t xml:space="preserve"> </w:t>
      </w:r>
      <w:r w:rsidRPr="00100F35">
        <w:rPr>
          <w:rFonts w:ascii="Palatino Linotype" w:hAnsi="Palatino Linotype"/>
        </w:rPr>
        <w:t xml:space="preserve">to cover </w:t>
      </w:r>
      <w:r w:rsidR="00100F35" w:rsidRPr="00100F35">
        <w:rPr>
          <w:rFonts w:ascii="Palatino Linotype" w:hAnsi="Palatino Linotype"/>
        </w:rPr>
        <w:t xml:space="preserve">necessary legal work </w:t>
      </w:r>
      <w:r w:rsidR="00100F35" w:rsidRPr="00556010">
        <w:rPr>
          <w:rFonts w:ascii="Palatino Linotype" w:hAnsi="Palatino Linotype"/>
        </w:rPr>
        <w:t xml:space="preserve">conducted by staff related to litigation and subsequent appeal hearings related to </w:t>
      </w:r>
      <w:r w:rsidR="00347B6D" w:rsidRPr="00556010">
        <w:rPr>
          <w:rFonts w:ascii="Palatino Linotype" w:hAnsi="Palatino Linotype"/>
        </w:rPr>
        <w:t xml:space="preserve">a </w:t>
      </w:r>
      <w:r w:rsidR="00D76E05" w:rsidRPr="00556010">
        <w:rPr>
          <w:rFonts w:ascii="Palatino Linotype" w:hAnsi="Palatino Linotype"/>
        </w:rPr>
        <w:t xml:space="preserve">recent </w:t>
      </w:r>
      <w:r w:rsidR="00100F35" w:rsidRPr="00556010">
        <w:rPr>
          <w:rFonts w:ascii="Palatino Linotype" w:hAnsi="Palatino Linotype"/>
        </w:rPr>
        <w:t>ballot initiative.</w:t>
      </w:r>
    </w:p>
    <w:p w:rsidR="00100F35" w:rsidRDefault="00100F35" w:rsidP="00100F35">
      <w:pPr>
        <w:pStyle w:val="ListParagraph"/>
        <w:spacing w:after="0" w:line="240" w:lineRule="auto"/>
        <w:rPr>
          <w:rFonts w:ascii="Palatino Linotype" w:hAnsi="Palatino Linotype"/>
        </w:rPr>
      </w:pPr>
    </w:p>
    <w:p w:rsidR="00FA1259" w:rsidRDefault="00FA1259" w:rsidP="00FA1259">
      <w:pPr>
        <w:pStyle w:val="ListParagraph"/>
        <w:numPr>
          <w:ilvl w:val="2"/>
          <w:numId w:val="1"/>
        </w:numPr>
        <w:spacing w:after="0" w:line="240" w:lineRule="auto"/>
        <w:ind w:left="720"/>
        <w:rPr>
          <w:rFonts w:ascii="Palatino Linotype" w:hAnsi="Palatino Linotype"/>
        </w:rPr>
      </w:pPr>
      <w:r>
        <w:rPr>
          <w:rFonts w:ascii="Palatino Linotype" w:hAnsi="Palatino Linotype"/>
        </w:rPr>
        <w:t>General Expenditures: $36,431 to cover the cost of additional vacation payouts related to recent retirements.</w:t>
      </w:r>
      <w:bookmarkStart w:id="2" w:name="_GoBack"/>
      <w:bookmarkEnd w:id="2"/>
    </w:p>
    <w:p w:rsidR="00FA1259" w:rsidRDefault="00FA1259" w:rsidP="00FA1259">
      <w:pPr>
        <w:pStyle w:val="ListParagraph"/>
        <w:spacing w:after="0" w:line="240" w:lineRule="auto"/>
        <w:rPr>
          <w:rFonts w:ascii="Palatino Linotype" w:hAnsi="Palatino Linotype"/>
        </w:rPr>
      </w:pPr>
    </w:p>
    <w:p w:rsidR="006B4271" w:rsidRDefault="006B4271" w:rsidP="006B4271">
      <w:pPr>
        <w:pStyle w:val="ListParagraph"/>
        <w:numPr>
          <w:ilvl w:val="1"/>
          <w:numId w:val="1"/>
        </w:numPr>
        <w:spacing w:after="0" w:line="240" w:lineRule="auto"/>
        <w:ind w:left="720"/>
        <w:rPr>
          <w:rFonts w:ascii="Palatino Linotype" w:hAnsi="Palatino Linotype"/>
        </w:rPr>
      </w:pPr>
      <w:r w:rsidRPr="0029565E">
        <w:rPr>
          <w:rFonts w:ascii="Palatino Linotype" w:hAnsi="Palatino Linotype"/>
        </w:rPr>
        <w:t>Human Resources</w:t>
      </w:r>
      <w:r>
        <w:rPr>
          <w:rFonts w:ascii="Palatino Linotype" w:hAnsi="Palatino Linotype"/>
        </w:rPr>
        <w:t xml:space="preserve">: $50,000 </w:t>
      </w:r>
      <w:r w:rsidRPr="0029565E">
        <w:rPr>
          <w:rFonts w:ascii="Palatino Linotype" w:hAnsi="Palatino Linotype"/>
        </w:rPr>
        <w:t xml:space="preserve">for </w:t>
      </w:r>
      <w:r>
        <w:rPr>
          <w:rFonts w:ascii="Palatino Linotype" w:hAnsi="Palatino Linotype"/>
        </w:rPr>
        <w:t>the cost of leaves,</w:t>
      </w:r>
      <w:r w:rsidRPr="0029565E">
        <w:rPr>
          <w:rFonts w:ascii="Palatino Linotype" w:hAnsi="Palatino Linotype"/>
        </w:rPr>
        <w:t xml:space="preserve"> additional staff support, increased usage of pre-employment/employee annual screenings, additional staff training/development, and County employee service awards.</w:t>
      </w:r>
    </w:p>
    <w:p w:rsidR="006B4271" w:rsidRPr="00BA06FA" w:rsidRDefault="006B4271" w:rsidP="006B4271">
      <w:pPr>
        <w:pStyle w:val="ListParagraph"/>
        <w:spacing w:after="0" w:line="240" w:lineRule="auto"/>
        <w:rPr>
          <w:rFonts w:ascii="Palatino Linotype" w:hAnsi="Palatino Linotype"/>
        </w:rPr>
      </w:pPr>
    </w:p>
    <w:p w:rsidR="00FB0698" w:rsidRDefault="00FB0698" w:rsidP="009A3C49">
      <w:pPr>
        <w:pStyle w:val="ListParagraph"/>
        <w:numPr>
          <w:ilvl w:val="0"/>
          <w:numId w:val="37"/>
        </w:numPr>
        <w:spacing w:after="0" w:line="240" w:lineRule="auto"/>
        <w:rPr>
          <w:rFonts w:ascii="Palatino Linotype" w:hAnsi="Palatino Linotype"/>
        </w:rPr>
      </w:pPr>
      <w:r w:rsidRPr="00AB7D01">
        <w:rPr>
          <w:rFonts w:ascii="Palatino Linotype" w:hAnsi="Palatino Linotype"/>
        </w:rPr>
        <w:t>Probation/Community Services Center</w:t>
      </w:r>
      <w:r w:rsidR="001C5CA4" w:rsidRPr="00AB7D01">
        <w:rPr>
          <w:rFonts w:ascii="Palatino Linotype" w:hAnsi="Palatino Linotype"/>
        </w:rPr>
        <w:t xml:space="preserve"> (CS</w:t>
      </w:r>
      <w:r w:rsidR="008321DE">
        <w:rPr>
          <w:rFonts w:ascii="Palatino Linotype" w:hAnsi="Palatino Linotype"/>
        </w:rPr>
        <w:t>C</w:t>
      </w:r>
      <w:r w:rsidR="001C5CA4" w:rsidRPr="00AB7D01">
        <w:rPr>
          <w:rFonts w:ascii="Palatino Linotype" w:hAnsi="Palatino Linotype"/>
        </w:rPr>
        <w:t>)</w:t>
      </w:r>
      <w:r w:rsidRPr="00AB7D01">
        <w:rPr>
          <w:rFonts w:ascii="Palatino Linotype" w:hAnsi="Palatino Linotype"/>
        </w:rPr>
        <w:t>: $248,190 to cover the cost of (1) using the $1.5 million GEO Re-entry Services (formerly BI, Inc.) contra</w:t>
      </w:r>
      <w:r w:rsidR="00972F29" w:rsidRPr="00AB7D01">
        <w:rPr>
          <w:rFonts w:ascii="Palatino Linotype" w:hAnsi="Palatino Linotype"/>
        </w:rPr>
        <w:t>ct at its full level (</w:t>
      </w:r>
      <w:r w:rsidR="001C5CA4" w:rsidRPr="00AB7D01">
        <w:rPr>
          <w:rFonts w:ascii="Palatino Linotype" w:hAnsi="Palatino Linotype"/>
        </w:rPr>
        <w:t xml:space="preserve">a </w:t>
      </w:r>
      <w:r w:rsidR="00972F29" w:rsidRPr="00AB7D01">
        <w:rPr>
          <w:rFonts w:ascii="Palatino Linotype" w:hAnsi="Palatino Linotype"/>
        </w:rPr>
        <w:t>$200,000</w:t>
      </w:r>
      <w:r w:rsidR="001C5CA4" w:rsidRPr="00AB7D01">
        <w:rPr>
          <w:rFonts w:ascii="Palatino Linotype" w:hAnsi="Palatino Linotype"/>
        </w:rPr>
        <w:t xml:space="preserve"> increase</w:t>
      </w:r>
      <w:r w:rsidR="00972F29" w:rsidRPr="00AB7D01">
        <w:rPr>
          <w:rFonts w:ascii="Palatino Linotype" w:hAnsi="Palatino Linotype"/>
        </w:rPr>
        <w:t>)</w:t>
      </w:r>
      <w:r w:rsidR="00100F35" w:rsidRPr="00AB7D01">
        <w:rPr>
          <w:rFonts w:ascii="Palatino Linotype" w:hAnsi="Palatino Linotype"/>
        </w:rPr>
        <w:t>, which resulted from an increase in clients following completion of repairs to the Hall of Justice C</w:t>
      </w:r>
      <w:r w:rsidR="008321DE">
        <w:rPr>
          <w:rFonts w:ascii="Palatino Linotype" w:hAnsi="Palatino Linotype"/>
        </w:rPr>
        <w:t>SC</w:t>
      </w:r>
      <w:r w:rsidR="00100F35" w:rsidRPr="00AB7D01">
        <w:rPr>
          <w:rFonts w:ascii="Palatino Linotype" w:hAnsi="Palatino Linotype"/>
        </w:rPr>
        <w:t xml:space="preserve"> offices, and (2) unbudgeted property management charges ($48,190).  </w:t>
      </w:r>
      <w:r w:rsidR="001C5CA4" w:rsidRPr="00AB7D01">
        <w:rPr>
          <w:rFonts w:ascii="Palatino Linotype" w:hAnsi="Palatino Linotype"/>
        </w:rPr>
        <w:t>T</w:t>
      </w:r>
      <w:r w:rsidR="00100F35" w:rsidRPr="00AB7D01">
        <w:rPr>
          <w:rFonts w:ascii="Palatino Linotype" w:hAnsi="Palatino Linotype"/>
        </w:rPr>
        <w:t xml:space="preserve">hese additional costs </w:t>
      </w:r>
      <w:r w:rsidR="001C5CA4" w:rsidRPr="00AB7D01">
        <w:rPr>
          <w:rFonts w:ascii="Palatino Linotype" w:hAnsi="Palatino Linotype"/>
        </w:rPr>
        <w:t>in the CS</w:t>
      </w:r>
      <w:r w:rsidR="008321DE">
        <w:rPr>
          <w:rFonts w:ascii="Palatino Linotype" w:hAnsi="Palatino Linotype"/>
        </w:rPr>
        <w:t>C</w:t>
      </w:r>
      <w:r w:rsidR="001C5CA4" w:rsidRPr="00AB7D01">
        <w:rPr>
          <w:rFonts w:ascii="Palatino Linotype" w:hAnsi="Palatino Linotype"/>
        </w:rPr>
        <w:t xml:space="preserve"> budget </w:t>
      </w:r>
      <w:r w:rsidR="00100F35" w:rsidRPr="00AB7D01">
        <w:rPr>
          <w:rFonts w:ascii="Palatino Linotype" w:hAnsi="Palatino Linotype"/>
        </w:rPr>
        <w:t xml:space="preserve">will be more than offset by a $608,000 reduction in Net County Cost in the </w:t>
      </w:r>
      <w:r w:rsidR="00AB7D01" w:rsidRPr="00AB7D01">
        <w:rPr>
          <w:rFonts w:ascii="Palatino Linotype" w:hAnsi="Palatino Linotype"/>
        </w:rPr>
        <w:t xml:space="preserve">other </w:t>
      </w:r>
      <w:r w:rsidR="00100F35" w:rsidRPr="00AB7D01">
        <w:rPr>
          <w:rFonts w:ascii="Palatino Linotype" w:hAnsi="Palatino Linotype"/>
        </w:rPr>
        <w:t>three Probation budgets (Adult and Juvenile Probation, Juvenile Hall, and Care of Court Wards) due to projected lower numbers of Juvenile Hall and court wards housed and other expenditure reductions</w:t>
      </w:r>
      <w:r w:rsidR="00AB7D01">
        <w:rPr>
          <w:rFonts w:ascii="Palatino Linotype" w:hAnsi="Palatino Linotype"/>
        </w:rPr>
        <w:t xml:space="preserve"> taken to offset the increase in the CS</w:t>
      </w:r>
      <w:r w:rsidR="008321DE">
        <w:rPr>
          <w:rFonts w:ascii="Palatino Linotype" w:hAnsi="Palatino Linotype"/>
        </w:rPr>
        <w:t>C</w:t>
      </w:r>
      <w:r w:rsidR="00AB7D01">
        <w:rPr>
          <w:rFonts w:ascii="Palatino Linotype" w:hAnsi="Palatino Linotype"/>
        </w:rPr>
        <w:t xml:space="preserve"> budget</w:t>
      </w:r>
      <w:r w:rsidR="00100F35" w:rsidRPr="00AB7D01">
        <w:rPr>
          <w:rFonts w:ascii="Palatino Linotype" w:hAnsi="Palatino Linotype"/>
        </w:rPr>
        <w:t xml:space="preserve">.  </w:t>
      </w:r>
    </w:p>
    <w:p w:rsidR="00AB7D01" w:rsidRPr="00AB7D01" w:rsidRDefault="00AB7D01" w:rsidP="00AB7D01">
      <w:pPr>
        <w:pStyle w:val="ListParagraph"/>
        <w:spacing w:after="0" w:line="240" w:lineRule="auto"/>
        <w:rPr>
          <w:rFonts w:ascii="Palatino Linotype" w:hAnsi="Palatino Linotype"/>
        </w:rPr>
      </w:pPr>
    </w:p>
    <w:p w:rsidR="00FB0698" w:rsidRDefault="00FB0698" w:rsidP="007D0462">
      <w:pPr>
        <w:pStyle w:val="ListParagraph"/>
        <w:numPr>
          <w:ilvl w:val="2"/>
          <w:numId w:val="1"/>
        </w:numPr>
        <w:spacing w:after="0" w:line="240" w:lineRule="auto"/>
        <w:ind w:left="720"/>
        <w:rPr>
          <w:rFonts w:ascii="Palatino Linotype" w:hAnsi="Palatino Linotype"/>
        </w:rPr>
      </w:pPr>
      <w:r>
        <w:rPr>
          <w:rFonts w:ascii="Palatino Linotype" w:hAnsi="Palatino Linotype"/>
        </w:rPr>
        <w:t xml:space="preserve">Property Management: $113,715 to offset increases in emergency maintenance costs throughout the fiscal year. The FY 2016-17 budget included an agreement to provide some General Fund assistance to Property Management in its first year as a stand-alone Internal Services Fund. </w:t>
      </w:r>
    </w:p>
    <w:p w:rsidR="009A3C49" w:rsidRDefault="009A3C49" w:rsidP="009A3C49">
      <w:pPr>
        <w:pStyle w:val="ListParagraph"/>
        <w:spacing w:after="0" w:line="240" w:lineRule="auto"/>
        <w:rPr>
          <w:rFonts w:ascii="Palatino Linotype" w:hAnsi="Palatino Linotype"/>
        </w:rPr>
      </w:pPr>
    </w:p>
    <w:p w:rsidR="00FB0698" w:rsidRPr="0098196F" w:rsidRDefault="00FB0698" w:rsidP="007D0462">
      <w:pPr>
        <w:pStyle w:val="ListParagraph"/>
        <w:numPr>
          <w:ilvl w:val="2"/>
          <w:numId w:val="1"/>
        </w:numPr>
        <w:spacing w:after="0" w:line="240" w:lineRule="auto"/>
        <w:ind w:left="720"/>
        <w:rPr>
          <w:rFonts w:ascii="Palatino Linotype" w:hAnsi="Palatino Linotype"/>
        </w:rPr>
      </w:pPr>
      <w:r>
        <w:rPr>
          <w:rFonts w:ascii="Palatino Linotype" w:hAnsi="Palatino Linotype"/>
        </w:rPr>
        <w:t xml:space="preserve">Sheriff: $10,000 transfer from </w:t>
      </w:r>
      <w:r w:rsidRPr="0098196F">
        <w:rPr>
          <w:rFonts w:ascii="Palatino Linotype" w:hAnsi="Palatino Linotype"/>
        </w:rPr>
        <w:t>Contingencies to cover salary increases in the Coroner’s office.</w:t>
      </w:r>
    </w:p>
    <w:p w:rsidR="006B4271" w:rsidRPr="0098196F" w:rsidRDefault="006B4271" w:rsidP="00CB7528">
      <w:pPr>
        <w:rPr>
          <w:rFonts w:ascii="Palatino Linotype" w:hAnsi="Palatino Linotype"/>
          <w:sz w:val="22"/>
          <w:szCs w:val="22"/>
        </w:rPr>
      </w:pPr>
    </w:p>
    <w:p w:rsidR="00CB7528" w:rsidRPr="0098196F" w:rsidRDefault="00CB7528" w:rsidP="00CB7528">
      <w:pPr>
        <w:rPr>
          <w:rFonts w:ascii="Palatino Linotype" w:hAnsi="Palatino Linotype"/>
          <w:sz w:val="22"/>
          <w:szCs w:val="22"/>
        </w:rPr>
      </w:pPr>
      <w:r w:rsidRPr="0098196F">
        <w:rPr>
          <w:rFonts w:ascii="Palatino Linotype" w:hAnsi="Palatino Linotype"/>
          <w:sz w:val="22"/>
          <w:szCs w:val="22"/>
        </w:rPr>
        <w:t>The Appropriation for Contingencies</w:t>
      </w:r>
      <w:r w:rsidR="0098196F" w:rsidRPr="0098196F">
        <w:rPr>
          <w:rFonts w:ascii="Palatino Linotype" w:hAnsi="Palatino Linotype"/>
          <w:sz w:val="22"/>
          <w:szCs w:val="22"/>
        </w:rPr>
        <w:t xml:space="preserve"> will be reevaluated later in the year and additional adjustments may be recommended at that time.</w:t>
      </w:r>
    </w:p>
    <w:p w:rsidR="00CB7528" w:rsidRPr="00CB7528" w:rsidRDefault="00CB7528" w:rsidP="00CB7528">
      <w:pPr>
        <w:rPr>
          <w:rFonts w:ascii="Palatino Linotype" w:hAnsi="Palatino Linotype"/>
        </w:rPr>
      </w:pPr>
    </w:p>
    <w:p w:rsidR="00B947BF" w:rsidRPr="00A404D4" w:rsidRDefault="007001F1" w:rsidP="006E0425">
      <w:pPr>
        <w:rPr>
          <w:rFonts w:ascii="Palatino Linotype" w:hAnsi="Palatino Linotype"/>
          <w:b/>
          <w:sz w:val="22"/>
          <w:szCs w:val="22"/>
        </w:rPr>
      </w:pPr>
      <w:r w:rsidRPr="00A404D4">
        <w:rPr>
          <w:rFonts w:ascii="Palatino Linotype" w:hAnsi="Palatino Linotype"/>
          <w:b/>
          <w:sz w:val="22"/>
          <w:szCs w:val="22"/>
        </w:rPr>
        <w:t>Review of Department Budgets</w:t>
      </w:r>
      <w:r w:rsidR="003B3934">
        <w:rPr>
          <w:rFonts w:ascii="Palatino Linotype" w:hAnsi="Palatino Linotype"/>
          <w:b/>
          <w:sz w:val="22"/>
          <w:szCs w:val="22"/>
        </w:rPr>
        <w:t>:</w:t>
      </w:r>
    </w:p>
    <w:p w:rsidR="007001F1" w:rsidRDefault="007001F1" w:rsidP="006E0425">
      <w:pPr>
        <w:rPr>
          <w:rFonts w:ascii="Palatino Linotype" w:hAnsi="Palatino Linotype"/>
          <w:sz w:val="22"/>
          <w:szCs w:val="22"/>
        </w:rPr>
      </w:pPr>
    </w:p>
    <w:p w:rsidR="00BF01F6" w:rsidRPr="004267D0" w:rsidRDefault="00EE7A45" w:rsidP="006E0425">
      <w:pPr>
        <w:rPr>
          <w:rFonts w:ascii="Palatino Linotype" w:hAnsi="Palatino Linotype"/>
          <w:b/>
          <w:sz w:val="22"/>
          <w:szCs w:val="22"/>
        </w:rPr>
      </w:pPr>
      <w:r w:rsidRPr="00036203">
        <w:rPr>
          <w:rFonts w:ascii="Palatino Linotype" w:hAnsi="Palatino Linotype"/>
          <w:sz w:val="22"/>
          <w:szCs w:val="22"/>
        </w:rPr>
        <w:t xml:space="preserve">This section focuses on </w:t>
      </w:r>
      <w:r w:rsidR="00CC390D">
        <w:rPr>
          <w:rFonts w:ascii="Palatino Linotype" w:hAnsi="Palatino Linotype"/>
          <w:sz w:val="22"/>
          <w:szCs w:val="22"/>
        </w:rPr>
        <w:t xml:space="preserve">all </w:t>
      </w:r>
      <w:r w:rsidR="00076254">
        <w:rPr>
          <w:rFonts w:ascii="Palatino Linotype" w:hAnsi="Palatino Linotype"/>
          <w:sz w:val="22"/>
          <w:szCs w:val="22"/>
        </w:rPr>
        <w:t>budgets</w:t>
      </w:r>
      <w:r w:rsidR="009841CE">
        <w:rPr>
          <w:rFonts w:ascii="Palatino Linotype" w:hAnsi="Palatino Linotype"/>
          <w:sz w:val="22"/>
          <w:szCs w:val="22"/>
        </w:rPr>
        <w:t>—</w:t>
      </w:r>
      <w:r w:rsidRPr="00036203">
        <w:rPr>
          <w:rFonts w:ascii="Palatino Linotype" w:hAnsi="Palatino Linotype"/>
          <w:sz w:val="22"/>
          <w:szCs w:val="22"/>
        </w:rPr>
        <w:t xml:space="preserve">General Fund, </w:t>
      </w:r>
      <w:r w:rsidR="003B119B">
        <w:rPr>
          <w:rFonts w:ascii="Palatino Linotype" w:hAnsi="Palatino Linotype"/>
          <w:sz w:val="22"/>
          <w:szCs w:val="22"/>
        </w:rPr>
        <w:t>S</w:t>
      </w:r>
      <w:r w:rsidRPr="00036203">
        <w:rPr>
          <w:rFonts w:ascii="Palatino Linotype" w:hAnsi="Palatino Linotype"/>
          <w:sz w:val="22"/>
          <w:szCs w:val="22"/>
        </w:rPr>
        <w:t xml:space="preserve">pecial </w:t>
      </w:r>
      <w:r w:rsidR="003B119B">
        <w:rPr>
          <w:rFonts w:ascii="Palatino Linotype" w:hAnsi="Palatino Linotype"/>
          <w:sz w:val="22"/>
          <w:szCs w:val="22"/>
        </w:rPr>
        <w:t>R</w:t>
      </w:r>
      <w:r w:rsidRPr="00036203">
        <w:rPr>
          <w:rFonts w:ascii="Palatino Linotype" w:hAnsi="Palatino Linotype"/>
          <w:sz w:val="22"/>
          <w:szCs w:val="22"/>
        </w:rPr>
        <w:t xml:space="preserve">evenue </w:t>
      </w:r>
      <w:r w:rsidR="003B119B">
        <w:rPr>
          <w:rFonts w:ascii="Palatino Linotype" w:hAnsi="Palatino Linotype"/>
          <w:sz w:val="22"/>
          <w:szCs w:val="22"/>
        </w:rPr>
        <w:t>F</w:t>
      </w:r>
      <w:r w:rsidRPr="00036203">
        <w:rPr>
          <w:rFonts w:ascii="Palatino Linotype" w:hAnsi="Palatino Linotype"/>
          <w:sz w:val="22"/>
          <w:szCs w:val="22"/>
        </w:rPr>
        <w:t>und</w:t>
      </w:r>
      <w:r w:rsidR="009841CE">
        <w:rPr>
          <w:rFonts w:ascii="Palatino Linotype" w:hAnsi="Palatino Linotype"/>
          <w:sz w:val="22"/>
          <w:szCs w:val="22"/>
        </w:rPr>
        <w:t>s</w:t>
      </w:r>
      <w:r w:rsidRPr="00036203">
        <w:rPr>
          <w:rFonts w:ascii="Palatino Linotype" w:hAnsi="Palatino Linotype"/>
          <w:sz w:val="22"/>
          <w:szCs w:val="22"/>
        </w:rPr>
        <w:t xml:space="preserve"> and </w:t>
      </w:r>
      <w:r w:rsidR="003B119B">
        <w:rPr>
          <w:rFonts w:ascii="Palatino Linotype" w:hAnsi="Palatino Linotype"/>
          <w:sz w:val="22"/>
          <w:szCs w:val="22"/>
        </w:rPr>
        <w:t>E</w:t>
      </w:r>
      <w:r w:rsidRPr="00036203">
        <w:rPr>
          <w:rFonts w:ascii="Palatino Linotype" w:hAnsi="Palatino Linotype"/>
          <w:sz w:val="22"/>
          <w:szCs w:val="22"/>
        </w:rPr>
        <w:t xml:space="preserve">nterprise </w:t>
      </w:r>
      <w:r w:rsidR="003B119B">
        <w:rPr>
          <w:rFonts w:ascii="Palatino Linotype" w:hAnsi="Palatino Linotype"/>
          <w:sz w:val="22"/>
          <w:szCs w:val="22"/>
        </w:rPr>
        <w:t>F</w:t>
      </w:r>
      <w:r w:rsidRPr="00036203">
        <w:rPr>
          <w:rFonts w:ascii="Palatino Linotype" w:hAnsi="Palatino Linotype"/>
          <w:sz w:val="22"/>
          <w:szCs w:val="22"/>
        </w:rPr>
        <w:t>und</w:t>
      </w:r>
      <w:r w:rsidR="009841CE">
        <w:rPr>
          <w:rFonts w:ascii="Palatino Linotype" w:hAnsi="Palatino Linotype"/>
          <w:sz w:val="22"/>
          <w:szCs w:val="22"/>
        </w:rPr>
        <w:t>s—</w:t>
      </w:r>
      <w:r>
        <w:rPr>
          <w:rFonts w:ascii="Palatino Linotype" w:hAnsi="Palatino Linotype"/>
          <w:sz w:val="22"/>
          <w:szCs w:val="22"/>
        </w:rPr>
        <w:t xml:space="preserve">in which </w:t>
      </w:r>
      <w:r w:rsidR="0046739E">
        <w:rPr>
          <w:rFonts w:ascii="Palatino Linotype" w:hAnsi="Palatino Linotype"/>
          <w:sz w:val="22"/>
          <w:szCs w:val="22"/>
        </w:rPr>
        <w:t>“</w:t>
      </w:r>
      <w:r w:rsidR="0046739E" w:rsidRPr="00036203">
        <w:rPr>
          <w:rFonts w:ascii="Palatino Linotype" w:hAnsi="Palatino Linotype"/>
          <w:sz w:val="22"/>
          <w:szCs w:val="22"/>
        </w:rPr>
        <w:t>Net County Cost</w:t>
      </w:r>
      <w:r w:rsidR="0046739E">
        <w:rPr>
          <w:rFonts w:ascii="Palatino Linotype" w:hAnsi="Palatino Linotype"/>
          <w:sz w:val="22"/>
          <w:szCs w:val="22"/>
        </w:rPr>
        <w:t>” or</w:t>
      </w:r>
      <w:r w:rsidR="0046739E" w:rsidRPr="00036203">
        <w:rPr>
          <w:rFonts w:ascii="Palatino Linotype" w:hAnsi="Palatino Linotype"/>
          <w:sz w:val="22"/>
          <w:szCs w:val="22"/>
        </w:rPr>
        <w:t xml:space="preserve"> </w:t>
      </w:r>
      <w:r w:rsidR="0046739E">
        <w:rPr>
          <w:rFonts w:ascii="Palatino Linotype" w:hAnsi="Palatino Linotype"/>
          <w:sz w:val="22"/>
          <w:szCs w:val="22"/>
        </w:rPr>
        <w:t>“</w:t>
      </w:r>
      <w:r w:rsidR="0046739E" w:rsidRPr="00036203">
        <w:rPr>
          <w:rFonts w:ascii="Palatino Linotype" w:hAnsi="Palatino Linotype"/>
          <w:sz w:val="22"/>
          <w:szCs w:val="22"/>
        </w:rPr>
        <w:t>General Fund Contribution</w:t>
      </w:r>
      <w:r w:rsidR="0046739E">
        <w:rPr>
          <w:rFonts w:ascii="Palatino Linotype" w:hAnsi="Palatino Linotype"/>
          <w:sz w:val="22"/>
          <w:szCs w:val="22"/>
        </w:rPr>
        <w:t>”</w:t>
      </w:r>
      <w:r w:rsidR="00E461A0">
        <w:rPr>
          <w:rFonts w:ascii="Palatino Linotype" w:hAnsi="Palatino Linotype"/>
          <w:sz w:val="22"/>
          <w:szCs w:val="22"/>
        </w:rPr>
        <w:t xml:space="preserve"> for</w:t>
      </w:r>
      <w:r w:rsidR="0046739E">
        <w:rPr>
          <w:rFonts w:ascii="Palatino Linotype" w:hAnsi="Palatino Linotype"/>
          <w:sz w:val="22"/>
          <w:szCs w:val="22"/>
        </w:rPr>
        <w:t xml:space="preserve"> General Fund budgets </w:t>
      </w:r>
      <w:r w:rsidR="00E461A0">
        <w:rPr>
          <w:rFonts w:ascii="Palatino Linotype" w:hAnsi="Palatino Linotype"/>
          <w:sz w:val="22"/>
          <w:szCs w:val="22"/>
        </w:rPr>
        <w:t>or</w:t>
      </w:r>
      <w:r w:rsidR="0046739E">
        <w:rPr>
          <w:rFonts w:ascii="Palatino Linotype" w:hAnsi="Palatino Linotype"/>
          <w:sz w:val="22"/>
          <w:szCs w:val="22"/>
        </w:rPr>
        <w:t xml:space="preserve"> </w:t>
      </w:r>
      <w:r w:rsidR="0042320F">
        <w:rPr>
          <w:rFonts w:ascii="Palatino Linotype" w:hAnsi="Palatino Linotype"/>
          <w:sz w:val="22"/>
          <w:szCs w:val="22"/>
        </w:rPr>
        <w:t>“</w:t>
      </w:r>
      <w:r w:rsidR="0046739E">
        <w:rPr>
          <w:rFonts w:ascii="Palatino Linotype" w:hAnsi="Palatino Linotype"/>
          <w:sz w:val="22"/>
          <w:szCs w:val="22"/>
        </w:rPr>
        <w:t>Use of Fund Balance</w:t>
      </w:r>
      <w:r w:rsidR="0042320F">
        <w:rPr>
          <w:rFonts w:ascii="Palatino Linotype" w:hAnsi="Palatino Linotype"/>
          <w:sz w:val="22"/>
          <w:szCs w:val="22"/>
        </w:rPr>
        <w:t>”</w:t>
      </w:r>
      <w:r w:rsidR="0046739E">
        <w:rPr>
          <w:rFonts w:ascii="Palatino Linotype" w:hAnsi="Palatino Linotype"/>
          <w:sz w:val="22"/>
          <w:szCs w:val="22"/>
        </w:rPr>
        <w:t xml:space="preserve"> </w:t>
      </w:r>
      <w:r w:rsidR="00E461A0">
        <w:rPr>
          <w:rFonts w:ascii="Palatino Linotype" w:hAnsi="Palatino Linotype"/>
          <w:sz w:val="22"/>
          <w:szCs w:val="22"/>
        </w:rPr>
        <w:t>for</w:t>
      </w:r>
      <w:r w:rsidR="0046739E">
        <w:rPr>
          <w:rFonts w:ascii="Palatino Linotype" w:hAnsi="Palatino Linotype"/>
          <w:sz w:val="22"/>
          <w:szCs w:val="22"/>
        </w:rPr>
        <w:t xml:space="preserve"> non-General Fund budgets</w:t>
      </w:r>
      <w:r w:rsidR="003B119B">
        <w:rPr>
          <w:rFonts w:ascii="Palatino Linotype" w:hAnsi="Palatino Linotype"/>
          <w:sz w:val="22"/>
          <w:szCs w:val="22"/>
        </w:rPr>
        <w:t xml:space="preserve"> is</w:t>
      </w:r>
      <w:r w:rsidRPr="00036203">
        <w:rPr>
          <w:rFonts w:ascii="Palatino Linotype" w:hAnsi="Palatino Linotype"/>
          <w:sz w:val="22"/>
          <w:szCs w:val="22"/>
        </w:rPr>
        <w:t xml:space="preserve"> projected </w:t>
      </w:r>
      <w:r w:rsidRPr="00BD390F">
        <w:rPr>
          <w:rFonts w:ascii="Palatino Linotype" w:hAnsi="Palatino Linotype"/>
          <w:sz w:val="22"/>
          <w:szCs w:val="22"/>
        </w:rPr>
        <w:t xml:space="preserve">to </w:t>
      </w:r>
      <w:r w:rsidR="00B05E41">
        <w:rPr>
          <w:rFonts w:ascii="Palatino Linotype" w:hAnsi="Palatino Linotype"/>
          <w:sz w:val="22"/>
          <w:szCs w:val="22"/>
        </w:rPr>
        <w:t xml:space="preserve">increase by $50,000 or </w:t>
      </w:r>
      <w:r w:rsidR="00B05E41" w:rsidRPr="00E5064A">
        <w:rPr>
          <w:rFonts w:ascii="Palatino Linotype" w:hAnsi="Palatino Linotype"/>
          <w:sz w:val="22"/>
          <w:szCs w:val="22"/>
        </w:rPr>
        <w:t>more</w:t>
      </w:r>
      <w:r w:rsidRPr="00E5064A">
        <w:rPr>
          <w:rFonts w:ascii="Palatino Linotype" w:hAnsi="Palatino Linotype"/>
          <w:sz w:val="22"/>
          <w:szCs w:val="22"/>
        </w:rPr>
        <w:t xml:space="preserve">.  </w:t>
      </w:r>
      <w:r w:rsidR="00F80846" w:rsidRPr="00E5064A">
        <w:rPr>
          <w:rFonts w:ascii="Palatino Linotype" w:hAnsi="Palatino Linotype"/>
          <w:sz w:val="22"/>
          <w:szCs w:val="22"/>
        </w:rPr>
        <w:t xml:space="preserve">In </w:t>
      </w:r>
      <w:r w:rsidR="00F80846" w:rsidRPr="00036203">
        <w:rPr>
          <w:rFonts w:ascii="Palatino Linotype" w:hAnsi="Palatino Linotype"/>
          <w:sz w:val="22"/>
          <w:szCs w:val="22"/>
        </w:rPr>
        <w:t>general, whe</w:t>
      </w:r>
      <w:r w:rsidR="00F80846">
        <w:rPr>
          <w:rFonts w:ascii="Palatino Linotype" w:hAnsi="Palatino Linotype"/>
          <w:sz w:val="22"/>
          <w:szCs w:val="22"/>
        </w:rPr>
        <w:t>n</w:t>
      </w:r>
      <w:r w:rsidR="00F80846" w:rsidRPr="00036203">
        <w:rPr>
          <w:rFonts w:ascii="Palatino Linotype" w:hAnsi="Palatino Linotype"/>
          <w:sz w:val="22"/>
          <w:szCs w:val="22"/>
        </w:rPr>
        <w:t xml:space="preserve"> a budget is projected to exceed </w:t>
      </w:r>
      <w:r w:rsidR="00FC77B4">
        <w:rPr>
          <w:rFonts w:ascii="Palatino Linotype" w:hAnsi="Palatino Linotype"/>
          <w:sz w:val="22"/>
          <w:szCs w:val="22"/>
        </w:rPr>
        <w:t>its</w:t>
      </w:r>
      <w:r w:rsidR="00F80846" w:rsidRPr="00036203">
        <w:rPr>
          <w:rFonts w:ascii="Palatino Linotype" w:hAnsi="Palatino Linotype"/>
          <w:sz w:val="22"/>
          <w:szCs w:val="22"/>
        </w:rPr>
        <w:t xml:space="preserve"> approved Net County Cost, departments have been asked to make every effort to come in within the budgeted Net County Cost level.  </w:t>
      </w:r>
      <w:r w:rsidR="00762954">
        <w:rPr>
          <w:rFonts w:ascii="Palatino Linotype" w:hAnsi="Palatino Linotype"/>
          <w:sz w:val="22"/>
          <w:szCs w:val="22"/>
        </w:rPr>
        <w:t xml:space="preserve">In some cases, however, </w:t>
      </w:r>
      <w:r w:rsidR="00BF01F6">
        <w:rPr>
          <w:rFonts w:ascii="Palatino Linotype" w:hAnsi="Palatino Linotype"/>
          <w:sz w:val="22"/>
          <w:szCs w:val="22"/>
        </w:rPr>
        <w:t xml:space="preserve">budget adjustments </w:t>
      </w:r>
      <w:r w:rsidR="00BF01F6">
        <w:rPr>
          <w:rFonts w:ascii="Palatino Linotype" w:hAnsi="Palatino Linotype"/>
          <w:sz w:val="22"/>
          <w:szCs w:val="22"/>
        </w:rPr>
        <w:lastRenderedPageBreak/>
        <w:t xml:space="preserve">are </w:t>
      </w:r>
      <w:r w:rsidR="00B03F80">
        <w:rPr>
          <w:rFonts w:ascii="Palatino Linotype" w:hAnsi="Palatino Linotype"/>
          <w:sz w:val="22"/>
          <w:szCs w:val="22"/>
        </w:rPr>
        <w:t>needed</w:t>
      </w:r>
      <w:r w:rsidR="00BF01F6">
        <w:rPr>
          <w:rFonts w:ascii="Palatino Linotype" w:hAnsi="Palatino Linotype"/>
          <w:sz w:val="22"/>
          <w:szCs w:val="22"/>
        </w:rPr>
        <w:t xml:space="preserve"> to ensure that there is sufficient appropriations authority to cover </w:t>
      </w:r>
      <w:r w:rsidR="005F5851">
        <w:rPr>
          <w:rFonts w:ascii="Palatino Linotype" w:hAnsi="Palatino Linotype"/>
          <w:sz w:val="22"/>
          <w:szCs w:val="22"/>
        </w:rPr>
        <w:t xml:space="preserve">additional </w:t>
      </w:r>
      <w:r w:rsidR="00C84A93">
        <w:rPr>
          <w:rFonts w:ascii="Palatino Linotype" w:hAnsi="Palatino Linotype"/>
          <w:sz w:val="22"/>
          <w:szCs w:val="22"/>
        </w:rPr>
        <w:t xml:space="preserve">known </w:t>
      </w:r>
      <w:r w:rsidR="00BF01F6">
        <w:rPr>
          <w:rFonts w:ascii="Palatino Linotype" w:hAnsi="Palatino Linotype"/>
          <w:sz w:val="22"/>
          <w:szCs w:val="22"/>
        </w:rPr>
        <w:t>expenditures</w:t>
      </w:r>
      <w:r w:rsidR="00FC77B4" w:rsidRPr="00FC77B4">
        <w:rPr>
          <w:rFonts w:ascii="Palatino Linotype" w:hAnsi="Palatino Linotype"/>
          <w:sz w:val="22"/>
          <w:szCs w:val="22"/>
        </w:rPr>
        <w:t>.</w:t>
      </w:r>
    </w:p>
    <w:p w:rsidR="00BF01F6" w:rsidRDefault="00BF01F6" w:rsidP="006E0425">
      <w:pPr>
        <w:rPr>
          <w:rFonts w:ascii="Palatino Linotype" w:hAnsi="Palatino Linotype"/>
          <w:sz w:val="22"/>
          <w:szCs w:val="22"/>
        </w:rPr>
      </w:pPr>
    </w:p>
    <w:p w:rsidR="00F80846" w:rsidRDefault="0070692D" w:rsidP="00222C16">
      <w:pPr>
        <w:rPr>
          <w:rFonts w:ascii="Palatino Linotype" w:hAnsi="Palatino Linotype"/>
          <w:sz w:val="22"/>
          <w:szCs w:val="22"/>
        </w:rPr>
      </w:pPr>
      <w:r>
        <w:rPr>
          <w:rFonts w:ascii="Palatino Linotype" w:hAnsi="Palatino Linotype"/>
          <w:sz w:val="22"/>
          <w:szCs w:val="22"/>
        </w:rPr>
        <w:t>D</w:t>
      </w:r>
      <w:r w:rsidR="00F80846" w:rsidRPr="00036203">
        <w:rPr>
          <w:rFonts w:ascii="Palatino Linotype" w:hAnsi="Palatino Linotype"/>
          <w:sz w:val="22"/>
          <w:szCs w:val="22"/>
        </w:rPr>
        <w:t>epartments</w:t>
      </w:r>
      <w:r w:rsidR="00BF01F6">
        <w:rPr>
          <w:rFonts w:ascii="Palatino Linotype" w:hAnsi="Palatino Linotype"/>
          <w:sz w:val="22"/>
          <w:szCs w:val="22"/>
        </w:rPr>
        <w:t>’</w:t>
      </w:r>
      <w:r w:rsidR="00F80846" w:rsidRPr="00036203">
        <w:rPr>
          <w:rFonts w:ascii="Palatino Linotype" w:hAnsi="Palatino Linotype"/>
          <w:sz w:val="22"/>
          <w:szCs w:val="22"/>
        </w:rPr>
        <w:t xml:space="preserve"> fiscal status </w:t>
      </w:r>
      <w:r w:rsidR="00630677">
        <w:rPr>
          <w:rFonts w:ascii="Palatino Linotype" w:hAnsi="Palatino Linotype"/>
          <w:sz w:val="22"/>
          <w:szCs w:val="22"/>
        </w:rPr>
        <w:t>will be</w:t>
      </w:r>
      <w:r w:rsidR="00F80846" w:rsidRPr="00036203">
        <w:rPr>
          <w:rFonts w:ascii="Palatino Linotype" w:hAnsi="Palatino Linotype"/>
          <w:sz w:val="22"/>
          <w:szCs w:val="22"/>
        </w:rPr>
        <w:t xml:space="preserve"> revisited </w:t>
      </w:r>
      <w:r w:rsidR="00F80846">
        <w:rPr>
          <w:rFonts w:ascii="Palatino Linotype" w:hAnsi="Palatino Linotype"/>
          <w:sz w:val="22"/>
          <w:szCs w:val="22"/>
        </w:rPr>
        <w:t>later in the fiscal year</w:t>
      </w:r>
      <w:r w:rsidR="00F80846" w:rsidRPr="00036203">
        <w:rPr>
          <w:rFonts w:ascii="Palatino Linotype" w:hAnsi="Palatino Linotype"/>
          <w:sz w:val="22"/>
          <w:szCs w:val="22"/>
        </w:rPr>
        <w:t xml:space="preserve">, and </w:t>
      </w:r>
      <w:r w:rsidR="00F80846">
        <w:rPr>
          <w:rFonts w:ascii="Palatino Linotype" w:hAnsi="Palatino Linotype"/>
          <w:sz w:val="22"/>
          <w:szCs w:val="22"/>
        </w:rPr>
        <w:t xml:space="preserve">additional </w:t>
      </w:r>
      <w:r w:rsidR="00F80846" w:rsidRPr="00036203">
        <w:rPr>
          <w:rFonts w:ascii="Palatino Linotype" w:hAnsi="Palatino Linotype"/>
          <w:sz w:val="22"/>
          <w:szCs w:val="22"/>
        </w:rPr>
        <w:t xml:space="preserve">budget adjustments </w:t>
      </w:r>
      <w:r w:rsidR="00BF01F6">
        <w:rPr>
          <w:rFonts w:ascii="Palatino Linotype" w:hAnsi="Palatino Linotype"/>
          <w:sz w:val="22"/>
          <w:szCs w:val="22"/>
        </w:rPr>
        <w:t>may</w:t>
      </w:r>
      <w:r w:rsidR="00630677">
        <w:rPr>
          <w:rFonts w:ascii="Palatino Linotype" w:hAnsi="Palatino Linotype"/>
          <w:sz w:val="22"/>
          <w:szCs w:val="22"/>
        </w:rPr>
        <w:t xml:space="preserve"> be</w:t>
      </w:r>
      <w:r w:rsidR="008F3232">
        <w:rPr>
          <w:rFonts w:ascii="Palatino Linotype" w:hAnsi="Palatino Linotype"/>
          <w:sz w:val="22"/>
          <w:szCs w:val="22"/>
        </w:rPr>
        <w:t xml:space="preserve"> recommended for </w:t>
      </w:r>
      <w:r w:rsidR="00F80846" w:rsidRPr="00036203">
        <w:rPr>
          <w:rFonts w:ascii="Palatino Linotype" w:hAnsi="Palatino Linotype"/>
          <w:sz w:val="22"/>
          <w:szCs w:val="22"/>
        </w:rPr>
        <w:t xml:space="preserve">affected </w:t>
      </w:r>
      <w:r w:rsidR="00892035">
        <w:rPr>
          <w:rFonts w:ascii="Palatino Linotype" w:hAnsi="Palatino Linotype"/>
          <w:sz w:val="22"/>
          <w:szCs w:val="22"/>
        </w:rPr>
        <w:t>budgets</w:t>
      </w:r>
      <w:r w:rsidR="00F80846" w:rsidRPr="00036203">
        <w:rPr>
          <w:rFonts w:ascii="Palatino Linotype" w:hAnsi="Palatino Linotype"/>
          <w:sz w:val="22"/>
          <w:szCs w:val="22"/>
        </w:rPr>
        <w:t xml:space="preserve"> to ensure that there is sufficient appropriation authority to cover projected expenditures that will occur between now and the </w:t>
      </w:r>
      <w:r w:rsidR="00F80846">
        <w:rPr>
          <w:rFonts w:ascii="Palatino Linotype" w:hAnsi="Palatino Linotype"/>
          <w:sz w:val="22"/>
          <w:szCs w:val="22"/>
        </w:rPr>
        <w:t>end of the fiscal year</w:t>
      </w:r>
      <w:r w:rsidR="00F80846" w:rsidRPr="00036203">
        <w:rPr>
          <w:rFonts w:ascii="Palatino Linotype" w:hAnsi="Palatino Linotype"/>
          <w:sz w:val="22"/>
          <w:szCs w:val="22"/>
        </w:rPr>
        <w:t xml:space="preserve">.  </w:t>
      </w:r>
    </w:p>
    <w:p w:rsidR="008A182E" w:rsidRDefault="008A182E" w:rsidP="00342368">
      <w:pPr>
        <w:rPr>
          <w:rFonts w:ascii="Palatino Linotype" w:hAnsi="Palatino Linotype"/>
        </w:rPr>
      </w:pPr>
    </w:p>
    <w:p w:rsidR="00342368" w:rsidRPr="00791CD2" w:rsidRDefault="00342368" w:rsidP="00FF26BA">
      <w:pPr>
        <w:jc w:val="center"/>
        <w:rPr>
          <w:rFonts w:ascii="Palatino Linotype" w:hAnsi="Palatino Linotype"/>
          <w:b/>
          <w:i/>
          <w:sz w:val="22"/>
          <w:szCs w:val="22"/>
          <w:u w:val="single"/>
        </w:rPr>
      </w:pPr>
      <w:r w:rsidRPr="00791CD2">
        <w:rPr>
          <w:rFonts w:ascii="Palatino Linotype" w:hAnsi="Palatino Linotype"/>
          <w:b/>
          <w:i/>
          <w:sz w:val="22"/>
          <w:szCs w:val="22"/>
          <w:u w:val="single"/>
        </w:rPr>
        <w:t>G</w:t>
      </w:r>
      <w:r w:rsidR="00C459A7" w:rsidRPr="00791CD2">
        <w:rPr>
          <w:rFonts w:ascii="Palatino Linotype" w:hAnsi="Palatino Linotype"/>
          <w:b/>
          <w:i/>
          <w:sz w:val="22"/>
          <w:szCs w:val="22"/>
          <w:u w:val="single"/>
        </w:rPr>
        <w:t>eneral Fund</w:t>
      </w:r>
      <w:r w:rsidR="00FF26BA" w:rsidRPr="00791CD2">
        <w:rPr>
          <w:rFonts w:ascii="Palatino Linotype" w:hAnsi="Palatino Linotype"/>
          <w:b/>
          <w:i/>
          <w:sz w:val="22"/>
          <w:szCs w:val="22"/>
          <w:u w:val="single"/>
        </w:rPr>
        <w:t xml:space="preserve"> Departments</w:t>
      </w:r>
    </w:p>
    <w:p w:rsidR="00342368" w:rsidRDefault="00342368" w:rsidP="00342368">
      <w:pPr>
        <w:rPr>
          <w:rFonts w:ascii="Palatino Linotype" w:hAnsi="Palatino Linotype"/>
        </w:rPr>
      </w:pPr>
    </w:p>
    <w:p w:rsidR="00877DBA" w:rsidRDefault="00877DBA" w:rsidP="00877DBA">
      <w:pPr>
        <w:pStyle w:val="ListParagraph"/>
        <w:numPr>
          <w:ilvl w:val="0"/>
          <w:numId w:val="6"/>
        </w:numPr>
        <w:spacing w:after="0" w:line="240" w:lineRule="auto"/>
        <w:rPr>
          <w:rFonts w:ascii="Palatino Linotype" w:hAnsi="Palatino Linotype"/>
        </w:rPr>
      </w:pPr>
      <w:r w:rsidRPr="00A95ACC">
        <w:rPr>
          <w:rFonts w:ascii="Palatino Linotype" w:hAnsi="Palatino Linotype"/>
          <w:u w:val="single"/>
        </w:rPr>
        <w:t>Emergency Services</w:t>
      </w:r>
      <w:r>
        <w:rPr>
          <w:rFonts w:ascii="Palatino Linotype" w:hAnsi="Palatino Linotype"/>
        </w:rPr>
        <w:t>:</w:t>
      </w:r>
    </w:p>
    <w:p w:rsidR="00877DBA" w:rsidRDefault="00877DBA" w:rsidP="00877DBA">
      <w:pPr>
        <w:pStyle w:val="ListParagraph"/>
        <w:spacing w:after="0" w:line="240" w:lineRule="auto"/>
        <w:rPr>
          <w:rFonts w:ascii="Palatino Linotype" w:hAnsi="Palatino Linotype"/>
        </w:rPr>
      </w:pPr>
    </w:p>
    <w:p w:rsidR="00877DBA" w:rsidRPr="002E17D9" w:rsidRDefault="00877DBA" w:rsidP="00877DBA">
      <w:pPr>
        <w:pStyle w:val="ListParagraph"/>
        <w:spacing w:after="0" w:line="240" w:lineRule="auto"/>
        <w:rPr>
          <w:rFonts w:ascii="Palatino Linotype" w:hAnsi="Palatino Linotype"/>
        </w:rPr>
      </w:pPr>
      <w:r w:rsidRPr="002E17D9">
        <w:rPr>
          <w:rFonts w:ascii="Palatino Linotype" w:hAnsi="Palatino Linotype"/>
        </w:rPr>
        <w:t xml:space="preserve">Net County Cost is expected to increase by $73,608 primarily as a result of the loss of $72,000 in funding from the Fire Protection Fund for a half-time Liaison Officer position.  That revenue previously funded a portion of the County’s Emergency Services Officer position, which will now be funded entirely by the County General Fund.  </w:t>
      </w:r>
      <w:r w:rsidR="001B1029">
        <w:rPr>
          <w:rFonts w:ascii="Palatino Linotype" w:hAnsi="Palatino Linotype"/>
        </w:rPr>
        <w:t>However, n</w:t>
      </w:r>
      <w:r w:rsidRPr="002E17D9">
        <w:rPr>
          <w:rFonts w:ascii="Palatino Linotype" w:hAnsi="Palatino Linotype"/>
        </w:rPr>
        <w:t>o budget adjustments are needed, since expenditures will remain well within the budgeted amount.</w:t>
      </w:r>
    </w:p>
    <w:p w:rsidR="00877DBA" w:rsidRPr="002E17D9" w:rsidRDefault="00877DBA" w:rsidP="00877DBA">
      <w:pPr>
        <w:pStyle w:val="ListParagraph"/>
        <w:spacing w:after="0" w:line="240" w:lineRule="auto"/>
        <w:rPr>
          <w:rFonts w:ascii="Palatino Linotype" w:hAnsi="Palatino Linotype"/>
        </w:rPr>
      </w:pPr>
    </w:p>
    <w:p w:rsidR="00342368" w:rsidRPr="002013D6" w:rsidRDefault="003159B5" w:rsidP="002013D6">
      <w:pPr>
        <w:jc w:val="center"/>
        <w:rPr>
          <w:rFonts w:ascii="Palatino Linotype" w:hAnsi="Palatino Linotype"/>
          <w:b/>
          <w:i/>
          <w:sz w:val="22"/>
          <w:szCs w:val="22"/>
          <w:u w:val="single"/>
        </w:rPr>
      </w:pPr>
      <w:r w:rsidRPr="002013D6">
        <w:rPr>
          <w:rFonts w:ascii="Palatino Linotype" w:hAnsi="Palatino Linotype"/>
          <w:b/>
          <w:i/>
          <w:sz w:val="22"/>
          <w:szCs w:val="22"/>
          <w:u w:val="single"/>
        </w:rPr>
        <w:t>Other Funds</w:t>
      </w:r>
    </w:p>
    <w:p w:rsidR="00342368" w:rsidRPr="003159B5" w:rsidRDefault="00342368" w:rsidP="00342368">
      <w:pPr>
        <w:rPr>
          <w:rFonts w:ascii="Palatino Linotype" w:hAnsi="Palatino Linotype"/>
          <w:sz w:val="22"/>
          <w:szCs w:val="22"/>
        </w:rPr>
      </w:pPr>
    </w:p>
    <w:p w:rsidR="00DB0B08" w:rsidRDefault="00173F0A" w:rsidP="006556A3">
      <w:pPr>
        <w:pStyle w:val="ListParagraph"/>
        <w:numPr>
          <w:ilvl w:val="0"/>
          <w:numId w:val="6"/>
        </w:numPr>
        <w:spacing w:after="0" w:line="240" w:lineRule="auto"/>
        <w:rPr>
          <w:rFonts w:ascii="Palatino Linotype" w:hAnsi="Palatino Linotype"/>
        </w:rPr>
      </w:pPr>
      <w:r w:rsidRPr="002E17D9">
        <w:rPr>
          <w:rFonts w:ascii="Palatino Linotype" w:hAnsi="Palatino Linotype"/>
          <w:u w:val="single"/>
        </w:rPr>
        <w:t>Health and Human Services Agency</w:t>
      </w:r>
      <w:r w:rsidR="00F70E58">
        <w:rPr>
          <w:rFonts w:ascii="Palatino Linotype" w:hAnsi="Palatino Linotype"/>
          <w:u w:val="single"/>
        </w:rPr>
        <w:t>,</w:t>
      </w:r>
      <w:r w:rsidRPr="002E17D9">
        <w:rPr>
          <w:rFonts w:ascii="Palatino Linotype" w:hAnsi="Palatino Linotype"/>
          <w:u w:val="single"/>
        </w:rPr>
        <w:t xml:space="preserve"> HHSA</w:t>
      </w:r>
      <w:r w:rsidR="00F70E58">
        <w:rPr>
          <w:rFonts w:ascii="Palatino Linotype" w:hAnsi="Palatino Linotype"/>
          <w:u w:val="single"/>
        </w:rPr>
        <w:t xml:space="preserve"> (Fund 2000</w:t>
      </w:r>
      <w:r w:rsidRPr="002E17D9">
        <w:rPr>
          <w:rFonts w:ascii="Palatino Linotype" w:hAnsi="Palatino Linotype"/>
          <w:u w:val="single"/>
        </w:rPr>
        <w:t>)</w:t>
      </w:r>
      <w:r w:rsidRPr="002E17D9">
        <w:rPr>
          <w:rFonts w:ascii="Palatino Linotype" w:hAnsi="Palatino Linotype"/>
        </w:rPr>
        <w:t xml:space="preserve">: </w:t>
      </w:r>
    </w:p>
    <w:p w:rsidR="00DB0B08" w:rsidRDefault="00DB0B08" w:rsidP="00DB0B08">
      <w:pPr>
        <w:pStyle w:val="ListParagraph"/>
        <w:spacing w:after="0" w:line="240" w:lineRule="auto"/>
        <w:rPr>
          <w:rFonts w:ascii="Palatino Linotype" w:hAnsi="Palatino Linotype"/>
        </w:rPr>
      </w:pPr>
    </w:p>
    <w:p w:rsidR="00D94810" w:rsidRPr="002E17D9" w:rsidRDefault="00173F0A" w:rsidP="00DB0B08">
      <w:pPr>
        <w:pStyle w:val="ListParagraph"/>
        <w:spacing w:after="0" w:line="240" w:lineRule="auto"/>
        <w:rPr>
          <w:rFonts w:ascii="Palatino Linotype" w:hAnsi="Palatino Linotype"/>
        </w:rPr>
      </w:pPr>
      <w:r w:rsidRPr="002E17D9">
        <w:rPr>
          <w:rFonts w:ascii="Palatino Linotype" w:hAnsi="Palatino Linotype"/>
        </w:rPr>
        <w:t xml:space="preserve">HHSA has a budget of approximately $110 million that includes a </w:t>
      </w:r>
      <w:r w:rsidR="00273E1A" w:rsidRPr="002E17D9">
        <w:rPr>
          <w:rFonts w:ascii="Palatino Linotype" w:hAnsi="Palatino Linotype"/>
        </w:rPr>
        <w:t xml:space="preserve">budgeted </w:t>
      </w:r>
      <w:r w:rsidRPr="002E17D9">
        <w:rPr>
          <w:rFonts w:ascii="Palatino Linotype" w:hAnsi="Palatino Linotype"/>
        </w:rPr>
        <w:t xml:space="preserve">General Fund contribution </w:t>
      </w:r>
      <w:r w:rsidRPr="00554FCC">
        <w:rPr>
          <w:rFonts w:ascii="Palatino Linotype" w:hAnsi="Palatino Linotype"/>
        </w:rPr>
        <w:t>of $1</w:t>
      </w:r>
      <w:r w:rsidR="00554FCC" w:rsidRPr="00554FCC">
        <w:rPr>
          <w:rFonts w:ascii="Palatino Linotype" w:hAnsi="Palatino Linotype"/>
        </w:rPr>
        <w:t>6.5</w:t>
      </w:r>
      <w:r w:rsidRPr="00554FCC">
        <w:rPr>
          <w:rFonts w:ascii="Palatino Linotype" w:hAnsi="Palatino Linotype"/>
        </w:rPr>
        <w:t xml:space="preserve"> million.  </w:t>
      </w:r>
      <w:r w:rsidR="00273E1A" w:rsidRPr="00554FCC">
        <w:rPr>
          <w:rFonts w:ascii="Palatino Linotype" w:hAnsi="Palatino Linotype"/>
        </w:rPr>
        <w:t>In</w:t>
      </w:r>
      <w:r w:rsidR="0001029B" w:rsidRPr="00554FCC">
        <w:rPr>
          <w:rFonts w:ascii="Palatino Linotype" w:hAnsi="Palatino Linotype"/>
        </w:rPr>
        <w:t xml:space="preserve">cluded in the $110 million </w:t>
      </w:r>
      <w:r w:rsidR="00660D89" w:rsidRPr="00554FCC">
        <w:rPr>
          <w:rFonts w:ascii="Palatino Linotype" w:hAnsi="Palatino Linotype"/>
        </w:rPr>
        <w:t>for</w:t>
      </w:r>
      <w:r w:rsidR="00273E1A" w:rsidRPr="00554FCC">
        <w:rPr>
          <w:rFonts w:ascii="Palatino Linotype" w:hAnsi="Palatino Linotype"/>
        </w:rPr>
        <w:t xml:space="preserve"> </w:t>
      </w:r>
      <w:r w:rsidR="00660D89" w:rsidRPr="00554FCC">
        <w:rPr>
          <w:rFonts w:ascii="Palatino Linotype" w:hAnsi="Palatino Linotype"/>
        </w:rPr>
        <w:t xml:space="preserve">FY </w:t>
      </w:r>
      <w:r w:rsidR="00273E1A" w:rsidRPr="00554FCC">
        <w:rPr>
          <w:rFonts w:ascii="Palatino Linotype" w:hAnsi="Palatino Linotype"/>
        </w:rPr>
        <w:t>2016-17</w:t>
      </w:r>
      <w:r w:rsidR="0001029B" w:rsidRPr="00554FCC">
        <w:rPr>
          <w:rFonts w:ascii="Palatino Linotype" w:hAnsi="Palatino Linotype"/>
        </w:rPr>
        <w:t xml:space="preserve"> is </w:t>
      </w:r>
      <w:r w:rsidR="00B3111A">
        <w:rPr>
          <w:rFonts w:ascii="Palatino Linotype" w:hAnsi="Palatino Linotype"/>
        </w:rPr>
        <w:t>a</w:t>
      </w:r>
      <w:r w:rsidR="00660D89" w:rsidRPr="00554FCC">
        <w:rPr>
          <w:rFonts w:ascii="Palatino Linotype" w:hAnsi="Palatino Linotype"/>
        </w:rPr>
        <w:t xml:space="preserve"> </w:t>
      </w:r>
      <w:r w:rsidR="00273E1A" w:rsidRPr="00554FCC">
        <w:rPr>
          <w:rFonts w:ascii="Palatino Linotype" w:hAnsi="Palatino Linotype"/>
        </w:rPr>
        <w:t xml:space="preserve">$3.7 million one-time cost (funded by </w:t>
      </w:r>
      <w:r w:rsidR="006278F9">
        <w:rPr>
          <w:rFonts w:ascii="Palatino Linotype" w:hAnsi="Palatino Linotype"/>
        </w:rPr>
        <w:t xml:space="preserve">use of the </w:t>
      </w:r>
      <w:r w:rsidR="00273E1A" w:rsidRPr="00554FCC">
        <w:rPr>
          <w:rFonts w:ascii="Palatino Linotype" w:hAnsi="Palatino Linotype"/>
        </w:rPr>
        <w:t xml:space="preserve">HHSA </w:t>
      </w:r>
      <w:r w:rsidR="006278F9">
        <w:rPr>
          <w:rFonts w:ascii="Palatino Linotype" w:hAnsi="Palatino Linotype"/>
        </w:rPr>
        <w:t>fund balance</w:t>
      </w:r>
      <w:r w:rsidR="00273E1A" w:rsidRPr="00554FCC">
        <w:rPr>
          <w:rFonts w:ascii="Palatino Linotype" w:hAnsi="Palatino Linotype"/>
        </w:rPr>
        <w:t>) of building</w:t>
      </w:r>
      <w:r w:rsidR="000F7B9C" w:rsidRPr="00554FCC">
        <w:rPr>
          <w:rFonts w:ascii="Palatino Linotype" w:hAnsi="Palatino Linotype"/>
        </w:rPr>
        <w:t>/</w:t>
      </w:r>
      <w:r w:rsidR="00273E1A" w:rsidRPr="00554FCC">
        <w:rPr>
          <w:rFonts w:ascii="Palatino Linotype" w:hAnsi="Palatino Linotype"/>
        </w:rPr>
        <w:t xml:space="preserve">relocating the Therapeutic Child Care Center </w:t>
      </w:r>
      <w:r w:rsidR="006556E6" w:rsidRPr="00554FCC">
        <w:rPr>
          <w:rFonts w:ascii="Palatino Linotype" w:hAnsi="Palatino Linotype"/>
        </w:rPr>
        <w:t>(TCCC)</w:t>
      </w:r>
      <w:r w:rsidR="006556E6" w:rsidRPr="002E17D9">
        <w:rPr>
          <w:rFonts w:ascii="Palatino Linotype" w:hAnsi="Palatino Linotype"/>
        </w:rPr>
        <w:t xml:space="preserve"> </w:t>
      </w:r>
      <w:r w:rsidR="00273E1A" w:rsidRPr="002E17D9">
        <w:rPr>
          <w:rFonts w:ascii="Palatino Linotype" w:hAnsi="Palatino Linotype"/>
        </w:rPr>
        <w:t xml:space="preserve">to South Campus. </w:t>
      </w:r>
    </w:p>
    <w:p w:rsidR="00D94810" w:rsidRDefault="00D94810" w:rsidP="006556A3">
      <w:pPr>
        <w:rPr>
          <w:rFonts w:ascii="Palatino Linotype" w:eastAsia="Calibri" w:hAnsi="Palatino Linotype"/>
          <w:sz w:val="22"/>
          <w:szCs w:val="22"/>
        </w:rPr>
      </w:pPr>
    </w:p>
    <w:p w:rsidR="00827937" w:rsidRDefault="006278F9" w:rsidP="006556A3">
      <w:pPr>
        <w:ind w:left="720"/>
        <w:rPr>
          <w:rFonts w:ascii="Palatino Linotype" w:eastAsia="Calibri" w:hAnsi="Palatino Linotype"/>
          <w:sz w:val="22"/>
          <w:szCs w:val="22"/>
        </w:rPr>
      </w:pPr>
      <w:r>
        <w:rPr>
          <w:rFonts w:ascii="Palatino Linotype" w:eastAsia="Calibri" w:hAnsi="Palatino Linotype"/>
          <w:sz w:val="22"/>
          <w:szCs w:val="22"/>
        </w:rPr>
        <w:t>I</w:t>
      </w:r>
      <w:r w:rsidR="001B2262" w:rsidRPr="00827937">
        <w:rPr>
          <w:rFonts w:ascii="Palatino Linotype" w:eastAsia="Calibri" w:hAnsi="Palatino Linotype"/>
          <w:sz w:val="22"/>
          <w:szCs w:val="22"/>
        </w:rPr>
        <w:t xml:space="preserve">ndividual divisions within HHSA </w:t>
      </w:r>
      <w:r w:rsidR="00827937">
        <w:rPr>
          <w:rFonts w:ascii="Palatino Linotype" w:eastAsia="Calibri" w:hAnsi="Palatino Linotype"/>
          <w:sz w:val="22"/>
          <w:szCs w:val="22"/>
        </w:rPr>
        <w:t xml:space="preserve">are estimated to </w:t>
      </w:r>
      <w:r w:rsidR="001B2262" w:rsidRPr="00827937">
        <w:rPr>
          <w:rFonts w:ascii="Palatino Linotype" w:eastAsia="Calibri" w:hAnsi="Palatino Linotype"/>
          <w:sz w:val="22"/>
          <w:szCs w:val="22"/>
        </w:rPr>
        <w:t xml:space="preserve">have </w:t>
      </w:r>
      <w:r w:rsidR="00827937">
        <w:rPr>
          <w:rFonts w:ascii="Palatino Linotype" w:eastAsia="Calibri" w:hAnsi="Palatino Linotype"/>
          <w:sz w:val="22"/>
          <w:szCs w:val="22"/>
        </w:rPr>
        <w:t xml:space="preserve">both </w:t>
      </w:r>
      <w:r w:rsidR="001B2262" w:rsidRPr="00827937">
        <w:rPr>
          <w:rFonts w:ascii="Palatino Linotype" w:eastAsia="Calibri" w:hAnsi="Palatino Linotype"/>
          <w:sz w:val="22"/>
          <w:szCs w:val="22"/>
        </w:rPr>
        <w:t xml:space="preserve">increases and decreases in </w:t>
      </w:r>
      <w:r w:rsidR="00BF6D34">
        <w:rPr>
          <w:rFonts w:ascii="Palatino Linotype" w:eastAsia="Calibri" w:hAnsi="Palatino Linotype"/>
          <w:sz w:val="22"/>
          <w:szCs w:val="22"/>
        </w:rPr>
        <w:t>Use of Fund Balance</w:t>
      </w:r>
      <w:r w:rsidR="001B2262" w:rsidRPr="00827937">
        <w:rPr>
          <w:rFonts w:ascii="Palatino Linotype" w:eastAsia="Calibri" w:hAnsi="Palatino Linotype"/>
          <w:sz w:val="22"/>
          <w:szCs w:val="22"/>
        </w:rPr>
        <w:t xml:space="preserve"> this year</w:t>
      </w:r>
      <w:r>
        <w:rPr>
          <w:rFonts w:ascii="Palatino Linotype" w:eastAsia="Calibri" w:hAnsi="Palatino Linotype"/>
          <w:sz w:val="22"/>
          <w:szCs w:val="22"/>
        </w:rPr>
        <w:t>; however, the HHSA budgets are treated in total as a single bottom-line budget for calculating Use of Fund Balance.</w:t>
      </w:r>
      <w:r w:rsidR="00827937">
        <w:rPr>
          <w:rFonts w:ascii="Palatino Linotype" w:eastAsia="Calibri" w:hAnsi="Palatino Linotype"/>
          <w:sz w:val="22"/>
          <w:szCs w:val="22"/>
        </w:rPr>
        <w:t xml:space="preserve"> </w:t>
      </w:r>
    </w:p>
    <w:p w:rsidR="006278F9" w:rsidRDefault="006278F9" w:rsidP="00162B86">
      <w:pPr>
        <w:ind w:left="720"/>
        <w:rPr>
          <w:rFonts w:ascii="Palatino Linotype" w:hAnsi="Palatino Linotype"/>
          <w:sz w:val="22"/>
          <w:szCs w:val="22"/>
        </w:rPr>
      </w:pPr>
    </w:p>
    <w:p w:rsidR="00BF6D34" w:rsidRDefault="00173F0A" w:rsidP="00162B86">
      <w:pPr>
        <w:ind w:left="720"/>
        <w:rPr>
          <w:rFonts w:ascii="Palatino Linotype" w:hAnsi="Palatino Linotype"/>
          <w:sz w:val="22"/>
          <w:szCs w:val="22"/>
        </w:rPr>
      </w:pPr>
      <w:r w:rsidRPr="00D94810">
        <w:rPr>
          <w:rFonts w:ascii="Palatino Linotype" w:hAnsi="Palatino Linotype"/>
          <w:sz w:val="22"/>
          <w:szCs w:val="22"/>
        </w:rPr>
        <w:t xml:space="preserve">For the agency as a whole, HHSA </w:t>
      </w:r>
      <w:r w:rsidR="00D32C39">
        <w:rPr>
          <w:rFonts w:ascii="Palatino Linotype" w:hAnsi="Palatino Linotype"/>
          <w:sz w:val="22"/>
          <w:szCs w:val="22"/>
        </w:rPr>
        <w:t>estimates</w:t>
      </w:r>
      <w:r w:rsidRPr="00D94810">
        <w:rPr>
          <w:rFonts w:ascii="Palatino Linotype" w:hAnsi="Palatino Linotype"/>
          <w:sz w:val="22"/>
          <w:szCs w:val="22"/>
        </w:rPr>
        <w:t xml:space="preserve"> that revenues will be $2.4 million lower and expenditures $2.2 million lower than the Adjusted Budget level for a negative variance </w:t>
      </w:r>
      <w:r w:rsidR="00C07931">
        <w:rPr>
          <w:rFonts w:ascii="Palatino Linotype" w:hAnsi="Palatino Linotype"/>
          <w:sz w:val="22"/>
          <w:szCs w:val="22"/>
        </w:rPr>
        <w:t xml:space="preserve">and </w:t>
      </w:r>
      <w:r w:rsidR="00CF3EC3">
        <w:rPr>
          <w:rFonts w:ascii="Palatino Linotype" w:hAnsi="Palatino Linotype"/>
          <w:sz w:val="22"/>
          <w:szCs w:val="22"/>
        </w:rPr>
        <w:t xml:space="preserve">increased </w:t>
      </w:r>
      <w:r w:rsidRPr="00D94810">
        <w:rPr>
          <w:rFonts w:ascii="Palatino Linotype" w:hAnsi="Palatino Linotype"/>
          <w:sz w:val="22"/>
          <w:szCs w:val="22"/>
        </w:rPr>
        <w:t xml:space="preserve">use of </w:t>
      </w:r>
      <w:r w:rsidR="000F7B9C">
        <w:rPr>
          <w:rFonts w:ascii="Palatino Linotype" w:hAnsi="Palatino Linotype"/>
          <w:sz w:val="22"/>
          <w:szCs w:val="22"/>
        </w:rPr>
        <w:t xml:space="preserve">HHSA </w:t>
      </w:r>
      <w:r w:rsidR="000719CB">
        <w:rPr>
          <w:rFonts w:ascii="Palatino Linotype" w:hAnsi="Palatino Linotype"/>
          <w:sz w:val="22"/>
          <w:szCs w:val="22"/>
        </w:rPr>
        <w:t xml:space="preserve">fund balance of </w:t>
      </w:r>
      <w:r w:rsidRPr="00D94810">
        <w:rPr>
          <w:rFonts w:ascii="Palatino Linotype" w:hAnsi="Palatino Linotype"/>
          <w:sz w:val="22"/>
          <w:szCs w:val="22"/>
        </w:rPr>
        <w:t>$179,630</w:t>
      </w:r>
      <w:r w:rsidR="00BF6D34">
        <w:rPr>
          <w:rFonts w:ascii="Palatino Linotype" w:hAnsi="Palatino Linotype"/>
          <w:sz w:val="22"/>
          <w:szCs w:val="22"/>
        </w:rPr>
        <w:t xml:space="preserve"> above the </w:t>
      </w:r>
      <w:r w:rsidR="00BF6D34" w:rsidRPr="00D76E05">
        <w:rPr>
          <w:rFonts w:ascii="Palatino Linotype" w:hAnsi="Palatino Linotype"/>
          <w:sz w:val="22"/>
          <w:szCs w:val="22"/>
        </w:rPr>
        <w:t>$4.2 million budgeted use of fund balance</w:t>
      </w:r>
      <w:r w:rsidRPr="00D76E05">
        <w:rPr>
          <w:rFonts w:ascii="Palatino Linotype" w:hAnsi="Palatino Linotype"/>
          <w:sz w:val="22"/>
          <w:szCs w:val="22"/>
        </w:rPr>
        <w:t>.</w:t>
      </w:r>
      <w:r w:rsidR="00BF6D34">
        <w:rPr>
          <w:rFonts w:ascii="Palatino Linotype" w:hAnsi="Palatino Linotype"/>
          <w:sz w:val="22"/>
          <w:szCs w:val="22"/>
        </w:rPr>
        <w:t xml:space="preserve"> </w:t>
      </w:r>
    </w:p>
    <w:p w:rsidR="00BF6D34" w:rsidRDefault="00BF6D34" w:rsidP="00162B86">
      <w:pPr>
        <w:ind w:left="720"/>
        <w:rPr>
          <w:rFonts w:ascii="Palatino Linotype" w:hAnsi="Palatino Linotype"/>
          <w:sz w:val="22"/>
          <w:szCs w:val="22"/>
        </w:rPr>
      </w:pPr>
    </w:p>
    <w:p w:rsidR="004D34C5" w:rsidRDefault="00BF6D34" w:rsidP="00162B86">
      <w:pPr>
        <w:ind w:left="720"/>
        <w:rPr>
          <w:rFonts w:ascii="Palatino Linotype" w:hAnsi="Palatino Linotype"/>
          <w:sz w:val="22"/>
          <w:szCs w:val="22"/>
        </w:rPr>
      </w:pPr>
      <w:r>
        <w:rPr>
          <w:rFonts w:ascii="Palatino Linotype" w:hAnsi="Palatino Linotype"/>
          <w:sz w:val="22"/>
          <w:szCs w:val="22"/>
        </w:rPr>
        <w:t>S</w:t>
      </w:r>
      <w:r w:rsidR="000719CB">
        <w:rPr>
          <w:rFonts w:ascii="Palatino Linotype" w:hAnsi="Palatino Linotype"/>
          <w:sz w:val="22"/>
          <w:szCs w:val="22"/>
        </w:rPr>
        <w:t>everal</w:t>
      </w:r>
      <w:r w:rsidR="004D34C5" w:rsidRPr="004D34C5">
        <w:rPr>
          <w:rFonts w:ascii="Palatino Linotype" w:hAnsi="Palatino Linotype"/>
          <w:sz w:val="22"/>
          <w:szCs w:val="22"/>
        </w:rPr>
        <w:t xml:space="preserve"> factors</w:t>
      </w:r>
      <w:r w:rsidR="00173F0A" w:rsidRPr="004D34C5">
        <w:rPr>
          <w:rFonts w:ascii="Palatino Linotype" w:hAnsi="Palatino Linotype"/>
          <w:sz w:val="22"/>
          <w:szCs w:val="22"/>
        </w:rPr>
        <w:t xml:space="preserve"> </w:t>
      </w:r>
      <w:r w:rsidR="000719CB">
        <w:rPr>
          <w:rFonts w:ascii="Palatino Linotype" w:hAnsi="Palatino Linotype"/>
          <w:sz w:val="22"/>
          <w:szCs w:val="22"/>
        </w:rPr>
        <w:t>may</w:t>
      </w:r>
      <w:r w:rsidR="004D34C5">
        <w:rPr>
          <w:rFonts w:ascii="Palatino Linotype" w:hAnsi="Palatino Linotype"/>
          <w:sz w:val="22"/>
          <w:szCs w:val="22"/>
        </w:rPr>
        <w:t xml:space="preserve"> improve HHSA’s bottom line</w:t>
      </w:r>
      <w:r>
        <w:rPr>
          <w:rFonts w:ascii="Palatino Linotype" w:hAnsi="Palatino Linotype"/>
          <w:sz w:val="22"/>
          <w:szCs w:val="22"/>
        </w:rPr>
        <w:t xml:space="preserve"> by year end</w:t>
      </w:r>
      <w:r w:rsidR="004D34C5">
        <w:rPr>
          <w:rFonts w:ascii="Palatino Linotype" w:hAnsi="Palatino Linotype"/>
          <w:sz w:val="22"/>
          <w:szCs w:val="22"/>
        </w:rPr>
        <w:t>:</w:t>
      </w:r>
    </w:p>
    <w:p w:rsidR="00C23BF1" w:rsidRDefault="00C23BF1" w:rsidP="00C23BF1">
      <w:pPr>
        <w:pStyle w:val="ListParagraph"/>
        <w:spacing w:after="0" w:line="240" w:lineRule="auto"/>
        <w:ind w:left="1440"/>
        <w:rPr>
          <w:rFonts w:ascii="Palatino Linotype" w:hAnsi="Palatino Linotype"/>
        </w:rPr>
      </w:pPr>
    </w:p>
    <w:p w:rsidR="000719CB" w:rsidRPr="000719CB" w:rsidRDefault="00162B86" w:rsidP="000719CB">
      <w:pPr>
        <w:pStyle w:val="ListParagraph"/>
        <w:numPr>
          <w:ilvl w:val="1"/>
          <w:numId w:val="6"/>
        </w:numPr>
        <w:spacing w:after="0" w:line="240" w:lineRule="auto"/>
        <w:rPr>
          <w:rFonts w:ascii="Palatino Linotype" w:hAnsi="Palatino Linotype"/>
        </w:rPr>
      </w:pPr>
      <w:r>
        <w:rPr>
          <w:rFonts w:ascii="Palatino Linotype" w:hAnsi="Palatino Linotype"/>
        </w:rPr>
        <w:t>T</w:t>
      </w:r>
      <w:r w:rsidR="000719CB" w:rsidRPr="000719CB">
        <w:rPr>
          <w:rFonts w:ascii="Palatino Linotype" w:hAnsi="Palatino Linotype"/>
        </w:rPr>
        <w:t>he T</w:t>
      </w:r>
      <w:r w:rsidR="000F7B9C">
        <w:rPr>
          <w:rFonts w:ascii="Palatino Linotype" w:hAnsi="Palatino Linotype"/>
        </w:rPr>
        <w:t>herapeutic Child Care Center</w:t>
      </w:r>
      <w:r w:rsidR="000719CB" w:rsidRPr="000719CB">
        <w:rPr>
          <w:rFonts w:ascii="Palatino Linotype" w:hAnsi="Palatino Linotype"/>
        </w:rPr>
        <w:t xml:space="preserve"> project </w:t>
      </w:r>
      <w:r>
        <w:rPr>
          <w:rFonts w:ascii="Palatino Linotype" w:hAnsi="Palatino Linotype"/>
        </w:rPr>
        <w:t>may</w:t>
      </w:r>
      <w:r w:rsidR="000719CB" w:rsidRPr="000719CB">
        <w:rPr>
          <w:rFonts w:ascii="Palatino Linotype" w:hAnsi="Palatino Linotype"/>
        </w:rPr>
        <w:t xml:space="preserve"> not use all of its </w:t>
      </w:r>
      <w:r>
        <w:rPr>
          <w:rFonts w:ascii="Palatino Linotype" w:hAnsi="Palatino Linotype"/>
        </w:rPr>
        <w:t xml:space="preserve">budgeted </w:t>
      </w:r>
      <w:r w:rsidR="000719CB" w:rsidRPr="000719CB">
        <w:rPr>
          <w:rFonts w:ascii="Palatino Linotype" w:hAnsi="Palatino Linotype"/>
        </w:rPr>
        <w:t>construction contingency</w:t>
      </w:r>
      <w:r>
        <w:rPr>
          <w:rFonts w:ascii="Palatino Linotype" w:hAnsi="Palatino Linotype"/>
        </w:rPr>
        <w:t>.</w:t>
      </w:r>
    </w:p>
    <w:p w:rsidR="00173F0A" w:rsidRDefault="004D34C5" w:rsidP="000719CB">
      <w:pPr>
        <w:pStyle w:val="ListParagraph"/>
        <w:numPr>
          <w:ilvl w:val="1"/>
          <w:numId w:val="6"/>
        </w:numPr>
        <w:spacing w:after="0" w:line="240" w:lineRule="auto"/>
        <w:rPr>
          <w:rFonts w:ascii="Palatino Linotype" w:hAnsi="Palatino Linotype"/>
        </w:rPr>
      </w:pPr>
      <w:r>
        <w:rPr>
          <w:rFonts w:ascii="Palatino Linotype" w:hAnsi="Palatino Linotype"/>
        </w:rPr>
        <w:t xml:space="preserve">Mental health inpatient (hospital) costs </w:t>
      </w:r>
      <w:r w:rsidR="00452694">
        <w:rPr>
          <w:rFonts w:ascii="Palatino Linotype" w:hAnsi="Palatino Linotype"/>
        </w:rPr>
        <w:t>were</w:t>
      </w:r>
      <w:r>
        <w:rPr>
          <w:rFonts w:ascii="Palatino Linotype" w:hAnsi="Palatino Linotype"/>
        </w:rPr>
        <w:t xml:space="preserve"> estimated conservatively</w:t>
      </w:r>
      <w:r w:rsidR="00452694">
        <w:rPr>
          <w:rFonts w:ascii="Palatino Linotype" w:hAnsi="Palatino Linotype"/>
        </w:rPr>
        <w:t xml:space="preserve"> at six months</w:t>
      </w:r>
      <w:r>
        <w:rPr>
          <w:rFonts w:ascii="Palatino Linotype" w:hAnsi="Palatino Linotype"/>
        </w:rPr>
        <w:t>.</w:t>
      </w:r>
    </w:p>
    <w:p w:rsidR="004D34C5" w:rsidRDefault="000E7C31" w:rsidP="000719CB">
      <w:pPr>
        <w:pStyle w:val="ListParagraph"/>
        <w:numPr>
          <w:ilvl w:val="1"/>
          <w:numId w:val="6"/>
        </w:numPr>
        <w:spacing w:after="0" w:line="240" w:lineRule="auto"/>
        <w:rPr>
          <w:rFonts w:ascii="Palatino Linotype" w:hAnsi="Palatino Linotype"/>
        </w:rPr>
      </w:pPr>
      <w:r>
        <w:rPr>
          <w:rFonts w:ascii="Palatino Linotype" w:hAnsi="Palatino Linotype"/>
        </w:rPr>
        <w:t>The s</w:t>
      </w:r>
      <w:r w:rsidR="004D34C5">
        <w:rPr>
          <w:rFonts w:ascii="Palatino Linotype" w:hAnsi="Palatino Linotype"/>
        </w:rPr>
        <w:t>ocial services Medi-Cal closeout allocation (</w:t>
      </w:r>
      <w:r w:rsidR="000F7B9C">
        <w:rPr>
          <w:rFonts w:ascii="Palatino Linotype" w:hAnsi="Palatino Linotype"/>
        </w:rPr>
        <w:t xml:space="preserve">state </w:t>
      </w:r>
      <w:r w:rsidR="004D34C5">
        <w:rPr>
          <w:rFonts w:ascii="Palatino Linotype" w:hAnsi="Palatino Linotype"/>
        </w:rPr>
        <w:t xml:space="preserve">redistribution of </w:t>
      </w:r>
      <w:r w:rsidR="000F7B9C">
        <w:rPr>
          <w:rFonts w:ascii="Palatino Linotype" w:hAnsi="Palatino Linotype"/>
        </w:rPr>
        <w:t>unused allocations</w:t>
      </w:r>
      <w:r w:rsidR="004D34C5">
        <w:rPr>
          <w:rFonts w:ascii="Palatino Linotype" w:hAnsi="Palatino Linotype"/>
        </w:rPr>
        <w:t xml:space="preserve"> to counties that need them) may be higher than estimated.</w:t>
      </w:r>
    </w:p>
    <w:p w:rsidR="004D34C5" w:rsidRDefault="000E7C31" w:rsidP="00452694">
      <w:pPr>
        <w:pStyle w:val="ListParagraph"/>
        <w:numPr>
          <w:ilvl w:val="1"/>
          <w:numId w:val="6"/>
        </w:numPr>
        <w:spacing w:after="0" w:line="240" w:lineRule="auto"/>
        <w:rPr>
          <w:rFonts w:ascii="Palatino Linotype" w:hAnsi="Palatino Linotype"/>
        </w:rPr>
      </w:pPr>
      <w:r>
        <w:rPr>
          <w:rFonts w:ascii="Palatino Linotype" w:hAnsi="Palatino Linotype"/>
        </w:rPr>
        <w:lastRenderedPageBreak/>
        <w:t xml:space="preserve">The Alcohol and Drug Services </w:t>
      </w:r>
      <w:r w:rsidR="000F7B9C">
        <w:rPr>
          <w:rFonts w:ascii="Palatino Linotype" w:hAnsi="Palatino Linotype"/>
        </w:rPr>
        <w:t>program “</w:t>
      </w:r>
      <w:r>
        <w:rPr>
          <w:rFonts w:ascii="Palatino Linotype" w:hAnsi="Palatino Linotype"/>
        </w:rPr>
        <w:t>waiver</w:t>
      </w:r>
      <w:r w:rsidR="000F7B9C">
        <w:rPr>
          <w:rFonts w:ascii="Palatino Linotype" w:hAnsi="Palatino Linotype"/>
        </w:rPr>
        <w:t>”</w:t>
      </w:r>
      <w:r>
        <w:rPr>
          <w:rFonts w:ascii="Palatino Linotype" w:hAnsi="Palatino Linotype"/>
        </w:rPr>
        <w:t xml:space="preserve"> may be approved in time for claiming reimbursement at higher rates for a few months.</w:t>
      </w:r>
    </w:p>
    <w:p w:rsidR="000E7C31" w:rsidRPr="004D34C5" w:rsidRDefault="00452694" w:rsidP="00452694">
      <w:pPr>
        <w:pStyle w:val="ListParagraph"/>
        <w:numPr>
          <w:ilvl w:val="1"/>
          <w:numId w:val="6"/>
        </w:numPr>
        <w:spacing w:after="0" w:line="240" w:lineRule="auto"/>
        <w:rPr>
          <w:rFonts w:ascii="Palatino Linotype" w:hAnsi="Palatino Linotype"/>
        </w:rPr>
      </w:pPr>
      <w:r>
        <w:rPr>
          <w:rFonts w:ascii="Palatino Linotype" w:hAnsi="Palatino Linotype"/>
        </w:rPr>
        <w:t xml:space="preserve">HHSA may </w:t>
      </w:r>
      <w:r w:rsidR="002E5424">
        <w:rPr>
          <w:rFonts w:ascii="Palatino Linotype" w:hAnsi="Palatino Linotype"/>
        </w:rPr>
        <w:t xml:space="preserve">be able to </w:t>
      </w:r>
      <w:r>
        <w:rPr>
          <w:rFonts w:ascii="Palatino Linotype" w:hAnsi="Palatino Linotype"/>
        </w:rPr>
        <w:t>receive higher mental health billing revenue</w:t>
      </w:r>
      <w:r w:rsidR="002E5424">
        <w:rPr>
          <w:rFonts w:ascii="Palatino Linotype" w:hAnsi="Palatino Linotype"/>
        </w:rPr>
        <w:t xml:space="preserve"> this fiscal year by speeding up </w:t>
      </w:r>
      <w:r>
        <w:rPr>
          <w:rFonts w:ascii="Palatino Linotype" w:hAnsi="Palatino Linotype"/>
        </w:rPr>
        <w:t xml:space="preserve">billing </w:t>
      </w:r>
      <w:r w:rsidR="002E5424">
        <w:rPr>
          <w:rFonts w:ascii="Palatino Linotype" w:hAnsi="Palatino Linotype"/>
        </w:rPr>
        <w:t>and thus reimbursement timelines</w:t>
      </w:r>
      <w:r>
        <w:rPr>
          <w:rFonts w:ascii="Palatino Linotype" w:hAnsi="Palatino Linotype"/>
        </w:rPr>
        <w:t>.</w:t>
      </w:r>
    </w:p>
    <w:p w:rsidR="00173F0A" w:rsidRPr="00D94810" w:rsidRDefault="00173F0A" w:rsidP="00173F0A">
      <w:pPr>
        <w:pStyle w:val="ListParagraph"/>
        <w:spacing w:after="0" w:line="240" w:lineRule="auto"/>
        <w:ind w:left="1440"/>
        <w:rPr>
          <w:rFonts w:ascii="Palatino Linotype" w:hAnsi="Palatino Linotype"/>
        </w:rPr>
      </w:pPr>
    </w:p>
    <w:p w:rsidR="00173F0A" w:rsidRDefault="00173F0A" w:rsidP="00173F0A">
      <w:pPr>
        <w:ind w:left="720"/>
        <w:rPr>
          <w:rFonts w:ascii="Palatino Linotype" w:hAnsi="Palatino Linotype"/>
          <w:sz w:val="22"/>
          <w:szCs w:val="22"/>
        </w:rPr>
      </w:pPr>
      <w:r w:rsidRPr="00A60635">
        <w:rPr>
          <w:rFonts w:ascii="Palatino Linotype" w:hAnsi="Palatino Linotype"/>
          <w:sz w:val="22"/>
          <w:szCs w:val="22"/>
        </w:rPr>
        <w:t>The H</w:t>
      </w:r>
      <w:r w:rsidR="00A85E31">
        <w:rPr>
          <w:rFonts w:ascii="Palatino Linotype" w:hAnsi="Palatino Linotype"/>
          <w:sz w:val="22"/>
          <w:szCs w:val="22"/>
        </w:rPr>
        <w:t>HSA</w:t>
      </w:r>
      <w:r w:rsidRPr="00A60635">
        <w:rPr>
          <w:rFonts w:ascii="Palatino Linotype" w:hAnsi="Palatino Linotype"/>
          <w:sz w:val="22"/>
          <w:szCs w:val="22"/>
        </w:rPr>
        <w:t xml:space="preserve"> fund has sufficient reserves within the fund balance to meet the Board’s expectation of a 10% reserve of </w:t>
      </w:r>
      <w:r w:rsidRPr="00273E1A">
        <w:rPr>
          <w:rFonts w:ascii="Palatino Linotype" w:hAnsi="Palatino Linotype"/>
          <w:sz w:val="22"/>
          <w:szCs w:val="22"/>
        </w:rPr>
        <w:t>$1</w:t>
      </w:r>
      <w:r w:rsidR="00273E1A" w:rsidRPr="00273E1A">
        <w:rPr>
          <w:rFonts w:ascii="Palatino Linotype" w:hAnsi="Palatino Linotype"/>
          <w:sz w:val="22"/>
          <w:szCs w:val="22"/>
        </w:rPr>
        <w:t>1</w:t>
      </w:r>
      <w:r w:rsidRPr="00273E1A">
        <w:rPr>
          <w:rFonts w:ascii="Palatino Linotype" w:hAnsi="Palatino Linotype"/>
          <w:sz w:val="22"/>
          <w:szCs w:val="22"/>
        </w:rPr>
        <w:t xml:space="preserve"> million</w:t>
      </w:r>
      <w:r w:rsidRPr="00A60635">
        <w:rPr>
          <w:rFonts w:ascii="Palatino Linotype" w:hAnsi="Palatino Linotype"/>
          <w:sz w:val="22"/>
          <w:szCs w:val="22"/>
        </w:rPr>
        <w:t>, which will help the department to preserve services in the event of a reduction in revenue or significant increase in needs due to a future economic downturn.</w:t>
      </w:r>
    </w:p>
    <w:p w:rsidR="00CF3EC3" w:rsidRDefault="00CF3EC3" w:rsidP="00173F0A">
      <w:pPr>
        <w:ind w:left="720"/>
        <w:rPr>
          <w:rFonts w:ascii="Palatino Linotype" w:hAnsi="Palatino Linotype"/>
          <w:sz w:val="22"/>
          <w:szCs w:val="22"/>
        </w:rPr>
      </w:pPr>
    </w:p>
    <w:p w:rsidR="00CF3EC3" w:rsidRPr="00036203" w:rsidRDefault="00CF3EC3" w:rsidP="00173F0A">
      <w:pPr>
        <w:ind w:left="720"/>
        <w:rPr>
          <w:rFonts w:ascii="Palatino Linotype" w:hAnsi="Palatino Linotype"/>
          <w:sz w:val="22"/>
          <w:szCs w:val="22"/>
        </w:rPr>
      </w:pPr>
      <w:r>
        <w:rPr>
          <w:rFonts w:ascii="Palatino Linotype" w:hAnsi="Palatino Linotype"/>
          <w:sz w:val="22"/>
          <w:szCs w:val="22"/>
        </w:rPr>
        <w:t>Attachment A includes a number of budget adjustments needed to provide sufficient budget authority in the individual HHSA operating budgets and Special Revenue Funds.</w:t>
      </w:r>
    </w:p>
    <w:p w:rsidR="00CE6590" w:rsidRDefault="00CE6590" w:rsidP="00CE6590">
      <w:pPr>
        <w:rPr>
          <w:rFonts w:ascii="Palatino Linotype" w:hAnsi="Palatino Linotype"/>
        </w:rPr>
      </w:pPr>
    </w:p>
    <w:p w:rsidR="00F70E58" w:rsidRPr="00585829" w:rsidRDefault="00F70E58" w:rsidP="00F70E58">
      <w:pPr>
        <w:pStyle w:val="ListParagraph"/>
        <w:numPr>
          <w:ilvl w:val="0"/>
          <w:numId w:val="6"/>
        </w:numPr>
        <w:spacing w:after="0" w:line="240" w:lineRule="auto"/>
        <w:rPr>
          <w:rFonts w:ascii="Palatino Linotype" w:hAnsi="Palatino Linotype"/>
        </w:rPr>
      </w:pPr>
      <w:r w:rsidRPr="00585829">
        <w:rPr>
          <w:rFonts w:ascii="Palatino Linotype" w:hAnsi="Palatino Linotype"/>
          <w:u w:val="single"/>
        </w:rPr>
        <w:t>Fleet Fund</w:t>
      </w:r>
      <w:r>
        <w:rPr>
          <w:rFonts w:ascii="Palatino Linotype" w:hAnsi="Palatino Linotype"/>
          <w:u w:val="single"/>
        </w:rPr>
        <w:t xml:space="preserve"> (Fund 4100)</w:t>
      </w:r>
      <w:r w:rsidRPr="00585829">
        <w:rPr>
          <w:rFonts w:ascii="Palatino Linotype" w:hAnsi="Palatino Linotype"/>
        </w:rPr>
        <w:t>:</w:t>
      </w:r>
    </w:p>
    <w:p w:rsidR="00F70E58" w:rsidRPr="00585829" w:rsidRDefault="00F70E58" w:rsidP="00F70E58">
      <w:pPr>
        <w:pStyle w:val="ListParagraph"/>
        <w:spacing w:after="0" w:line="240" w:lineRule="auto"/>
        <w:rPr>
          <w:rFonts w:ascii="Palatino Linotype" w:hAnsi="Palatino Linotype"/>
        </w:rPr>
      </w:pPr>
    </w:p>
    <w:p w:rsidR="00F70E58" w:rsidRDefault="00F70E58" w:rsidP="00F70E58">
      <w:pPr>
        <w:ind w:left="720"/>
        <w:rPr>
          <w:rFonts w:ascii="Palatino Linotype" w:hAnsi="Palatino Linotype"/>
          <w:sz w:val="22"/>
          <w:szCs w:val="22"/>
        </w:rPr>
      </w:pPr>
      <w:r w:rsidRPr="00585829">
        <w:rPr>
          <w:rFonts w:ascii="Palatino Linotype" w:hAnsi="Palatino Linotype"/>
          <w:sz w:val="22"/>
          <w:szCs w:val="22"/>
        </w:rPr>
        <w:t xml:space="preserve">An appropriations increase </w:t>
      </w:r>
      <w:r>
        <w:rPr>
          <w:rFonts w:ascii="Palatino Linotype" w:hAnsi="Palatino Linotype"/>
          <w:sz w:val="22"/>
          <w:szCs w:val="22"/>
        </w:rPr>
        <w:t>of $250,000 in the Fleet Operations Budget</w:t>
      </w:r>
      <w:r w:rsidRPr="00585829">
        <w:rPr>
          <w:rFonts w:ascii="Palatino Linotype" w:hAnsi="Palatino Linotype"/>
          <w:sz w:val="22"/>
          <w:szCs w:val="22"/>
        </w:rPr>
        <w:t>, offset by the use of Fleet Operating Fund fund balance</w:t>
      </w:r>
      <w:r>
        <w:rPr>
          <w:rFonts w:ascii="Palatino Linotype" w:hAnsi="Palatino Linotype"/>
          <w:sz w:val="22"/>
          <w:szCs w:val="22"/>
        </w:rPr>
        <w:t xml:space="preserve">, is needed </w:t>
      </w:r>
      <w:r w:rsidRPr="00585829">
        <w:rPr>
          <w:rFonts w:ascii="Palatino Linotype" w:hAnsi="Palatino Linotype"/>
          <w:sz w:val="22"/>
          <w:szCs w:val="22"/>
        </w:rPr>
        <w:t xml:space="preserve">to fund the </w:t>
      </w:r>
      <w:r>
        <w:rPr>
          <w:rFonts w:ascii="Palatino Linotype" w:hAnsi="Palatino Linotype"/>
          <w:sz w:val="22"/>
          <w:szCs w:val="22"/>
        </w:rPr>
        <w:t>construction of the new fuel pump located at the Yountville Corporate Yard.</w:t>
      </w:r>
      <w:r w:rsidRPr="00585829">
        <w:rPr>
          <w:rFonts w:ascii="Palatino Linotype" w:hAnsi="Palatino Linotype"/>
          <w:sz w:val="22"/>
          <w:szCs w:val="22"/>
        </w:rPr>
        <w:t xml:space="preserve"> </w:t>
      </w:r>
    </w:p>
    <w:p w:rsidR="00F70E58" w:rsidRDefault="00F70E58" w:rsidP="00F70E58">
      <w:pPr>
        <w:ind w:left="720"/>
        <w:rPr>
          <w:rFonts w:ascii="Palatino Linotype" w:hAnsi="Palatino Linotype"/>
          <w:sz w:val="22"/>
          <w:szCs w:val="22"/>
        </w:rPr>
      </w:pPr>
    </w:p>
    <w:p w:rsidR="00F70E58" w:rsidRPr="00395A84" w:rsidRDefault="00F70E58" w:rsidP="00F70E58">
      <w:pPr>
        <w:pStyle w:val="ListParagraph"/>
        <w:spacing w:after="0" w:line="240" w:lineRule="auto"/>
        <w:rPr>
          <w:rFonts w:ascii="Palatino Linotype" w:hAnsi="Palatino Linotype"/>
        </w:rPr>
      </w:pPr>
      <w:r w:rsidRPr="00395A84">
        <w:rPr>
          <w:rFonts w:ascii="Palatino Linotype" w:hAnsi="Palatino Linotype"/>
        </w:rPr>
        <w:t xml:space="preserve">Use of Fund Balance is projected to increase by $90,046 in Fleet Vehicle Replacement </w:t>
      </w:r>
      <w:r>
        <w:rPr>
          <w:rFonts w:ascii="Palatino Linotype" w:hAnsi="Palatino Linotype"/>
        </w:rPr>
        <w:t xml:space="preserve">budget </w:t>
      </w:r>
      <w:r w:rsidRPr="00395A84">
        <w:rPr>
          <w:rFonts w:ascii="Palatino Linotype" w:hAnsi="Palatino Linotype"/>
        </w:rPr>
        <w:t>as a result of revenues being lower than budgeted due to changes in the vehicle calculation methodology and lower cost recovery revenue.  A</w:t>
      </w:r>
      <w:r>
        <w:rPr>
          <w:rFonts w:ascii="Palatino Linotype" w:hAnsi="Palatino Linotype"/>
        </w:rPr>
        <w:t xml:space="preserve">s part of this </w:t>
      </w:r>
      <w:r w:rsidRPr="00395A84">
        <w:rPr>
          <w:rFonts w:ascii="Palatino Linotype" w:hAnsi="Palatino Linotype"/>
        </w:rPr>
        <w:t>budget adjustment</w:t>
      </w:r>
      <w:r>
        <w:rPr>
          <w:rFonts w:ascii="Palatino Linotype" w:hAnsi="Palatino Linotype"/>
        </w:rPr>
        <w:t xml:space="preserve">, </w:t>
      </w:r>
      <w:r w:rsidRPr="00395A84">
        <w:rPr>
          <w:rFonts w:ascii="Palatino Linotype" w:hAnsi="Palatino Linotype"/>
        </w:rPr>
        <w:t xml:space="preserve">a capital asset in the amount of $35,000 </w:t>
      </w:r>
      <w:r>
        <w:rPr>
          <w:rFonts w:ascii="Palatino Linotype" w:hAnsi="Palatino Linotype"/>
        </w:rPr>
        <w:t xml:space="preserve">will be established </w:t>
      </w:r>
      <w:r w:rsidRPr="00395A84">
        <w:rPr>
          <w:rFonts w:ascii="Palatino Linotype" w:hAnsi="Palatino Linotype"/>
        </w:rPr>
        <w:t>for “uplifting” (outfitting) Sheriff’s Office vehicles.</w:t>
      </w:r>
      <w:r>
        <w:rPr>
          <w:rFonts w:ascii="Palatino Linotype" w:hAnsi="Palatino Linotype"/>
        </w:rPr>
        <w:t xml:space="preserve"> </w:t>
      </w:r>
    </w:p>
    <w:p w:rsidR="00F70E58" w:rsidRPr="00F70E58" w:rsidRDefault="00F70E58" w:rsidP="00F70E58">
      <w:pPr>
        <w:pStyle w:val="ListParagraph"/>
        <w:spacing w:after="0" w:line="240" w:lineRule="auto"/>
        <w:rPr>
          <w:rFonts w:ascii="Palatino Linotype" w:hAnsi="Palatino Linotype"/>
        </w:rPr>
      </w:pPr>
    </w:p>
    <w:p w:rsidR="004E1852" w:rsidRPr="00E14C2E" w:rsidRDefault="004E1852" w:rsidP="0089030C">
      <w:pPr>
        <w:pStyle w:val="ListParagraph"/>
        <w:numPr>
          <w:ilvl w:val="0"/>
          <w:numId w:val="6"/>
        </w:numPr>
        <w:spacing w:after="0" w:line="240" w:lineRule="auto"/>
        <w:rPr>
          <w:rFonts w:ascii="Palatino Linotype" w:hAnsi="Palatino Linotype"/>
        </w:rPr>
      </w:pPr>
      <w:r w:rsidRPr="00E14C2E">
        <w:rPr>
          <w:rFonts w:ascii="Palatino Linotype" w:hAnsi="Palatino Linotype"/>
          <w:u w:val="single"/>
        </w:rPr>
        <w:t>Workers Compensation Insurance</w:t>
      </w:r>
      <w:r w:rsidR="007C738A">
        <w:rPr>
          <w:rFonts w:ascii="Palatino Linotype" w:hAnsi="Palatino Linotype"/>
          <w:u w:val="single"/>
        </w:rPr>
        <w:t xml:space="preserve"> (Fund 4400)</w:t>
      </w:r>
      <w:r w:rsidRPr="00E14C2E">
        <w:rPr>
          <w:rFonts w:ascii="Palatino Linotype" w:hAnsi="Palatino Linotype"/>
        </w:rPr>
        <w:t>:</w:t>
      </w:r>
    </w:p>
    <w:p w:rsidR="004E1852" w:rsidRDefault="004E1852" w:rsidP="0089030C">
      <w:pPr>
        <w:pStyle w:val="ListParagraph"/>
        <w:spacing w:after="0" w:line="240" w:lineRule="auto"/>
        <w:rPr>
          <w:rFonts w:ascii="Palatino Linotype" w:hAnsi="Palatino Linotype"/>
        </w:rPr>
      </w:pPr>
    </w:p>
    <w:p w:rsidR="004E1852" w:rsidRPr="00A94366" w:rsidRDefault="004E1852" w:rsidP="0089030C">
      <w:pPr>
        <w:pStyle w:val="ListParagraph"/>
        <w:spacing w:after="0" w:line="240" w:lineRule="auto"/>
        <w:rPr>
          <w:rFonts w:ascii="Palatino Linotype" w:hAnsi="Palatino Linotype"/>
        </w:rPr>
      </w:pPr>
      <w:r>
        <w:rPr>
          <w:rFonts w:ascii="Palatino Linotype" w:hAnsi="Palatino Linotype"/>
        </w:rPr>
        <w:t xml:space="preserve">Expenditures are expected to exceed revenues because of an anticipated reduction of $200,000 in excess claims revenue this year. No budget adjustments are needed; the difference between revenue and </w:t>
      </w:r>
      <w:r w:rsidRPr="00A94366">
        <w:rPr>
          <w:rFonts w:ascii="Palatino Linotype" w:hAnsi="Palatino Linotype"/>
        </w:rPr>
        <w:t>expenditures will be reflected in a reduced fund balance</w:t>
      </w:r>
      <w:r w:rsidR="006764DF" w:rsidRPr="00A94366">
        <w:rPr>
          <w:rFonts w:ascii="Palatino Linotype" w:hAnsi="Palatino Linotype"/>
        </w:rPr>
        <w:t xml:space="preserve"> in this </w:t>
      </w:r>
      <w:r w:rsidR="00A94366" w:rsidRPr="00A94366">
        <w:rPr>
          <w:rFonts w:ascii="Palatino Linotype" w:hAnsi="Palatino Linotype"/>
        </w:rPr>
        <w:t>fund</w:t>
      </w:r>
      <w:r w:rsidRPr="00A94366">
        <w:rPr>
          <w:rFonts w:ascii="Palatino Linotype" w:hAnsi="Palatino Linotype"/>
        </w:rPr>
        <w:t xml:space="preserve">. </w:t>
      </w:r>
    </w:p>
    <w:p w:rsidR="00173F0A" w:rsidRDefault="00173F0A" w:rsidP="003159B5">
      <w:pPr>
        <w:rPr>
          <w:rFonts w:ascii="Palatino Linotype" w:hAnsi="Palatino Linotype"/>
          <w:highlight w:val="yellow"/>
        </w:rPr>
      </w:pPr>
    </w:p>
    <w:p w:rsidR="00F70E58" w:rsidRPr="00FE0AF4" w:rsidRDefault="00F70E58" w:rsidP="00F70E58">
      <w:pPr>
        <w:pStyle w:val="ListParagraph"/>
        <w:numPr>
          <w:ilvl w:val="0"/>
          <w:numId w:val="6"/>
        </w:numPr>
        <w:spacing w:after="0" w:line="240" w:lineRule="auto"/>
        <w:rPr>
          <w:rFonts w:ascii="Palatino Linotype" w:hAnsi="Palatino Linotype"/>
        </w:rPr>
      </w:pPr>
      <w:r w:rsidRPr="00FE0AF4">
        <w:rPr>
          <w:rFonts w:ascii="Palatino Linotype" w:hAnsi="Palatino Linotype"/>
          <w:u w:val="single"/>
        </w:rPr>
        <w:t>Lake Berryessa Resort Improvement District (LBRID)</w:t>
      </w:r>
      <w:r>
        <w:rPr>
          <w:rFonts w:ascii="Palatino Linotype" w:hAnsi="Palatino Linotype"/>
          <w:u w:val="single"/>
        </w:rPr>
        <w:t xml:space="preserve"> Fund 5220 and Napa Berryessa Resort Improvement District (NBRID) Fund 5240</w:t>
      </w:r>
      <w:r>
        <w:rPr>
          <w:rFonts w:ascii="Palatino Linotype" w:hAnsi="Palatino Linotype"/>
        </w:rPr>
        <w:t xml:space="preserve">: </w:t>
      </w:r>
    </w:p>
    <w:p w:rsidR="00F70E58" w:rsidRDefault="00F70E58" w:rsidP="00F70E58">
      <w:pPr>
        <w:pStyle w:val="ListParagraph"/>
        <w:spacing w:after="0" w:line="240" w:lineRule="auto"/>
        <w:rPr>
          <w:rFonts w:ascii="Palatino Linotype" w:hAnsi="Palatino Linotype"/>
          <w:u w:val="single"/>
        </w:rPr>
      </w:pPr>
    </w:p>
    <w:p w:rsidR="00F70E58" w:rsidRPr="002B70B6" w:rsidRDefault="00F70E58" w:rsidP="00F70E58">
      <w:pPr>
        <w:pStyle w:val="ListParagraph"/>
        <w:spacing w:after="0" w:line="240" w:lineRule="auto"/>
        <w:rPr>
          <w:rFonts w:ascii="Palatino Linotype" w:hAnsi="Palatino Linotype"/>
        </w:rPr>
      </w:pPr>
      <w:r>
        <w:rPr>
          <w:rFonts w:ascii="Palatino Linotype" w:hAnsi="Palatino Linotype"/>
        </w:rPr>
        <w:t xml:space="preserve">Appropriations increases of $187,000 for LBRID and $145,000 for NBRID, with offsetting reductions in their respective fund balances, are needed because of damage caused by excessive winter storms and unanticipated facility repairs and upgrades, respectively. </w:t>
      </w:r>
    </w:p>
    <w:p w:rsidR="00F70E58" w:rsidRDefault="00F70E58" w:rsidP="003159B5">
      <w:pPr>
        <w:rPr>
          <w:rFonts w:ascii="Palatino Linotype" w:hAnsi="Palatino Linotype"/>
          <w:highlight w:val="yellow"/>
        </w:rPr>
      </w:pPr>
    </w:p>
    <w:p w:rsidR="002013D6" w:rsidRDefault="002013D6" w:rsidP="002013D6">
      <w:pPr>
        <w:rPr>
          <w:rFonts w:ascii="Palatino Linotype" w:hAnsi="Palatino Linotype"/>
          <w:sz w:val="22"/>
          <w:szCs w:val="22"/>
        </w:rPr>
      </w:pPr>
      <w:r w:rsidRPr="007D0462">
        <w:rPr>
          <w:rFonts w:ascii="Palatino Linotype" w:hAnsi="Palatino Linotype"/>
          <w:b/>
          <w:sz w:val="22"/>
          <w:szCs w:val="22"/>
        </w:rPr>
        <w:t>Accumulated Capital Outlay (ACO):</w:t>
      </w:r>
      <w:r w:rsidRPr="0029577C">
        <w:rPr>
          <w:rFonts w:ascii="Palatino Linotype" w:hAnsi="Palatino Linotype"/>
          <w:sz w:val="22"/>
          <w:szCs w:val="22"/>
        </w:rPr>
        <w:t xml:space="preserve"> </w:t>
      </w:r>
    </w:p>
    <w:p w:rsidR="002013D6" w:rsidRDefault="002013D6" w:rsidP="002013D6">
      <w:pPr>
        <w:rPr>
          <w:rFonts w:ascii="Palatino Linotype" w:hAnsi="Palatino Linotype"/>
          <w:sz w:val="22"/>
          <w:szCs w:val="22"/>
        </w:rPr>
      </w:pPr>
    </w:p>
    <w:p w:rsidR="002013D6" w:rsidRPr="0029577C" w:rsidRDefault="002013D6" w:rsidP="002013D6">
      <w:pPr>
        <w:rPr>
          <w:rFonts w:ascii="Palatino Linotype" w:hAnsi="Palatino Linotype"/>
          <w:sz w:val="22"/>
          <w:szCs w:val="22"/>
        </w:rPr>
      </w:pPr>
      <w:r w:rsidRPr="0029577C">
        <w:rPr>
          <w:rFonts w:ascii="Palatino Linotype" w:hAnsi="Palatino Linotype"/>
          <w:sz w:val="22"/>
          <w:szCs w:val="22"/>
        </w:rPr>
        <w:t xml:space="preserve">We began FY 2016-17 with a balance of $27.1 million in the ACO. This year we are projecting to add $19.2 million in revenue </w:t>
      </w:r>
      <w:r w:rsidRPr="00046837">
        <w:rPr>
          <w:rFonts w:ascii="Palatino Linotype" w:hAnsi="Palatino Linotype"/>
          <w:sz w:val="22"/>
          <w:szCs w:val="22"/>
        </w:rPr>
        <w:t>and expend $1</w:t>
      </w:r>
      <w:r w:rsidR="00D15CBE" w:rsidRPr="00046837">
        <w:rPr>
          <w:rFonts w:ascii="Palatino Linotype" w:hAnsi="Palatino Linotype"/>
          <w:sz w:val="22"/>
          <w:szCs w:val="22"/>
        </w:rPr>
        <w:t>0.6</w:t>
      </w:r>
      <w:r w:rsidRPr="00046837">
        <w:rPr>
          <w:rFonts w:ascii="Palatino Linotype" w:hAnsi="Palatino Linotype"/>
          <w:sz w:val="22"/>
          <w:szCs w:val="22"/>
        </w:rPr>
        <w:t xml:space="preserve"> million, resulting in a year-end cash balance of $35.</w:t>
      </w:r>
      <w:r w:rsidR="00D15CBE" w:rsidRPr="00046837">
        <w:rPr>
          <w:rFonts w:ascii="Palatino Linotype" w:hAnsi="Palatino Linotype"/>
          <w:sz w:val="22"/>
          <w:szCs w:val="22"/>
        </w:rPr>
        <w:t>7</w:t>
      </w:r>
      <w:r w:rsidRPr="00046837">
        <w:rPr>
          <w:rFonts w:ascii="Palatino Linotype" w:hAnsi="Palatino Linotype"/>
          <w:sz w:val="22"/>
          <w:szCs w:val="22"/>
        </w:rPr>
        <w:t xml:space="preserve"> million. However, this balance includes $26</w:t>
      </w:r>
      <w:r w:rsidR="00D15CBE" w:rsidRPr="00046837">
        <w:rPr>
          <w:rFonts w:ascii="Palatino Linotype" w:hAnsi="Palatino Linotype"/>
          <w:sz w:val="22"/>
          <w:szCs w:val="22"/>
        </w:rPr>
        <w:t>.3</w:t>
      </w:r>
      <w:r w:rsidRPr="00046837">
        <w:rPr>
          <w:rFonts w:ascii="Palatino Linotype" w:hAnsi="Palatino Linotype"/>
          <w:sz w:val="22"/>
          <w:szCs w:val="22"/>
        </w:rPr>
        <w:t xml:space="preserve"> million committed to the new jail, leaving a projected year-end available non-jail fund balance of $9.</w:t>
      </w:r>
      <w:r w:rsidR="00D15CBE" w:rsidRPr="00046837">
        <w:rPr>
          <w:rFonts w:ascii="Palatino Linotype" w:hAnsi="Palatino Linotype"/>
          <w:sz w:val="22"/>
          <w:szCs w:val="22"/>
        </w:rPr>
        <w:t>4</w:t>
      </w:r>
      <w:r w:rsidRPr="00046837">
        <w:rPr>
          <w:rFonts w:ascii="Palatino Linotype" w:hAnsi="Palatino Linotype"/>
          <w:sz w:val="22"/>
          <w:szCs w:val="22"/>
        </w:rPr>
        <w:t xml:space="preserve"> million.</w:t>
      </w:r>
      <w:r w:rsidRPr="0029577C">
        <w:rPr>
          <w:rFonts w:ascii="Palatino Linotype" w:hAnsi="Palatino Linotype"/>
          <w:sz w:val="22"/>
          <w:szCs w:val="22"/>
        </w:rPr>
        <w:t xml:space="preserve"> </w:t>
      </w:r>
    </w:p>
    <w:p w:rsidR="002013D6" w:rsidRPr="0029577C" w:rsidRDefault="002013D6" w:rsidP="00046837">
      <w:pPr>
        <w:rPr>
          <w:rFonts w:ascii="Palatino Linotype" w:hAnsi="Palatino Linotype"/>
          <w:sz w:val="22"/>
          <w:szCs w:val="22"/>
        </w:rPr>
      </w:pPr>
    </w:p>
    <w:p w:rsidR="00EB3742" w:rsidRDefault="00EB3742" w:rsidP="002013D6">
      <w:pPr>
        <w:rPr>
          <w:rFonts w:ascii="Palatino Linotype" w:hAnsi="Palatino Linotype"/>
          <w:sz w:val="22"/>
          <w:szCs w:val="22"/>
        </w:rPr>
      </w:pPr>
      <w:r>
        <w:rPr>
          <w:rFonts w:ascii="Palatino Linotype" w:hAnsi="Palatino Linotype"/>
          <w:sz w:val="22"/>
          <w:szCs w:val="22"/>
        </w:rPr>
        <w:lastRenderedPageBreak/>
        <w:t>Revenue increases of $19.2 million include:</w:t>
      </w:r>
    </w:p>
    <w:p w:rsidR="00EB3742" w:rsidRDefault="00EB3742" w:rsidP="002013D6">
      <w:pPr>
        <w:rPr>
          <w:rFonts w:ascii="Palatino Linotype" w:hAnsi="Palatino Linotype"/>
          <w:sz w:val="22"/>
          <w:szCs w:val="22"/>
        </w:rPr>
      </w:pPr>
    </w:p>
    <w:p w:rsidR="00EB3742" w:rsidRDefault="00EB3742" w:rsidP="00CC7AB4">
      <w:pPr>
        <w:pStyle w:val="ListParagraph"/>
        <w:numPr>
          <w:ilvl w:val="0"/>
          <w:numId w:val="12"/>
        </w:numPr>
        <w:spacing w:after="0" w:line="240" w:lineRule="auto"/>
        <w:rPr>
          <w:rFonts w:ascii="Palatino Linotype" w:hAnsi="Palatino Linotype"/>
        </w:rPr>
      </w:pPr>
      <w:r w:rsidRPr="00737F6F">
        <w:rPr>
          <w:rFonts w:ascii="Palatino Linotype" w:hAnsi="Palatino Linotype"/>
        </w:rPr>
        <w:t>$</w:t>
      </w:r>
      <w:r w:rsidRPr="003B21D2">
        <w:rPr>
          <w:rFonts w:ascii="Palatino Linotype" w:hAnsi="Palatino Linotype"/>
        </w:rPr>
        <w:t xml:space="preserve">2,014,655 </w:t>
      </w:r>
      <w:r w:rsidRPr="00737F6F">
        <w:rPr>
          <w:rFonts w:ascii="Palatino Linotype" w:hAnsi="Palatino Linotype"/>
        </w:rPr>
        <w:t xml:space="preserve">in excess FY 2015-16 General Fund revenue </w:t>
      </w:r>
      <w:r w:rsidR="004C23DB">
        <w:rPr>
          <w:rFonts w:ascii="Palatino Linotype" w:hAnsi="Palatino Linotype"/>
        </w:rPr>
        <w:t>to be used for future capital projects</w:t>
      </w:r>
    </w:p>
    <w:p w:rsidR="00EB3742" w:rsidRPr="00B2091F" w:rsidRDefault="00EB3742" w:rsidP="00CC7AB4">
      <w:pPr>
        <w:pStyle w:val="ListParagraph"/>
        <w:numPr>
          <w:ilvl w:val="0"/>
          <w:numId w:val="12"/>
        </w:numPr>
        <w:spacing w:after="0" w:line="240" w:lineRule="auto"/>
        <w:rPr>
          <w:rFonts w:ascii="Palatino Linotype" w:hAnsi="Palatino Linotype"/>
        </w:rPr>
      </w:pPr>
      <w:r w:rsidRPr="00B2091F">
        <w:rPr>
          <w:rFonts w:ascii="Palatino Linotype" w:hAnsi="Palatino Linotype"/>
        </w:rPr>
        <w:t xml:space="preserve">$10,554,564 in excess FY 2015-16 General Fund revenue earmarked for the </w:t>
      </w:r>
      <w:r w:rsidR="004C23DB">
        <w:rPr>
          <w:rFonts w:ascii="Palatino Linotype" w:hAnsi="Palatino Linotype"/>
        </w:rPr>
        <w:t>new j</w:t>
      </w:r>
      <w:r w:rsidRPr="00B2091F">
        <w:rPr>
          <w:rFonts w:ascii="Palatino Linotype" w:hAnsi="Palatino Linotype"/>
        </w:rPr>
        <w:t>ail</w:t>
      </w:r>
    </w:p>
    <w:p w:rsidR="00EB3742" w:rsidRPr="00737F6F" w:rsidRDefault="00EB3742" w:rsidP="00CC7AB4">
      <w:pPr>
        <w:pStyle w:val="ListParagraph"/>
        <w:numPr>
          <w:ilvl w:val="0"/>
          <w:numId w:val="12"/>
        </w:numPr>
        <w:spacing w:after="0" w:line="240" w:lineRule="auto"/>
        <w:rPr>
          <w:rFonts w:ascii="Palatino Linotype" w:hAnsi="Palatino Linotype"/>
        </w:rPr>
      </w:pPr>
      <w:r w:rsidRPr="00737F6F">
        <w:rPr>
          <w:rFonts w:ascii="Palatino Linotype" w:hAnsi="Palatino Linotype"/>
        </w:rPr>
        <w:t>$2</w:t>
      </w:r>
      <w:r>
        <w:rPr>
          <w:rFonts w:ascii="Palatino Linotype" w:hAnsi="Palatino Linotype"/>
        </w:rPr>
        <w:t>,</w:t>
      </w:r>
      <w:r w:rsidRPr="00737F6F">
        <w:rPr>
          <w:rFonts w:ascii="Palatino Linotype" w:hAnsi="Palatino Linotype"/>
        </w:rPr>
        <w:t>8</w:t>
      </w:r>
      <w:r>
        <w:rPr>
          <w:rFonts w:ascii="Palatino Linotype" w:hAnsi="Palatino Linotype"/>
        </w:rPr>
        <w:t>24,000 in</w:t>
      </w:r>
      <w:r w:rsidRPr="00737F6F">
        <w:rPr>
          <w:rFonts w:ascii="Palatino Linotype" w:hAnsi="Palatino Linotype"/>
        </w:rPr>
        <w:t xml:space="preserve"> grant </w:t>
      </w:r>
      <w:r>
        <w:rPr>
          <w:rFonts w:ascii="Palatino Linotype" w:hAnsi="Palatino Linotype"/>
        </w:rPr>
        <w:t xml:space="preserve">funds </w:t>
      </w:r>
      <w:r w:rsidRPr="00737F6F">
        <w:rPr>
          <w:rFonts w:ascii="Palatino Linotype" w:hAnsi="Palatino Linotype"/>
        </w:rPr>
        <w:t xml:space="preserve">from Kaiser Permanente </w:t>
      </w:r>
      <w:r w:rsidRPr="004F4F06">
        <w:rPr>
          <w:rFonts w:ascii="Palatino Linotype" w:hAnsi="Palatino Linotype"/>
        </w:rPr>
        <w:t xml:space="preserve">resulting </w:t>
      </w:r>
      <w:r w:rsidRPr="00344AA8">
        <w:rPr>
          <w:rFonts w:ascii="Palatino Linotype" w:hAnsi="Palatino Linotype"/>
        </w:rPr>
        <w:t xml:space="preserve">from an agreement on tax assessment changes, to be earmarked for the </w:t>
      </w:r>
      <w:r w:rsidR="004C23DB">
        <w:rPr>
          <w:rFonts w:ascii="Palatino Linotype" w:hAnsi="Palatino Linotype"/>
        </w:rPr>
        <w:t>new j</w:t>
      </w:r>
      <w:r w:rsidRPr="00344AA8">
        <w:rPr>
          <w:rFonts w:ascii="Palatino Linotype" w:hAnsi="Palatino Linotype"/>
        </w:rPr>
        <w:t>ail</w:t>
      </w:r>
    </w:p>
    <w:p w:rsidR="00EB3742" w:rsidRPr="00737F6F" w:rsidRDefault="00EB3742" w:rsidP="00CC7AB4">
      <w:pPr>
        <w:pStyle w:val="ListParagraph"/>
        <w:numPr>
          <w:ilvl w:val="0"/>
          <w:numId w:val="12"/>
        </w:numPr>
        <w:spacing w:after="0" w:line="240" w:lineRule="auto"/>
        <w:rPr>
          <w:rFonts w:ascii="Palatino Linotype" w:hAnsi="Palatino Linotype"/>
        </w:rPr>
      </w:pPr>
      <w:r w:rsidRPr="00737F6F">
        <w:rPr>
          <w:rFonts w:ascii="Palatino Linotype" w:hAnsi="Palatino Linotype"/>
        </w:rPr>
        <w:t xml:space="preserve">$2.8 million in anticipated excess ERAF </w:t>
      </w:r>
      <w:r w:rsidR="004C23DB">
        <w:rPr>
          <w:rFonts w:ascii="Palatino Linotype" w:hAnsi="Palatino Linotype"/>
        </w:rPr>
        <w:t>to be used for future capital projects</w:t>
      </w:r>
    </w:p>
    <w:p w:rsidR="00EB3742" w:rsidRPr="00737F6F" w:rsidRDefault="00EB3742" w:rsidP="00CC7AB4">
      <w:pPr>
        <w:pStyle w:val="ListParagraph"/>
        <w:numPr>
          <w:ilvl w:val="0"/>
          <w:numId w:val="12"/>
        </w:numPr>
        <w:spacing w:after="0" w:line="240" w:lineRule="auto"/>
        <w:rPr>
          <w:rFonts w:ascii="Palatino Linotype" w:hAnsi="Palatino Linotype"/>
        </w:rPr>
      </w:pPr>
      <w:r w:rsidRPr="00737F6F">
        <w:rPr>
          <w:rFonts w:ascii="Palatino Linotype" w:hAnsi="Palatino Linotype"/>
        </w:rPr>
        <w:t>$800,000 in Devlin Road amounts owed to the County</w:t>
      </w:r>
    </w:p>
    <w:p w:rsidR="00EB3742" w:rsidRPr="00737F6F" w:rsidRDefault="00EB3742" w:rsidP="00CC7AB4">
      <w:pPr>
        <w:pStyle w:val="ListParagraph"/>
        <w:numPr>
          <w:ilvl w:val="0"/>
          <w:numId w:val="12"/>
        </w:numPr>
        <w:spacing w:after="0" w:line="240" w:lineRule="auto"/>
        <w:rPr>
          <w:rFonts w:ascii="Palatino Linotype" w:hAnsi="Palatino Linotype"/>
        </w:rPr>
      </w:pPr>
      <w:r w:rsidRPr="00737F6F">
        <w:rPr>
          <w:rFonts w:ascii="Palatino Linotype" w:hAnsi="Palatino Linotype"/>
        </w:rPr>
        <w:t>$250,000 in estimated interest</w:t>
      </w:r>
    </w:p>
    <w:p w:rsidR="00EB3742" w:rsidRDefault="00EB3742" w:rsidP="00EB3742">
      <w:pPr>
        <w:ind w:left="720"/>
        <w:rPr>
          <w:rFonts w:ascii="Palatino Linotype" w:hAnsi="Palatino Linotype"/>
          <w:sz w:val="22"/>
          <w:szCs w:val="22"/>
        </w:rPr>
      </w:pPr>
    </w:p>
    <w:p w:rsidR="002013D6" w:rsidRPr="00311E65" w:rsidRDefault="00EB3742" w:rsidP="002013D6">
      <w:pPr>
        <w:rPr>
          <w:rFonts w:ascii="Palatino Linotype" w:hAnsi="Palatino Linotype"/>
          <w:sz w:val="22"/>
          <w:szCs w:val="22"/>
        </w:rPr>
      </w:pPr>
      <w:r>
        <w:rPr>
          <w:rFonts w:ascii="Palatino Linotype" w:hAnsi="Palatino Linotype"/>
          <w:sz w:val="22"/>
          <w:szCs w:val="22"/>
        </w:rPr>
        <w:t>A</w:t>
      </w:r>
      <w:r w:rsidR="002013D6" w:rsidRPr="00311E65">
        <w:rPr>
          <w:rFonts w:ascii="Palatino Linotype" w:hAnsi="Palatino Linotype"/>
          <w:sz w:val="22"/>
          <w:szCs w:val="22"/>
        </w:rPr>
        <w:t xml:space="preserve">nticipated </w:t>
      </w:r>
      <w:r w:rsidR="002013D6">
        <w:rPr>
          <w:rFonts w:ascii="Palatino Linotype" w:hAnsi="Palatino Linotype"/>
          <w:sz w:val="22"/>
          <w:szCs w:val="22"/>
        </w:rPr>
        <w:t>expenditures</w:t>
      </w:r>
      <w:r w:rsidR="002013D6" w:rsidRPr="00311E65">
        <w:rPr>
          <w:rFonts w:ascii="Palatino Linotype" w:hAnsi="Palatino Linotype"/>
          <w:sz w:val="22"/>
          <w:szCs w:val="22"/>
        </w:rPr>
        <w:t xml:space="preserve"> </w:t>
      </w:r>
      <w:r>
        <w:rPr>
          <w:rFonts w:ascii="Palatino Linotype" w:hAnsi="Palatino Linotype"/>
          <w:sz w:val="22"/>
          <w:szCs w:val="22"/>
        </w:rPr>
        <w:t>of $</w:t>
      </w:r>
      <w:r w:rsidRPr="00511788">
        <w:rPr>
          <w:rFonts w:ascii="Palatino Linotype" w:hAnsi="Palatino Linotype"/>
          <w:sz w:val="22"/>
          <w:szCs w:val="22"/>
        </w:rPr>
        <w:t>1</w:t>
      </w:r>
      <w:r w:rsidR="00A112A7" w:rsidRPr="00511788">
        <w:rPr>
          <w:rFonts w:ascii="Palatino Linotype" w:hAnsi="Palatino Linotype"/>
          <w:sz w:val="22"/>
          <w:szCs w:val="22"/>
        </w:rPr>
        <w:t>0.6</w:t>
      </w:r>
      <w:r w:rsidRPr="00511788">
        <w:rPr>
          <w:rFonts w:ascii="Palatino Linotype" w:hAnsi="Palatino Linotype"/>
          <w:sz w:val="22"/>
          <w:szCs w:val="22"/>
        </w:rPr>
        <w:t xml:space="preserve"> million</w:t>
      </w:r>
      <w:r>
        <w:rPr>
          <w:rFonts w:ascii="Palatino Linotype" w:hAnsi="Palatino Linotype"/>
          <w:sz w:val="22"/>
          <w:szCs w:val="22"/>
        </w:rPr>
        <w:t xml:space="preserve"> </w:t>
      </w:r>
      <w:r w:rsidR="002013D6" w:rsidRPr="00311E65">
        <w:rPr>
          <w:rFonts w:ascii="Palatino Linotype" w:hAnsi="Palatino Linotype"/>
          <w:sz w:val="22"/>
          <w:szCs w:val="22"/>
        </w:rPr>
        <w:t xml:space="preserve">include: </w:t>
      </w:r>
    </w:p>
    <w:p w:rsidR="002013D6" w:rsidRDefault="002013D6" w:rsidP="002013D6">
      <w:pPr>
        <w:pStyle w:val="ListParagraph"/>
        <w:spacing w:after="0" w:line="240" w:lineRule="auto"/>
        <w:rPr>
          <w:rFonts w:ascii="Palatino Linotype" w:hAnsi="Palatino Linotype"/>
        </w:rPr>
      </w:pPr>
    </w:p>
    <w:p w:rsidR="002013D6" w:rsidRPr="00311E65" w:rsidRDefault="002013D6" w:rsidP="002013D6">
      <w:pPr>
        <w:pStyle w:val="ListParagraph"/>
        <w:numPr>
          <w:ilvl w:val="0"/>
          <w:numId w:val="8"/>
        </w:numPr>
        <w:spacing w:after="0" w:line="240" w:lineRule="auto"/>
        <w:ind w:left="720"/>
        <w:rPr>
          <w:rFonts w:ascii="Palatino Linotype" w:hAnsi="Palatino Linotype"/>
        </w:rPr>
      </w:pPr>
      <w:r w:rsidRPr="00311E65">
        <w:rPr>
          <w:rFonts w:ascii="Palatino Linotype" w:hAnsi="Palatino Linotype"/>
        </w:rPr>
        <w:t>Previously approved projects:</w:t>
      </w:r>
    </w:p>
    <w:p w:rsidR="002013D6" w:rsidRPr="00311E65" w:rsidRDefault="002013D6" w:rsidP="002013D6">
      <w:pPr>
        <w:pStyle w:val="ListParagraph"/>
        <w:numPr>
          <w:ilvl w:val="1"/>
          <w:numId w:val="16"/>
        </w:numPr>
        <w:spacing w:after="0" w:line="240" w:lineRule="auto"/>
        <w:ind w:left="1080"/>
        <w:rPr>
          <w:rFonts w:ascii="Palatino Linotype" w:hAnsi="Palatino Linotype"/>
        </w:rPr>
      </w:pPr>
      <w:r w:rsidRPr="00311E65">
        <w:rPr>
          <w:rFonts w:ascii="Palatino Linotype" w:hAnsi="Palatino Linotype"/>
        </w:rPr>
        <w:t>Old Sonoma Road demolition ($750,000)</w:t>
      </w:r>
    </w:p>
    <w:p w:rsidR="002013D6" w:rsidRPr="00311E65" w:rsidRDefault="002013D6" w:rsidP="002013D6">
      <w:pPr>
        <w:pStyle w:val="ListParagraph"/>
        <w:numPr>
          <w:ilvl w:val="1"/>
          <w:numId w:val="16"/>
        </w:numPr>
        <w:spacing w:after="0" w:line="240" w:lineRule="auto"/>
        <w:ind w:left="1080"/>
        <w:rPr>
          <w:rFonts w:ascii="Palatino Linotype" w:hAnsi="Palatino Linotype"/>
        </w:rPr>
      </w:pPr>
      <w:r w:rsidRPr="00311E65">
        <w:rPr>
          <w:rFonts w:ascii="Palatino Linotype" w:hAnsi="Palatino Linotype"/>
        </w:rPr>
        <w:t>South Campus parking lot improvements ($500,000) and frontage improvements ($1.8 million)</w:t>
      </w:r>
    </w:p>
    <w:p w:rsidR="002013D6" w:rsidRPr="00311E65" w:rsidRDefault="002013D6" w:rsidP="002013D6">
      <w:pPr>
        <w:pStyle w:val="ListParagraph"/>
        <w:numPr>
          <w:ilvl w:val="1"/>
          <w:numId w:val="16"/>
        </w:numPr>
        <w:spacing w:after="0" w:line="240" w:lineRule="auto"/>
        <w:ind w:left="1080"/>
        <w:rPr>
          <w:rFonts w:ascii="Palatino Linotype" w:hAnsi="Palatino Linotype"/>
        </w:rPr>
      </w:pPr>
      <w:r w:rsidRPr="00311E65">
        <w:rPr>
          <w:rFonts w:ascii="Palatino Linotype" w:hAnsi="Palatino Linotype"/>
        </w:rPr>
        <w:t>HVAC controls in the Administration and 650 Imperial Way buildings ($366,000)</w:t>
      </w:r>
    </w:p>
    <w:p w:rsidR="002013D6" w:rsidRPr="00311E65" w:rsidRDefault="002013D6" w:rsidP="002013D6">
      <w:pPr>
        <w:pStyle w:val="ListParagraph"/>
        <w:numPr>
          <w:ilvl w:val="1"/>
          <w:numId w:val="16"/>
        </w:numPr>
        <w:spacing w:after="0" w:line="240" w:lineRule="auto"/>
        <w:ind w:left="1080"/>
        <w:rPr>
          <w:rFonts w:ascii="Palatino Linotype" w:hAnsi="Palatino Linotype"/>
        </w:rPr>
      </w:pPr>
      <w:r w:rsidRPr="00311E65">
        <w:rPr>
          <w:rFonts w:ascii="Palatino Linotype" w:hAnsi="Palatino Linotype"/>
        </w:rPr>
        <w:t>Sheriff’s Office soundproofing and EOC costs ($160,000)</w:t>
      </w:r>
    </w:p>
    <w:p w:rsidR="002013D6" w:rsidRPr="00311E65" w:rsidRDefault="002013D6" w:rsidP="002013D6">
      <w:pPr>
        <w:pStyle w:val="ListParagraph"/>
        <w:numPr>
          <w:ilvl w:val="1"/>
          <w:numId w:val="16"/>
        </w:numPr>
        <w:spacing w:after="0" w:line="240" w:lineRule="auto"/>
        <w:ind w:left="1080"/>
        <w:rPr>
          <w:rFonts w:ascii="Palatino Linotype" w:hAnsi="Palatino Linotype"/>
        </w:rPr>
      </w:pPr>
      <w:r w:rsidRPr="00311E65">
        <w:rPr>
          <w:rFonts w:ascii="Palatino Linotype" w:hAnsi="Palatino Linotype"/>
        </w:rPr>
        <w:t>Reentry Facility utility design ($100,000)</w:t>
      </w:r>
    </w:p>
    <w:p w:rsidR="002013D6" w:rsidRPr="00311E65" w:rsidRDefault="002013D6" w:rsidP="002013D6">
      <w:pPr>
        <w:pStyle w:val="ListParagraph"/>
        <w:numPr>
          <w:ilvl w:val="1"/>
          <w:numId w:val="16"/>
        </w:numPr>
        <w:spacing w:after="0" w:line="240" w:lineRule="auto"/>
        <w:ind w:left="1080"/>
        <w:rPr>
          <w:rFonts w:ascii="Palatino Linotype" w:hAnsi="Palatino Linotype"/>
        </w:rPr>
      </w:pPr>
      <w:r w:rsidRPr="00311E65">
        <w:rPr>
          <w:rFonts w:ascii="Palatino Linotype" w:hAnsi="Palatino Linotype"/>
        </w:rPr>
        <w:t xml:space="preserve">New jail project establishment services ($60,000) </w:t>
      </w:r>
    </w:p>
    <w:p w:rsidR="002013D6" w:rsidRPr="00311E65" w:rsidRDefault="002013D6" w:rsidP="002013D6">
      <w:pPr>
        <w:pStyle w:val="ListParagraph"/>
        <w:numPr>
          <w:ilvl w:val="1"/>
          <w:numId w:val="16"/>
        </w:numPr>
        <w:spacing w:after="0" w:line="240" w:lineRule="auto"/>
        <w:ind w:left="1080"/>
        <w:rPr>
          <w:rFonts w:ascii="Palatino Linotype" w:hAnsi="Palatino Linotype"/>
        </w:rPr>
      </w:pPr>
      <w:r w:rsidRPr="00311E65">
        <w:rPr>
          <w:rFonts w:ascii="Palatino Linotype" w:hAnsi="Palatino Linotype"/>
        </w:rPr>
        <w:t>Hall of Justice repairs ($420,000)</w:t>
      </w:r>
    </w:p>
    <w:p w:rsidR="002013D6" w:rsidRPr="00311E65" w:rsidRDefault="002013D6" w:rsidP="002013D6">
      <w:pPr>
        <w:pStyle w:val="ListParagraph"/>
        <w:numPr>
          <w:ilvl w:val="1"/>
          <w:numId w:val="16"/>
        </w:numPr>
        <w:spacing w:after="0" w:line="240" w:lineRule="auto"/>
        <w:ind w:left="1080"/>
        <w:rPr>
          <w:rFonts w:ascii="Palatino Linotype" w:hAnsi="Palatino Linotype"/>
        </w:rPr>
      </w:pPr>
      <w:r w:rsidRPr="00311E65">
        <w:rPr>
          <w:rFonts w:ascii="Palatino Linotype" w:hAnsi="Palatino Linotype"/>
        </w:rPr>
        <w:t>Countywide ADA project design work ($236,000)</w:t>
      </w:r>
    </w:p>
    <w:p w:rsidR="002013D6" w:rsidRDefault="002013D6" w:rsidP="002013D6">
      <w:pPr>
        <w:pStyle w:val="ListParagraph"/>
        <w:spacing w:after="0" w:line="240" w:lineRule="auto"/>
        <w:rPr>
          <w:rFonts w:ascii="Palatino Linotype" w:hAnsi="Palatino Linotype"/>
        </w:rPr>
      </w:pPr>
    </w:p>
    <w:p w:rsidR="002013D6" w:rsidRPr="00A9518E" w:rsidRDefault="002013D6" w:rsidP="002013D6">
      <w:pPr>
        <w:pStyle w:val="ListParagraph"/>
        <w:numPr>
          <w:ilvl w:val="0"/>
          <w:numId w:val="16"/>
        </w:numPr>
        <w:spacing w:after="0" w:line="240" w:lineRule="auto"/>
        <w:ind w:left="720"/>
        <w:rPr>
          <w:rFonts w:ascii="Palatino Linotype" w:hAnsi="Palatino Linotype"/>
        </w:rPr>
      </w:pPr>
      <w:r w:rsidRPr="00A9518E">
        <w:rPr>
          <w:rFonts w:ascii="Palatino Linotype" w:hAnsi="Palatino Linotype"/>
        </w:rPr>
        <w:t xml:space="preserve">Projects for which Board approval is requested </w:t>
      </w:r>
      <w:r w:rsidR="0014626E">
        <w:rPr>
          <w:rFonts w:ascii="Palatino Linotype" w:hAnsi="Palatino Linotype"/>
        </w:rPr>
        <w:t>today</w:t>
      </w:r>
      <w:r w:rsidRPr="00A9518E">
        <w:rPr>
          <w:rFonts w:ascii="Palatino Linotype" w:hAnsi="Palatino Linotype"/>
        </w:rPr>
        <w:t xml:space="preserve"> </w:t>
      </w:r>
      <w:r w:rsidR="0014626E">
        <w:rPr>
          <w:rFonts w:ascii="Palatino Linotype" w:hAnsi="Palatino Linotype"/>
        </w:rPr>
        <w:t>(</w:t>
      </w:r>
      <w:r w:rsidRPr="00A9518E">
        <w:rPr>
          <w:rFonts w:ascii="Palatino Linotype" w:hAnsi="Palatino Linotype"/>
        </w:rPr>
        <w:t>specific requests are listed in Attachment A, Requested Budget Adjustments</w:t>
      </w:r>
      <w:r w:rsidR="0014626E">
        <w:rPr>
          <w:rFonts w:ascii="Palatino Linotype" w:hAnsi="Palatino Linotype"/>
        </w:rPr>
        <w:t>)</w:t>
      </w:r>
      <w:r w:rsidRPr="00A9518E">
        <w:rPr>
          <w:rFonts w:ascii="Palatino Linotype" w:hAnsi="Palatino Linotype"/>
        </w:rPr>
        <w:t>:</w:t>
      </w:r>
    </w:p>
    <w:p w:rsidR="002013D6" w:rsidRPr="00311E65" w:rsidRDefault="002013D6" w:rsidP="002013D6">
      <w:pPr>
        <w:pStyle w:val="ListParagraph"/>
        <w:numPr>
          <w:ilvl w:val="0"/>
          <w:numId w:val="35"/>
        </w:numPr>
        <w:spacing w:after="0" w:line="240" w:lineRule="auto"/>
        <w:ind w:left="1080"/>
        <w:rPr>
          <w:rFonts w:ascii="Palatino Linotype" w:hAnsi="Palatino Linotype"/>
        </w:rPr>
      </w:pPr>
      <w:r w:rsidRPr="00311E65">
        <w:rPr>
          <w:rFonts w:ascii="Palatino Linotype" w:hAnsi="Palatino Linotype"/>
        </w:rPr>
        <w:t>Continued preparation of the new jail site ($100,000)</w:t>
      </w:r>
    </w:p>
    <w:p w:rsidR="002013D6" w:rsidRPr="00311E65" w:rsidRDefault="002013D6" w:rsidP="002013D6">
      <w:pPr>
        <w:pStyle w:val="ListParagraph"/>
        <w:numPr>
          <w:ilvl w:val="0"/>
          <w:numId w:val="35"/>
        </w:numPr>
        <w:spacing w:after="0" w:line="240" w:lineRule="auto"/>
        <w:ind w:left="1080"/>
        <w:rPr>
          <w:rFonts w:ascii="Palatino Linotype" w:hAnsi="Palatino Linotype"/>
        </w:rPr>
      </w:pPr>
      <w:r w:rsidRPr="00311E65">
        <w:rPr>
          <w:rFonts w:ascii="Palatino Linotype" w:hAnsi="Palatino Linotype"/>
        </w:rPr>
        <w:t>Smoke sealing/fire prevention in the existing jail ($120,000)</w:t>
      </w:r>
    </w:p>
    <w:p w:rsidR="002013D6" w:rsidRDefault="002013D6" w:rsidP="002013D6">
      <w:pPr>
        <w:pStyle w:val="ListParagraph"/>
        <w:numPr>
          <w:ilvl w:val="0"/>
          <w:numId w:val="35"/>
        </w:numPr>
        <w:spacing w:after="0" w:line="240" w:lineRule="auto"/>
        <w:ind w:left="1080"/>
        <w:rPr>
          <w:rFonts w:ascii="Palatino Linotype" w:hAnsi="Palatino Linotype"/>
        </w:rPr>
      </w:pPr>
      <w:r>
        <w:rPr>
          <w:rFonts w:ascii="Palatino Linotype" w:hAnsi="Palatino Linotype"/>
        </w:rPr>
        <w:t>A</w:t>
      </w:r>
      <w:r w:rsidRPr="00311E65">
        <w:rPr>
          <w:rFonts w:ascii="Palatino Linotype" w:hAnsi="Palatino Linotype"/>
        </w:rPr>
        <w:t xml:space="preserve">rchiving of </w:t>
      </w:r>
      <w:r>
        <w:rPr>
          <w:rFonts w:ascii="Palatino Linotype" w:hAnsi="Palatino Linotype"/>
        </w:rPr>
        <w:t xml:space="preserve">certain historical </w:t>
      </w:r>
      <w:r w:rsidRPr="00311E65">
        <w:rPr>
          <w:rFonts w:ascii="Palatino Linotype" w:hAnsi="Palatino Linotype"/>
        </w:rPr>
        <w:t>County documents ($150,000)</w:t>
      </w:r>
      <w:r>
        <w:rPr>
          <w:rFonts w:ascii="Palatino Linotype" w:hAnsi="Palatino Linotype"/>
        </w:rPr>
        <w:t>, the first step in efforts to permanently reduce County</w:t>
      </w:r>
      <w:r w:rsidRPr="00311E65">
        <w:rPr>
          <w:rFonts w:ascii="Palatino Linotype" w:hAnsi="Palatino Linotype"/>
        </w:rPr>
        <w:t xml:space="preserve"> paper storage needs and costs. </w:t>
      </w:r>
      <w:r>
        <w:rPr>
          <w:rFonts w:ascii="Palatino Linotype" w:hAnsi="Palatino Linotype"/>
        </w:rPr>
        <w:t xml:space="preserve"> (These costs are being funded from the ACO in place of a major capital project to renovate a building at South Campus for records storage.)</w:t>
      </w:r>
    </w:p>
    <w:p w:rsidR="002013D6" w:rsidRPr="00311E65" w:rsidRDefault="002013D6" w:rsidP="002013D6">
      <w:pPr>
        <w:pStyle w:val="ListParagraph"/>
        <w:spacing w:after="0" w:line="240" w:lineRule="auto"/>
        <w:ind w:left="1080"/>
        <w:rPr>
          <w:rFonts w:ascii="Palatino Linotype" w:hAnsi="Palatino Linotype"/>
        </w:rPr>
      </w:pPr>
    </w:p>
    <w:p w:rsidR="002013D6" w:rsidRDefault="002013D6" w:rsidP="002013D6">
      <w:pPr>
        <w:pStyle w:val="ListParagraph"/>
        <w:numPr>
          <w:ilvl w:val="0"/>
          <w:numId w:val="8"/>
        </w:numPr>
        <w:spacing w:after="0" w:line="240" w:lineRule="auto"/>
        <w:ind w:left="720"/>
        <w:rPr>
          <w:rFonts w:ascii="Palatino Linotype" w:hAnsi="Palatino Linotype"/>
        </w:rPr>
      </w:pPr>
      <w:r>
        <w:rPr>
          <w:rFonts w:ascii="Palatino Linotype" w:hAnsi="Palatino Linotype"/>
        </w:rPr>
        <w:t>Project for which Board approval is requested on today’s consent calendar (April 4, 2017):</w:t>
      </w:r>
    </w:p>
    <w:p w:rsidR="002013D6" w:rsidRPr="00344AA8" w:rsidRDefault="002013D6" w:rsidP="002013D6">
      <w:pPr>
        <w:pStyle w:val="ListParagraph"/>
        <w:numPr>
          <w:ilvl w:val="1"/>
          <w:numId w:val="8"/>
        </w:numPr>
        <w:spacing w:after="0" w:line="240" w:lineRule="auto"/>
        <w:ind w:left="1080"/>
        <w:rPr>
          <w:rFonts w:ascii="Palatino Linotype" w:hAnsi="Palatino Linotype"/>
        </w:rPr>
      </w:pPr>
      <w:r>
        <w:rPr>
          <w:rFonts w:ascii="Palatino Linotype" w:hAnsi="Palatino Linotype"/>
        </w:rPr>
        <w:t>New jail offsite utilities and advance demolition work ($</w:t>
      </w:r>
      <w:r w:rsidR="00272B7C">
        <w:rPr>
          <w:rFonts w:ascii="Palatino Linotype" w:hAnsi="Palatino Linotype"/>
        </w:rPr>
        <w:t>5,853,000)</w:t>
      </w:r>
    </w:p>
    <w:p w:rsidR="002013D6" w:rsidRPr="00F814BB" w:rsidRDefault="002013D6" w:rsidP="003159B5">
      <w:pPr>
        <w:rPr>
          <w:rFonts w:ascii="Palatino Linotype" w:hAnsi="Palatino Linotype"/>
          <w:sz w:val="22"/>
          <w:szCs w:val="22"/>
          <w:highlight w:val="yellow"/>
        </w:rPr>
      </w:pPr>
    </w:p>
    <w:p w:rsidR="00F814BB" w:rsidRPr="00F814BB" w:rsidRDefault="00F814BB" w:rsidP="003159B5">
      <w:pPr>
        <w:rPr>
          <w:rFonts w:ascii="Palatino Linotype" w:hAnsi="Palatino Linotype"/>
          <w:sz w:val="22"/>
          <w:szCs w:val="22"/>
        </w:rPr>
      </w:pPr>
      <w:r w:rsidRPr="00F814BB">
        <w:rPr>
          <w:rFonts w:ascii="Palatino Linotype" w:hAnsi="Palatino Linotype"/>
          <w:sz w:val="22"/>
          <w:szCs w:val="22"/>
        </w:rPr>
        <w:t>Attachment A includes a list of requested budget adjustments to provide necessary appropriations authority for the remainder of the fiscal year.</w:t>
      </w:r>
    </w:p>
    <w:p w:rsidR="00F814BB" w:rsidRPr="00F814BB" w:rsidRDefault="00F814BB" w:rsidP="003159B5">
      <w:pPr>
        <w:rPr>
          <w:rFonts w:ascii="Palatino Linotype" w:hAnsi="Palatino Linotype"/>
          <w:sz w:val="22"/>
          <w:szCs w:val="22"/>
          <w:highlight w:val="yellow"/>
        </w:rPr>
      </w:pPr>
    </w:p>
    <w:p w:rsidR="00A61FD8" w:rsidRPr="00D55A61" w:rsidRDefault="00A61FD8" w:rsidP="006E0425">
      <w:pPr>
        <w:rPr>
          <w:rFonts w:ascii="Palatino Linotype" w:hAnsi="Palatino Linotype"/>
        </w:rPr>
      </w:pPr>
      <w:r w:rsidRPr="00D55A61">
        <w:rPr>
          <w:rFonts w:ascii="Palatino Linotype" w:hAnsi="Palatino Linotype"/>
          <w:b/>
        </w:rPr>
        <w:t xml:space="preserve">State </w:t>
      </w:r>
      <w:r w:rsidR="00D55A61">
        <w:rPr>
          <w:rFonts w:ascii="Palatino Linotype" w:hAnsi="Palatino Linotype"/>
          <w:b/>
        </w:rPr>
        <w:t xml:space="preserve">and Federal </w:t>
      </w:r>
      <w:r w:rsidRPr="00D55A61">
        <w:rPr>
          <w:rFonts w:ascii="Palatino Linotype" w:hAnsi="Palatino Linotype"/>
          <w:b/>
        </w:rPr>
        <w:t>Budget</w:t>
      </w:r>
      <w:r w:rsidR="00D55A61">
        <w:rPr>
          <w:rFonts w:ascii="Palatino Linotype" w:hAnsi="Palatino Linotype"/>
          <w:b/>
        </w:rPr>
        <w:t>s</w:t>
      </w:r>
      <w:r w:rsidRPr="00D55A61">
        <w:rPr>
          <w:rFonts w:ascii="Palatino Linotype" w:hAnsi="Palatino Linotype"/>
          <w:b/>
        </w:rPr>
        <w:t xml:space="preserve"> </w:t>
      </w:r>
    </w:p>
    <w:p w:rsidR="00A61FD8" w:rsidRPr="0017649D" w:rsidRDefault="00A61FD8" w:rsidP="006E0425">
      <w:pPr>
        <w:rPr>
          <w:rFonts w:ascii="Palatino Linotype" w:hAnsi="Palatino Linotype"/>
          <w:sz w:val="22"/>
          <w:szCs w:val="22"/>
        </w:rPr>
      </w:pPr>
    </w:p>
    <w:p w:rsidR="00600297" w:rsidRPr="0017649D" w:rsidRDefault="00A61FD8" w:rsidP="0017649D">
      <w:pPr>
        <w:autoSpaceDE w:val="0"/>
        <w:autoSpaceDN w:val="0"/>
        <w:adjustRightInd w:val="0"/>
        <w:rPr>
          <w:rFonts w:ascii="Palatino Linotype" w:hAnsi="Palatino Linotype"/>
          <w:sz w:val="22"/>
          <w:szCs w:val="22"/>
        </w:rPr>
      </w:pPr>
      <w:r w:rsidRPr="0017649D">
        <w:rPr>
          <w:rFonts w:ascii="Palatino Linotype" w:hAnsi="Palatino Linotype"/>
          <w:sz w:val="22"/>
          <w:szCs w:val="22"/>
        </w:rPr>
        <w:t xml:space="preserve">On January </w:t>
      </w:r>
      <w:r w:rsidR="00600297" w:rsidRPr="0017649D">
        <w:rPr>
          <w:rFonts w:ascii="Palatino Linotype" w:hAnsi="Palatino Linotype"/>
          <w:sz w:val="22"/>
          <w:szCs w:val="22"/>
        </w:rPr>
        <w:t>10</w:t>
      </w:r>
      <w:r w:rsidRPr="0017649D">
        <w:rPr>
          <w:rFonts w:ascii="Palatino Linotype" w:hAnsi="Palatino Linotype"/>
          <w:sz w:val="22"/>
          <w:szCs w:val="22"/>
        </w:rPr>
        <w:t>, the Governor released his proposed FY</w:t>
      </w:r>
      <w:r w:rsidR="007E36F4" w:rsidRPr="0017649D">
        <w:rPr>
          <w:rFonts w:ascii="Palatino Linotype" w:hAnsi="Palatino Linotype"/>
          <w:sz w:val="22"/>
          <w:szCs w:val="22"/>
        </w:rPr>
        <w:t xml:space="preserve"> </w:t>
      </w:r>
      <w:r w:rsidR="00EB3B0E" w:rsidRPr="0017649D">
        <w:rPr>
          <w:rFonts w:ascii="Palatino Linotype" w:hAnsi="Palatino Linotype"/>
          <w:sz w:val="22"/>
          <w:szCs w:val="22"/>
        </w:rPr>
        <w:t>201</w:t>
      </w:r>
      <w:r w:rsidR="0055606C" w:rsidRPr="0017649D">
        <w:rPr>
          <w:rFonts w:ascii="Palatino Linotype" w:hAnsi="Palatino Linotype"/>
          <w:sz w:val="22"/>
          <w:szCs w:val="22"/>
        </w:rPr>
        <w:t>7</w:t>
      </w:r>
      <w:r w:rsidR="00EB3B0E" w:rsidRPr="0017649D">
        <w:rPr>
          <w:rFonts w:ascii="Palatino Linotype" w:hAnsi="Palatino Linotype"/>
          <w:sz w:val="22"/>
          <w:szCs w:val="22"/>
        </w:rPr>
        <w:t>-1</w:t>
      </w:r>
      <w:r w:rsidR="0055606C" w:rsidRPr="0017649D">
        <w:rPr>
          <w:rFonts w:ascii="Palatino Linotype" w:hAnsi="Palatino Linotype"/>
          <w:sz w:val="22"/>
          <w:szCs w:val="22"/>
        </w:rPr>
        <w:t>8</w:t>
      </w:r>
      <w:r w:rsidRPr="0017649D">
        <w:rPr>
          <w:rFonts w:ascii="Palatino Linotype" w:hAnsi="Palatino Linotype"/>
          <w:sz w:val="22"/>
          <w:szCs w:val="22"/>
        </w:rPr>
        <w:t xml:space="preserve"> State Budget</w:t>
      </w:r>
      <w:r w:rsidR="0017649D" w:rsidRPr="0017649D">
        <w:rPr>
          <w:rFonts w:ascii="Palatino Linotype" w:hAnsi="Palatino Linotype"/>
          <w:sz w:val="22"/>
          <w:szCs w:val="22"/>
        </w:rPr>
        <w:t>, which would</w:t>
      </w:r>
      <w:r w:rsidR="00600297" w:rsidRPr="0017649D">
        <w:rPr>
          <w:rFonts w:ascii="Palatino Linotype" w:hAnsi="Palatino Linotype"/>
          <w:sz w:val="22"/>
          <w:szCs w:val="22"/>
        </w:rPr>
        <w:t xml:space="preserve"> eliminate a projected $2 billion deficit and bolsters the state’s Rainy Day Fund while continuing to invest in education, health care expansion and other core programs.</w:t>
      </w:r>
      <w:r w:rsidR="0017649D" w:rsidRPr="0017649D">
        <w:rPr>
          <w:rFonts w:ascii="Palatino Linotype" w:hAnsi="Palatino Linotype"/>
          <w:sz w:val="22"/>
          <w:szCs w:val="22"/>
        </w:rPr>
        <w:t xml:space="preserve">  </w:t>
      </w:r>
      <w:r w:rsidR="0017649D" w:rsidRPr="0017649D">
        <w:rPr>
          <w:rFonts w:ascii="Palatino Linotype" w:hAnsi="Palatino Linotype" w:cs="Calibri"/>
          <w:sz w:val="22"/>
          <w:szCs w:val="22"/>
        </w:rPr>
        <w:t xml:space="preserve">The proposed budget notes that revenues are expected to continue to increase, although at a reduced rate. </w:t>
      </w:r>
      <w:r w:rsidR="00965E60">
        <w:rPr>
          <w:rFonts w:ascii="Palatino Linotype" w:hAnsi="Palatino Linotype" w:cs="Calibri"/>
          <w:sz w:val="22"/>
          <w:szCs w:val="22"/>
        </w:rPr>
        <w:t xml:space="preserve"> </w:t>
      </w:r>
      <w:r w:rsidR="0017649D" w:rsidRPr="0017649D">
        <w:rPr>
          <w:rFonts w:ascii="Palatino Linotype" w:hAnsi="Palatino Linotype" w:cs="Calibri"/>
          <w:sz w:val="22"/>
          <w:szCs w:val="22"/>
        </w:rPr>
        <w:t xml:space="preserve">Consequently, the budget projects a $1.6 </w:t>
      </w:r>
      <w:r w:rsidR="0017649D" w:rsidRPr="0017649D">
        <w:rPr>
          <w:rFonts w:ascii="Palatino Linotype" w:hAnsi="Palatino Linotype" w:cs="Calibri"/>
          <w:sz w:val="22"/>
          <w:szCs w:val="22"/>
        </w:rPr>
        <w:lastRenderedPageBreak/>
        <w:t>billion deficit in the coming year – the first deficit in four years – without “corrective action.” As in previous years, the proposed budget emphasizes preparation for an inevitable recession.</w:t>
      </w:r>
    </w:p>
    <w:p w:rsidR="00600297" w:rsidRPr="0017649D" w:rsidRDefault="00600297" w:rsidP="006E0425">
      <w:pPr>
        <w:rPr>
          <w:rFonts w:ascii="Palatino Linotype" w:hAnsi="Palatino Linotype"/>
          <w:sz w:val="22"/>
          <w:szCs w:val="22"/>
        </w:rPr>
      </w:pPr>
    </w:p>
    <w:p w:rsidR="00E859FB" w:rsidRPr="0017649D" w:rsidRDefault="00E859FB" w:rsidP="00E859FB">
      <w:pPr>
        <w:pStyle w:val="NormalWeb"/>
        <w:spacing w:before="0" w:beforeAutospacing="0" w:after="0" w:afterAutospacing="0"/>
        <w:rPr>
          <w:rFonts w:ascii="Palatino Linotype" w:hAnsi="Palatino Linotype"/>
          <w:sz w:val="22"/>
          <w:szCs w:val="22"/>
        </w:rPr>
      </w:pPr>
      <w:r w:rsidRPr="0017649D">
        <w:rPr>
          <w:rFonts w:ascii="Palatino Linotype" w:hAnsi="Palatino Linotype"/>
          <w:sz w:val="22"/>
          <w:szCs w:val="22"/>
        </w:rPr>
        <w:t>Key elements include:</w:t>
      </w:r>
    </w:p>
    <w:p w:rsidR="00E859FB" w:rsidRPr="0017649D" w:rsidRDefault="00E859FB" w:rsidP="00E859FB">
      <w:pPr>
        <w:pStyle w:val="NormalWeb"/>
        <w:spacing w:before="0" w:beforeAutospacing="0" w:after="0" w:afterAutospacing="0"/>
        <w:rPr>
          <w:rFonts w:ascii="Palatino Linotype" w:hAnsi="Palatino Linotype"/>
          <w:sz w:val="22"/>
          <w:szCs w:val="22"/>
        </w:rPr>
      </w:pPr>
      <w:r w:rsidRPr="0017649D">
        <w:rPr>
          <w:rFonts w:ascii="Palatino Linotype" w:hAnsi="Palatino Linotype"/>
          <w:sz w:val="22"/>
          <w:szCs w:val="22"/>
        </w:rPr>
        <w:t> </w:t>
      </w:r>
    </w:p>
    <w:p w:rsidR="00E859FB" w:rsidRPr="007B5C05" w:rsidRDefault="00E859FB" w:rsidP="00E859FB">
      <w:pPr>
        <w:pStyle w:val="NormalWeb"/>
        <w:numPr>
          <w:ilvl w:val="0"/>
          <w:numId w:val="29"/>
        </w:numPr>
        <w:spacing w:before="0" w:beforeAutospacing="0" w:after="0" w:afterAutospacing="0"/>
        <w:rPr>
          <w:rFonts w:ascii="Palatino Linotype" w:hAnsi="Palatino Linotype"/>
          <w:sz w:val="22"/>
          <w:szCs w:val="22"/>
        </w:rPr>
      </w:pPr>
      <w:r w:rsidRPr="0017649D">
        <w:rPr>
          <w:rFonts w:ascii="Palatino Linotype" w:hAnsi="Palatino Linotype"/>
          <w:sz w:val="22"/>
          <w:szCs w:val="22"/>
        </w:rPr>
        <w:t>$3.2 billion in solutions to ensure a balanced budget, including adjusting Proposition 98 spending, recapturing unspent allocations from 2016 and constraining some projected spending growth.  In total</w:t>
      </w:r>
      <w:r w:rsidRPr="007B5C05">
        <w:rPr>
          <w:rFonts w:ascii="Palatino Linotype" w:hAnsi="Palatino Linotype"/>
          <w:sz w:val="22"/>
          <w:szCs w:val="22"/>
        </w:rPr>
        <w:t>, General Fund spending remains flat compared to 2016-17.</w:t>
      </w:r>
    </w:p>
    <w:p w:rsidR="00E859FB" w:rsidRPr="007B5C05" w:rsidRDefault="00E859FB" w:rsidP="00E859FB">
      <w:pPr>
        <w:pStyle w:val="NormalWeb"/>
        <w:spacing w:before="0" w:beforeAutospacing="0" w:after="0" w:afterAutospacing="0"/>
        <w:rPr>
          <w:rFonts w:ascii="Palatino Linotype" w:hAnsi="Palatino Linotype"/>
          <w:sz w:val="22"/>
          <w:szCs w:val="22"/>
        </w:rPr>
      </w:pPr>
      <w:r w:rsidRPr="007B5C05">
        <w:rPr>
          <w:rFonts w:ascii="Palatino Linotype" w:hAnsi="Palatino Linotype"/>
          <w:sz w:val="22"/>
          <w:szCs w:val="22"/>
        </w:rPr>
        <w:t> </w:t>
      </w:r>
    </w:p>
    <w:p w:rsidR="00E859FB" w:rsidRPr="007B5C05" w:rsidRDefault="00E859FB" w:rsidP="00E859FB">
      <w:pPr>
        <w:pStyle w:val="NormalWeb"/>
        <w:numPr>
          <w:ilvl w:val="0"/>
          <w:numId w:val="29"/>
        </w:numPr>
        <w:spacing w:before="0" w:beforeAutospacing="0" w:after="0" w:afterAutospacing="0"/>
        <w:rPr>
          <w:rFonts w:ascii="Palatino Linotype" w:hAnsi="Palatino Linotype"/>
          <w:sz w:val="22"/>
          <w:szCs w:val="22"/>
        </w:rPr>
      </w:pPr>
      <w:r>
        <w:rPr>
          <w:rFonts w:ascii="Palatino Linotype" w:hAnsi="Palatino Linotype"/>
          <w:sz w:val="22"/>
          <w:szCs w:val="22"/>
        </w:rPr>
        <w:t>A</w:t>
      </w:r>
      <w:r w:rsidRPr="007B5C05">
        <w:rPr>
          <w:rFonts w:ascii="Palatino Linotype" w:hAnsi="Palatino Linotype"/>
          <w:sz w:val="22"/>
          <w:szCs w:val="22"/>
        </w:rPr>
        <w:t xml:space="preserve"> $1.15 billion deposit in</w:t>
      </w:r>
      <w:r>
        <w:rPr>
          <w:rFonts w:ascii="Palatino Linotype" w:hAnsi="Palatino Linotype"/>
          <w:sz w:val="22"/>
          <w:szCs w:val="22"/>
        </w:rPr>
        <w:t>to</w:t>
      </w:r>
      <w:r w:rsidRPr="007B5C05">
        <w:rPr>
          <w:rFonts w:ascii="Palatino Linotype" w:hAnsi="Palatino Linotype"/>
          <w:sz w:val="22"/>
          <w:szCs w:val="22"/>
        </w:rPr>
        <w:t xml:space="preserve"> the Rainy Day Fund</w:t>
      </w:r>
      <w:r>
        <w:rPr>
          <w:rFonts w:ascii="Palatino Linotype" w:hAnsi="Palatino Linotype"/>
          <w:sz w:val="22"/>
          <w:szCs w:val="22"/>
        </w:rPr>
        <w:t>, so that the balance will reach</w:t>
      </w:r>
      <w:r w:rsidRPr="007B5C05">
        <w:rPr>
          <w:rFonts w:ascii="Palatino Linotype" w:hAnsi="Palatino Linotype"/>
          <w:sz w:val="22"/>
          <w:szCs w:val="22"/>
        </w:rPr>
        <w:t xml:space="preserve"> 63 percent of the constitutional target.</w:t>
      </w:r>
    </w:p>
    <w:p w:rsidR="00E859FB" w:rsidRPr="007B5C05" w:rsidRDefault="00E859FB" w:rsidP="00E859FB">
      <w:pPr>
        <w:pStyle w:val="NormalWeb"/>
        <w:spacing w:before="0" w:beforeAutospacing="0" w:after="0" w:afterAutospacing="0"/>
        <w:rPr>
          <w:rFonts w:ascii="Palatino Linotype" w:hAnsi="Palatino Linotype"/>
          <w:sz w:val="22"/>
          <w:szCs w:val="22"/>
        </w:rPr>
      </w:pPr>
      <w:r w:rsidRPr="007B5C05">
        <w:rPr>
          <w:rFonts w:ascii="Palatino Linotype" w:hAnsi="Palatino Linotype"/>
          <w:sz w:val="22"/>
          <w:szCs w:val="22"/>
        </w:rPr>
        <w:t> </w:t>
      </w:r>
    </w:p>
    <w:p w:rsidR="00E859FB" w:rsidRPr="007B5C05" w:rsidRDefault="00E859FB" w:rsidP="00E859FB">
      <w:pPr>
        <w:pStyle w:val="NormalWeb"/>
        <w:numPr>
          <w:ilvl w:val="0"/>
          <w:numId w:val="29"/>
        </w:numPr>
        <w:spacing w:before="0" w:beforeAutospacing="0" w:after="0" w:afterAutospacing="0"/>
        <w:rPr>
          <w:rFonts w:ascii="Palatino Linotype" w:hAnsi="Palatino Linotype"/>
          <w:sz w:val="22"/>
          <w:szCs w:val="22"/>
        </w:rPr>
      </w:pPr>
      <w:r>
        <w:rPr>
          <w:rFonts w:ascii="Palatino Linotype" w:hAnsi="Palatino Linotype"/>
          <w:sz w:val="22"/>
          <w:szCs w:val="22"/>
        </w:rPr>
        <w:t xml:space="preserve">An increase in </w:t>
      </w:r>
      <w:r w:rsidRPr="007B5C05">
        <w:rPr>
          <w:rFonts w:ascii="Palatino Linotype" w:hAnsi="Palatino Linotype"/>
          <w:sz w:val="22"/>
          <w:szCs w:val="22"/>
        </w:rPr>
        <w:t xml:space="preserve">K-14 funding </w:t>
      </w:r>
      <w:r>
        <w:rPr>
          <w:rFonts w:ascii="Palatino Linotype" w:hAnsi="Palatino Linotype"/>
          <w:sz w:val="22"/>
          <w:szCs w:val="22"/>
        </w:rPr>
        <w:t>t</w:t>
      </w:r>
      <w:r w:rsidRPr="007B5C05">
        <w:rPr>
          <w:rFonts w:ascii="Palatino Linotype" w:hAnsi="Palatino Linotype"/>
          <w:sz w:val="22"/>
          <w:szCs w:val="22"/>
        </w:rPr>
        <w:t xml:space="preserve">o $73.5 billion in 2017-18, up 55 percent – or $26.2 billion – from 2011-12. </w:t>
      </w:r>
      <w:r>
        <w:rPr>
          <w:rFonts w:ascii="Palatino Linotype" w:hAnsi="Palatino Linotype"/>
          <w:sz w:val="22"/>
          <w:szCs w:val="22"/>
        </w:rPr>
        <w:t xml:space="preserve"> </w:t>
      </w:r>
      <w:r w:rsidRPr="007B5C05">
        <w:rPr>
          <w:rFonts w:ascii="Palatino Linotype" w:hAnsi="Palatino Linotype"/>
          <w:sz w:val="22"/>
          <w:szCs w:val="22"/>
        </w:rPr>
        <w:t>For K-12 schools, funding levels will increase by about $3,900 per student i</w:t>
      </w:r>
      <w:r>
        <w:rPr>
          <w:rFonts w:ascii="Palatino Linotype" w:hAnsi="Palatino Linotype"/>
          <w:sz w:val="22"/>
          <w:szCs w:val="22"/>
        </w:rPr>
        <w:t>n 2017-18, over 2011-12 levels.</w:t>
      </w:r>
    </w:p>
    <w:p w:rsidR="00E859FB" w:rsidRPr="007B5C05" w:rsidRDefault="00E859FB" w:rsidP="00E859FB">
      <w:pPr>
        <w:pStyle w:val="NormalWeb"/>
        <w:spacing w:before="0" w:beforeAutospacing="0" w:after="0" w:afterAutospacing="0"/>
        <w:rPr>
          <w:rFonts w:ascii="Palatino Linotype" w:hAnsi="Palatino Linotype"/>
          <w:sz w:val="22"/>
          <w:szCs w:val="22"/>
        </w:rPr>
      </w:pPr>
      <w:r w:rsidRPr="007B5C05">
        <w:rPr>
          <w:rFonts w:ascii="Palatino Linotype" w:hAnsi="Palatino Linotype"/>
          <w:sz w:val="22"/>
          <w:szCs w:val="22"/>
        </w:rPr>
        <w:t> </w:t>
      </w:r>
    </w:p>
    <w:p w:rsidR="00E859FB" w:rsidRPr="007B5C05" w:rsidRDefault="00E859FB" w:rsidP="00E859FB">
      <w:pPr>
        <w:pStyle w:val="NormalWeb"/>
        <w:numPr>
          <w:ilvl w:val="0"/>
          <w:numId w:val="29"/>
        </w:numPr>
        <w:spacing w:before="0" w:beforeAutospacing="0" w:after="0" w:afterAutospacing="0"/>
        <w:rPr>
          <w:rFonts w:ascii="Palatino Linotype" w:hAnsi="Palatino Linotype"/>
          <w:sz w:val="22"/>
          <w:szCs w:val="22"/>
        </w:rPr>
      </w:pPr>
      <w:r w:rsidRPr="007B5C05">
        <w:rPr>
          <w:rFonts w:ascii="Palatino Linotype" w:hAnsi="Palatino Linotype"/>
          <w:bCs/>
          <w:sz w:val="22"/>
          <w:szCs w:val="22"/>
        </w:rPr>
        <w:t xml:space="preserve">Continuing </w:t>
      </w:r>
      <w:r w:rsidRPr="007B5C05">
        <w:rPr>
          <w:rFonts w:ascii="Palatino Linotype" w:hAnsi="Palatino Linotype"/>
          <w:sz w:val="22"/>
          <w:szCs w:val="22"/>
        </w:rPr>
        <w:t>enrollment</w:t>
      </w:r>
      <w:r>
        <w:rPr>
          <w:rFonts w:ascii="Palatino Linotype" w:hAnsi="Palatino Linotype"/>
          <w:sz w:val="22"/>
          <w:szCs w:val="22"/>
        </w:rPr>
        <w:t>s in</w:t>
      </w:r>
      <w:r w:rsidRPr="007B5C05">
        <w:rPr>
          <w:rFonts w:ascii="Palatino Linotype" w:hAnsi="Palatino Linotype"/>
          <w:sz w:val="22"/>
          <w:szCs w:val="22"/>
        </w:rPr>
        <w:t xml:space="preserve"> Medi-Cal </w:t>
      </w:r>
      <w:r>
        <w:rPr>
          <w:rFonts w:ascii="Palatino Linotype" w:hAnsi="Palatino Linotype"/>
          <w:bCs/>
          <w:sz w:val="22"/>
          <w:szCs w:val="22"/>
        </w:rPr>
        <w:t xml:space="preserve">under </w:t>
      </w:r>
      <w:r>
        <w:rPr>
          <w:rFonts w:ascii="Palatino Linotype" w:hAnsi="Palatino Linotype"/>
          <w:sz w:val="22"/>
          <w:szCs w:val="22"/>
        </w:rPr>
        <w:t xml:space="preserve">the </w:t>
      </w:r>
      <w:r w:rsidRPr="007B5C05">
        <w:rPr>
          <w:rFonts w:ascii="Palatino Linotype" w:hAnsi="Palatino Linotype"/>
          <w:sz w:val="22"/>
          <w:szCs w:val="22"/>
        </w:rPr>
        <w:t>federal Affordable Care Act, with the state’s General Fund share of cost increasing from $888 million to nearly $1.6 billion.</w:t>
      </w:r>
    </w:p>
    <w:p w:rsidR="00E859FB" w:rsidRPr="007B5C05" w:rsidRDefault="00E859FB" w:rsidP="00E859FB">
      <w:pPr>
        <w:pStyle w:val="NormalWeb"/>
        <w:spacing w:before="0" w:beforeAutospacing="0" w:after="0" w:afterAutospacing="0"/>
        <w:rPr>
          <w:rFonts w:ascii="Palatino Linotype" w:hAnsi="Palatino Linotype"/>
          <w:sz w:val="22"/>
          <w:szCs w:val="22"/>
        </w:rPr>
      </w:pPr>
      <w:r w:rsidRPr="007B5C05">
        <w:rPr>
          <w:rFonts w:ascii="Palatino Linotype" w:hAnsi="Palatino Linotype"/>
          <w:sz w:val="22"/>
          <w:szCs w:val="22"/>
        </w:rPr>
        <w:t> </w:t>
      </w:r>
    </w:p>
    <w:p w:rsidR="00E859FB" w:rsidRPr="007B5C05" w:rsidRDefault="00E859FB" w:rsidP="00E859FB">
      <w:pPr>
        <w:pStyle w:val="NormalWeb"/>
        <w:numPr>
          <w:ilvl w:val="0"/>
          <w:numId w:val="29"/>
        </w:numPr>
        <w:spacing w:before="0" w:beforeAutospacing="0" w:after="0" w:afterAutospacing="0"/>
        <w:rPr>
          <w:rFonts w:ascii="Palatino Linotype" w:hAnsi="Palatino Linotype"/>
          <w:sz w:val="22"/>
          <w:szCs w:val="22"/>
        </w:rPr>
      </w:pPr>
      <w:r>
        <w:rPr>
          <w:rFonts w:ascii="Palatino Linotype" w:hAnsi="Palatino Linotype"/>
          <w:sz w:val="22"/>
          <w:szCs w:val="22"/>
        </w:rPr>
        <w:t>C</w:t>
      </w:r>
      <w:r w:rsidRPr="007B5C05">
        <w:rPr>
          <w:rFonts w:ascii="Palatino Linotype" w:hAnsi="Palatino Linotype"/>
          <w:sz w:val="22"/>
          <w:szCs w:val="22"/>
        </w:rPr>
        <w:t>ontinue</w:t>
      </w:r>
      <w:r>
        <w:rPr>
          <w:rFonts w:ascii="Palatino Linotype" w:hAnsi="Palatino Linotype"/>
          <w:sz w:val="22"/>
          <w:szCs w:val="22"/>
        </w:rPr>
        <w:t>d</w:t>
      </w:r>
      <w:r w:rsidRPr="007B5C05">
        <w:rPr>
          <w:rFonts w:ascii="Palatino Linotype" w:hAnsi="Palatino Linotype"/>
          <w:sz w:val="22"/>
          <w:szCs w:val="22"/>
        </w:rPr>
        <w:t xml:space="preserve"> fund</w:t>
      </w:r>
      <w:r>
        <w:rPr>
          <w:rFonts w:ascii="Palatino Linotype" w:hAnsi="Palatino Linotype"/>
          <w:sz w:val="22"/>
          <w:szCs w:val="22"/>
        </w:rPr>
        <w:t>ing of</w:t>
      </w:r>
      <w:r w:rsidRPr="007B5C05">
        <w:rPr>
          <w:rFonts w:ascii="Palatino Linotype" w:hAnsi="Palatino Linotype"/>
          <w:sz w:val="22"/>
          <w:szCs w:val="22"/>
        </w:rPr>
        <w:t>:</w:t>
      </w:r>
    </w:p>
    <w:p w:rsidR="00E859FB" w:rsidRPr="007B5C05" w:rsidRDefault="00E859FB" w:rsidP="00E859FB">
      <w:pPr>
        <w:pStyle w:val="NormalWeb"/>
        <w:numPr>
          <w:ilvl w:val="1"/>
          <w:numId w:val="29"/>
        </w:numPr>
        <w:spacing w:before="0" w:beforeAutospacing="0" w:after="0" w:afterAutospacing="0"/>
        <w:rPr>
          <w:rFonts w:ascii="Palatino Linotype" w:hAnsi="Palatino Linotype"/>
          <w:sz w:val="22"/>
          <w:szCs w:val="22"/>
        </w:rPr>
      </w:pPr>
      <w:r w:rsidRPr="007B5C05">
        <w:rPr>
          <w:rFonts w:ascii="Palatino Linotype" w:hAnsi="Palatino Linotype"/>
          <w:sz w:val="22"/>
          <w:szCs w:val="22"/>
        </w:rPr>
        <w:t>The rising state minimum wage, which is scheduled to increase to $11 per hour in 2018 and $15 per hour over time.</w:t>
      </w:r>
    </w:p>
    <w:p w:rsidR="00E859FB" w:rsidRPr="007B5C05" w:rsidRDefault="00E859FB" w:rsidP="00E859FB">
      <w:pPr>
        <w:pStyle w:val="ListParagraph"/>
        <w:numPr>
          <w:ilvl w:val="1"/>
          <w:numId w:val="31"/>
        </w:numPr>
        <w:spacing w:after="0" w:line="240" w:lineRule="auto"/>
        <w:contextualSpacing/>
        <w:rPr>
          <w:rFonts w:ascii="Palatino Linotype" w:hAnsi="Palatino Linotype"/>
        </w:rPr>
      </w:pPr>
      <w:r w:rsidRPr="007B5C05">
        <w:rPr>
          <w:rFonts w:ascii="Palatino Linotype" w:hAnsi="Palatino Linotype"/>
        </w:rPr>
        <w:t>California’s Earned Income Tax Credit. </w:t>
      </w:r>
    </w:p>
    <w:p w:rsidR="00E859FB" w:rsidRPr="007B5C05" w:rsidRDefault="00E859FB" w:rsidP="00E859FB">
      <w:pPr>
        <w:pStyle w:val="ListParagraph"/>
        <w:numPr>
          <w:ilvl w:val="1"/>
          <w:numId w:val="31"/>
        </w:numPr>
        <w:spacing w:after="0" w:line="240" w:lineRule="auto"/>
        <w:contextualSpacing/>
        <w:rPr>
          <w:rFonts w:ascii="Palatino Linotype" w:hAnsi="Palatino Linotype"/>
        </w:rPr>
      </w:pPr>
      <w:r w:rsidRPr="007B5C05">
        <w:rPr>
          <w:rFonts w:ascii="Palatino Linotype" w:hAnsi="Palatino Linotype"/>
        </w:rPr>
        <w:t>The first cost-of-living adjustment for Supplemental Security Income/State Supplementary Payment recipients since 2005.</w:t>
      </w:r>
    </w:p>
    <w:p w:rsidR="00E859FB" w:rsidRPr="007B5C05" w:rsidRDefault="00E859FB" w:rsidP="00E859FB">
      <w:pPr>
        <w:pStyle w:val="ListParagraph"/>
        <w:numPr>
          <w:ilvl w:val="1"/>
          <w:numId w:val="31"/>
        </w:numPr>
        <w:spacing w:after="0" w:line="240" w:lineRule="auto"/>
        <w:contextualSpacing/>
        <w:rPr>
          <w:rFonts w:ascii="Palatino Linotype" w:hAnsi="Palatino Linotype"/>
        </w:rPr>
      </w:pPr>
      <w:r w:rsidRPr="007B5C05">
        <w:rPr>
          <w:rFonts w:ascii="Palatino Linotype" w:hAnsi="Palatino Linotype"/>
        </w:rPr>
        <w:t>The repeal of the maximum family grant rule in CalWORKs, which denied aid to children who were born while their parents were receiving aid.</w:t>
      </w:r>
    </w:p>
    <w:p w:rsidR="00E859FB" w:rsidRPr="007B5C05" w:rsidRDefault="00E859FB" w:rsidP="00E859FB">
      <w:pPr>
        <w:pStyle w:val="ListParagraph"/>
        <w:numPr>
          <w:ilvl w:val="1"/>
          <w:numId w:val="31"/>
        </w:numPr>
        <w:spacing w:after="0" w:line="240" w:lineRule="auto"/>
        <w:contextualSpacing/>
        <w:rPr>
          <w:rFonts w:ascii="Palatino Linotype" w:hAnsi="Palatino Linotype"/>
        </w:rPr>
      </w:pPr>
      <w:r w:rsidRPr="007B5C05">
        <w:rPr>
          <w:rFonts w:ascii="Palatino Linotype" w:hAnsi="Palatino Linotype"/>
        </w:rPr>
        <w:t>Increases in child care and early education provider rates and children served totaling $837 million.</w:t>
      </w:r>
    </w:p>
    <w:p w:rsidR="00E859FB" w:rsidRPr="007B5C05" w:rsidRDefault="00E859FB" w:rsidP="00E859FB">
      <w:pPr>
        <w:pStyle w:val="NormalWeb"/>
        <w:spacing w:before="0" w:beforeAutospacing="0" w:after="0" w:afterAutospacing="0"/>
        <w:rPr>
          <w:rFonts w:ascii="Palatino Linotype" w:hAnsi="Palatino Linotype"/>
          <w:sz w:val="22"/>
          <w:szCs w:val="22"/>
        </w:rPr>
      </w:pPr>
      <w:r w:rsidRPr="007B5C05">
        <w:rPr>
          <w:rFonts w:ascii="Palatino Linotype" w:hAnsi="Palatino Linotype"/>
          <w:sz w:val="22"/>
          <w:szCs w:val="22"/>
        </w:rPr>
        <w:t> </w:t>
      </w:r>
    </w:p>
    <w:p w:rsidR="00E859FB" w:rsidRPr="007B5C05" w:rsidRDefault="00E859FB" w:rsidP="00E859FB">
      <w:pPr>
        <w:pStyle w:val="NormalWeb"/>
        <w:numPr>
          <w:ilvl w:val="0"/>
          <w:numId w:val="30"/>
        </w:numPr>
        <w:spacing w:before="0" w:beforeAutospacing="0" w:after="0" w:afterAutospacing="0"/>
        <w:rPr>
          <w:rFonts w:ascii="Palatino Linotype" w:hAnsi="Palatino Linotype"/>
          <w:sz w:val="22"/>
          <w:szCs w:val="22"/>
        </w:rPr>
      </w:pPr>
      <w:r>
        <w:rPr>
          <w:rFonts w:ascii="Palatino Linotype" w:hAnsi="Palatino Linotype"/>
          <w:bCs/>
          <w:sz w:val="22"/>
          <w:szCs w:val="22"/>
        </w:rPr>
        <w:t xml:space="preserve">A </w:t>
      </w:r>
      <w:r w:rsidRPr="007B5C05">
        <w:rPr>
          <w:rFonts w:ascii="Palatino Linotype" w:hAnsi="Palatino Linotype"/>
          <w:sz w:val="22"/>
          <w:szCs w:val="22"/>
        </w:rPr>
        <w:t>transportation package</w:t>
      </w:r>
      <w:r>
        <w:rPr>
          <w:rFonts w:ascii="Palatino Linotype" w:hAnsi="Palatino Linotype"/>
          <w:sz w:val="22"/>
          <w:szCs w:val="22"/>
        </w:rPr>
        <w:t xml:space="preserve"> that </w:t>
      </w:r>
      <w:r w:rsidRPr="007B5C05">
        <w:rPr>
          <w:rFonts w:ascii="Palatino Linotype" w:hAnsi="Palatino Linotype"/>
          <w:sz w:val="22"/>
          <w:szCs w:val="22"/>
        </w:rPr>
        <w:t>would provide $4.2 billion annually to improve maintenance of highways and local roads, expand public transit and strengthen critical trade routes. </w:t>
      </w:r>
    </w:p>
    <w:p w:rsidR="00E859FB" w:rsidRPr="007B5C05" w:rsidRDefault="00E859FB" w:rsidP="00E859FB">
      <w:pPr>
        <w:pStyle w:val="NormalWeb"/>
        <w:spacing w:before="0" w:beforeAutospacing="0" w:after="0" w:afterAutospacing="0"/>
        <w:rPr>
          <w:rFonts w:ascii="Palatino Linotype" w:hAnsi="Palatino Linotype"/>
          <w:sz w:val="22"/>
          <w:szCs w:val="22"/>
        </w:rPr>
      </w:pPr>
      <w:r w:rsidRPr="007B5C05">
        <w:rPr>
          <w:rFonts w:ascii="Palatino Linotype" w:hAnsi="Palatino Linotype"/>
          <w:sz w:val="22"/>
          <w:szCs w:val="22"/>
        </w:rPr>
        <w:t> </w:t>
      </w:r>
    </w:p>
    <w:p w:rsidR="00E859FB" w:rsidRPr="00F3174A" w:rsidRDefault="00E859FB" w:rsidP="00E859FB">
      <w:pPr>
        <w:pStyle w:val="NormalWeb"/>
        <w:numPr>
          <w:ilvl w:val="0"/>
          <w:numId w:val="32"/>
        </w:numPr>
        <w:spacing w:before="0" w:beforeAutospacing="0" w:after="0" w:afterAutospacing="0"/>
        <w:rPr>
          <w:rFonts w:ascii="Palatino Linotype" w:hAnsi="Palatino Linotype"/>
          <w:sz w:val="22"/>
          <w:szCs w:val="22"/>
        </w:rPr>
      </w:pPr>
      <w:r>
        <w:rPr>
          <w:rFonts w:ascii="Palatino Linotype" w:hAnsi="Palatino Linotype"/>
          <w:sz w:val="22"/>
          <w:szCs w:val="22"/>
        </w:rPr>
        <w:t>P</w:t>
      </w:r>
      <w:r w:rsidRPr="007B5C05">
        <w:rPr>
          <w:rFonts w:ascii="Palatino Linotype" w:hAnsi="Palatino Linotype"/>
          <w:sz w:val="22"/>
          <w:szCs w:val="22"/>
        </w:rPr>
        <w:t>ropose</w:t>
      </w:r>
      <w:r>
        <w:rPr>
          <w:rFonts w:ascii="Palatino Linotype" w:hAnsi="Palatino Linotype"/>
          <w:sz w:val="22"/>
          <w:szCs w:val="22"/>
        </w:rPr>
        <w:t>d</w:t>
      </w:r>
      <w:r w:rsidRPr="007B5C05">
        <w:rPr>
          <w:rFonts w:ascii="Palatino Linotype" w:hAnsi="Palatino Linotype"/>
          <w:sz w:val="22"/>
          <w:szCs w:val="22"/>
        </w:rPr>
        <w:t xml:space="preserve"> two-thirds urgency legislation to confirm the </w:t>
      </w:r>
      <w:r>
        <w:rPr>
          <w:rFonts w:ascii="Palatino Linotype" w:hAnsi="Palatino Linotype"/>
          <w:sz w:val="22"/>
          <w:szCs w:val="22"/>
        </w:rPr>
        <w:t xml:space="preserve">cap-and-trade auction greenhouse gas emissions </w:t>
      </w:r>
      <w:r w:rsidRPr="007B5C05">
        <w:rPr>
          <w:rFonts w:ascii="Palatino Linotype" w:hAnsi="Palatino Linotype"/>
          <w:sz w:val="22"/>
          <w:szCs w:val="22"/>
        </w:rPr>
        <w:t>program’s continued authority beyond 2020. Assuming approval, the budget proposes $</w:t>
      </w:r>
      <w:r w:rsidRPr="00F3174A">
        <w:rPr>
          <w:rFonts w:ascii="Palatino Linotype" w:hAnsi="Palatino Linotype"/>
          <w:sz w:val="22"/>
          <w:szCs w:val="22"/>
        </w:rPr>
        <w:t>2.2 billion in expenditures from auction proceeds, with a continued emphasis on low-income and disadvantaged communities.</w:t>
      </w:r>
    </w:p>
    <w:p w:rsidR="00E859FB" w:rsidRPr="00F3174A" w:rsidRDefault="00E859FB" w:rsidP="00E859FB">
      <w:pPr>
        <w:pStyle w:val="NormalWeb"/>
        <w:spacing w:before="0" w:beforeAutospacing="0" w:after="0" w:afterAutospacing="0"/>
        <w:ind w:left="720"/>
        <w:rPr>
          <w:rFonts w:ascii="Palatino Linotype" w:hAnsi="Palatino Linotype"/>
          <w:sz w:val="22"/>
          <w:szCs w:val="22"/>
        </w:rPr>
      </w:pPr>
    </w:p>
    <w:p w:rsidR="00A326AE" w:rsidRDefault="00F3174A" w:rsidP="00A326AE">
      <w:pPr>
        <w:autoSpaceDE w:val="0"/>
        <w:autoSpaceDN w:val="0"/>
        <w:adjustRightInd w:val="0"/>
        <w:rPr>
          <w:rFonts w:ascii="Palatino Linotype" w:hAnsi="Palatino Linotype"/>
          <w:sz w:val="22"/>
          <w:szCs w:val="22"/>
          <w:lang w:val="en"/>
        </w:rPr>
      </w:pPr>
      <w:r w:rsidRPr="00F3174A">
        <w:rPr>
          <w:rFonts w:ascii="Palatino Linotype" w:hAnsi="Palatino Linotype"/>
          <w:sz w:val="22"/>
          <w:szCs w:val="22"/>
          <w:lang w:val="en"/>
        </w:rPr>
        <w:t xml:space="preserve">The </w:t>
      </w:r>
      <w:r w:rsidR="00795F5B">
        <w:rPr>
          <w:rFonts w:ascii="Palatino Linotype" w:hAnsi="Palatino Linotype"/>
          <w:sz w:val="22"/>
          <w:szCs w:val="22"/>
          <w:lang w:val="en"/>
        </w:rPr>
        <w:t xml:space="preserve">most serious potential impact in the Governor’s budget stems from a proposal to eliminate the </w:t>
      </w:r>
      <w:r w:rsidRPr="00F3174A">
        <w:rPr>
          <w:rFonts w:ascii="Palatino Linotype" w:hAnsi="Palatino Linotype"/>
          <w:sz w:val="22"/>
          <w:szCs w:val="22"/>
          <w:lang w:val="en"/>
        </w:rPr>
        <w:t xml:space="preserve">In-Home Supportive Services Maintenance of Effort </w:t>
      </w:r>
      <w:r>
        <w:rPr>
          <w:rFonts w:ascii="Palatino Linotype" w:hAnsi="Palatino Linotype"/>
          <w:sz w:val="22"/>
          <w:szCs w:val="22"/>
          <w:lang w:val="en"/>
        </w:rPr>
        <w:t>(IHSS MOE)</w:t>
      </w:r>
      <w:r w:rsidR="00965E60">
        <w:rPr>
          <w:rFonts w:ascii="Palatino Linotype" w:hAnsi="Palatino Linotype"/>
          <w:sz w:val="22"/>
          <w:szCs w:val="22"/>
          <w:lang w:val="en"/>
        </w:rPr>
        <w:t xml:space="preserve">. The IHSS MOE is an </w:t>
      </w:r>
      <w:r w:rsidRPr="00F3174A">
        <w:rPr>
          <w:rFonts w:ascii="Palatino Linotype" w:hAnsi="Palatino Linotype"/>
          <w:sz w:val="22"/>
          <w:szCs w:val="22"/>
          <w:lang w:val="en"/>
        </w:rPr>
        <w:t>agreement between the State of California and the 58 counties</w:t>
      </w:r>
      <w:r w:rsidR="00306773">
        <w:rPr>
          <w:rFonts w:ascii="Palatino Linotype" w:hAnsi="Palatino Linotype"/>
          <w:sz w:val="22"/>
          <w:szCs w:val="22"/>
          <w:lang w:val="en"/>
        </w:rPr>
        <w:t xml:space="preserve"> that</w:t>
      </w:r>
      <w:r w:rsidRPr="00F3174A">
        <w:rPr>
          <w:rFonts w:ascii="Palatino Linotype" w:hAnsi="Palatino Linotype"/>
          <w:sz w:val="22"/>
          <w:szCs w:val="22"/>
          <w:lang w:val="en"/>
        </w:rPr>
        <w:t xml:space="preserve"> spells out which entities are responsible for funding the services that allow people who have health issues or disabilities to live at home instead of in an </w:t>
      </w:r>
      <w:r w:rsidRPr="00F3174A">
        <w:rPr>
          <w:rFonts w:ascii="Palatino Linotype" w:hAnsi="Palatino Linotype"/>
          <w:sz w:val="22"/>
          <w:szCs w:val="22"/>
          <w:lang w:val="en"/>
        </w:rPr>
        <w:lastRenderedPageBreak/>
        <w:t>institutional setting, as well as who has responsibility for collectively bargaining with IHSS workers.</w:t>
      </w:r>
      <w:r w:rsidR="00306773">
        <w:rPr>
          <w:rFonts w:ascii="Palatino Linotype" w:hAnsi="Palatino Linotype"/>
          <w:sz w:val="22"/>
          <w:szCs w:val="22"/>
          <w:lang w:val="en"/>
        </w:rPr>
        <w:t xml:space="preserve">  The MOE places a cap on required county spending for IHSS</w:t>
      </w:r>
      <w:r w:rsidRPr="00F3174A">
        <w:rPr>
          <w:rFonts w:ascii="Palatino Linotype" w:hAnsi="Palatino Linotype"/>
          <w:sz w:val="22"/>
          <w:szCs w:val="22"/>
          <w:lang w:val="en"/>
        </w:rPr>
        <w:t xml:space="preserve"> </w:t>
      </w:r>
      <w:r w:rsidR="00306773">
        <w:rPr>
          <w:rFonts w:ascii="Palatino Linotype" w:hAnsi="Palatino Linotype"/>
          <w:sz w:val="22"/>
          <w:szCs w:val="22"/>
          <w:lang w:val="en"/>
        </w:rPr>
        <w:t xml:space="preserve">before the State picks up funding responsibility. </w:t>
      </w:r>
    </w:p>
    <w:p w:rsidR="00EA4046" w:rsidRDefault="00EA4046" w:rsidP="00A326AE">
      <w:pPr>
        <w:autoSpaceDE w:val="0"/>
        <w:autoSpaceDN w:val="0"/>
        <w:adjustRightInd w:val="0"/>
        <w:rPr>
          <w:rFonts w:ascii="Palatino Linotype" w:hAnsi="Palatino Linotype"/>
          <w:sz w:val="22"/>
          <w:szCs w:val="22"/>
          <w:lang w:val="en"/>
        </w:rPr>
      </w:pPr>
    </w:p>
    <w:p w:rsidR="00EC4AA6" w:rsidRDefault="00F3174A" w:rsidP="00EA4046">
      <w:pPr>
        <w:autoSpaceDE w:val="0"/>
        <w:autoSpaceDN w:val="0"/>
        <w:adjustRightInd w:val="0"/>
        <w:rPr>
          <w:rFonts w:ascii="Palatino Linotype" w:hAnsi="Palatino Linotype" w:cs="Calibri"/>
          <w:sz w:val="22"/>
          <w:szCs w:val="22"/>
        </w:rPr>
      </w:pPr>
      <w:r w:rsidRPr="00F3174A">
        <w:rPr>
          <w:rFonts w:ascii="Palatino Linotype" w:hAnsi="Palatino Linotype"/>
          <w:sz w:val="22"/>
          <w:szCs w:val="22"/>
          <w:lang w:val="en"/>
        </w:rPr>
        <w:t xml:space="preserve">The </w:t>
      </w:r>
      <w:r w:rsidRPr="00306773">
        <w:rPr>
          <w:rFonts w:ascii="Palatino Linotype" w:hAnsi="Palatino Linotype"/>
          <w:sz w:val="22"/>
          <w:szCs w:val="22"/>
          <w:lang w:val="en"/>
        </w:rPr>
        <w:t xml:space="preserve">MOE was put in place when the Coordinated Care Initiative (CCI) pilot program started. </w:t>
      </w:r>
      <w:r w:rsidR="00A326AE" w:rsidRPr="00306773">
        <w:rPr>
          <w:rFonts w:ascii="Palatino Linotype" w:hAnsi="Palatino Linotype"/>
          <w:sz w:val="22"/>
          <w:szCs w:val="22"/>
          <w:lang w:val="en"/>
        </w:rPr>
        <w:t xml:space="preserve"> CCI</w:t>
      </w:r>
      <w:r w:rsidR="00A326AE" w:rsidRPr="00306773">
        <w:rPr>
          <w:rFonts w:ascii="Palatino Linotype" w:hAnsi="Palatino Linotype" w:cs="Calibri"/>
          <w:sz w:val="22"/>
          <w:szCs w:val="22"/>
        </w:rPr>
        <w:t xml:space="preserve"> allows persons eligible for both Medicare and Medi‐Cal (dual eligibles) to receive medical, behavioral health, long‐term services and supports, and home and community‐based services coordinated through a single health plan.  Under current law, the Director of Finance is required to annually determine whether CCI is cost effective.  </w:t>
      </w:r>
      <w:r w:rsidR="00F45619">
        <w:rPr>
          <w:rFonts w:ascii="Palatino Linotype" w:hAnsi="Palatino Linotype" w:cs="Calibri"/>
          <w:sz w:val="22"/>
          <w:szCs w:val="22"/>
        </w:rPr>
        <w:t xml:space="preserve">If CCI is not cost </w:t>
      </w:r>
      <w:r w:rsidR="00F45619" w:rsidRPr="00306773">
        <w:rPr>
          <w:rFonts w:ascii="Palatino Linotype" w:hAnsi="Palatino Linotype" w:cs="Calibri"/>
          <w:sz w:val="22"/>
          <w:szCs w:val="22"/>
        </w:rPr>
        <w:t xml:space="preserve">effective, the program automatically ceases operation in the following fiscal year.  </w:t>
      </w:r>
      <w:r w:rsidR="00A326AE" w:rsidRPr="00306773">
        <w:rPr>
          <w:rFonts w:ascii="Palatino Linotype" w:hAnsi="Palatino Linotype" w:cs="Calibri"/>
          <w:sz w:val="22"/>
          <w:szCs w:val="22"/>
        </w:rPr>
        <w:t xml:space="preserve">Since 2015, the Administration has indicated that without changes improving participation in the program and continuation of an allowable managed care tax, CCI would not meet the statutory savings requirements.  </w:t>
      </w:r>
      <w:r w:rsidR="00F45619" w:rsidRPr="00306773">
        <w:rPr>
          <w:rFonts w:ascii="Palatino Linotype" w:hAnsi="Palatino Linotype" w:cs="Calibri"/>
          <w:sz w:val="22"/>
          <w:szCs w:val="22"/>
        </w:rPr>
        <w:t xml:space="preserve">The </w:t>
      </w:r>
      <w:r w:rsidR="00F45619">
        <w:rPr>
          <w:rFonts w:ascii="Palatino Linotype" w:hAnsi="Palatino Linotype" w:cs="Calibri"/>
          <w:sz w:val="22"/>
          <w:szCs w:val="22"/>
        </w:rPr>
        <w:t>Governor’s proposed b</w:t>
      </w:r>
      <w:r w:rsidR="00F45619" w:rsidRPr="00306773">
        <w:rPr>
          <w:rFonts w:ascii="Palatino Linotype" w:hAnsi="Palatino Linotype" w:cs="Calibri"/>
          <w:sz w:val="22"/>
          <w:szCs w:val="22"/>
        </w:rPr>
        <w:t xml:space="preserve">udget estimates </w:t>
      </w:r>
      <w:r w:rsidR="00F45619">
        <w:rPr>
          <w:rFonts w:ascii="Palatino Linotype" w:hAnsi="Palatino Linotype" w:cs="Calibri"/>
          <w:sz w:val="22"/>
          <w:szCs w:val="22"/>
        </w:rPr>
        <w:t xml:space="preserve">that </w:t>
      </w:r>
      <w:r w:rsidR="00F45619" w:rsidRPr="00306773">
        <w:rPr>
          <w:rFonts w:ascii="Palatino Linotype" w:hAnsi="Palatino Linotype" w:cs="Calibri"/>
          <w:sz w:val="22"/>
          <w:szCs w:val="22"/>
        </w:rPr>
        <w:t>CCI will no longer be cost</w:t>
      </w:r>
      <w:r w:rsidR="00F45619">
        <w:rPr>
          <w:rFonts w:ascii="Palatino Linotype" w:hAnsi="Palatino Linotype" w:cs="Calibri"/>
          <w:sz w:val="22"/>
          <w:szCs w:val="22"/>
        </w:rPr>
        <w:t xml:space="preserve"> </w:t>
      </w:r>
      <w:r w:rsidR="00F45619" w:rsidRPr="00306773">
        <w:rPr>
          <w:rFonts w:ascii="Palatino Linotype" w:hAnsi="Palatino Linotype" w:cs="Calibri"/>
          <w:sz w:val="22"/>
          <w:szCs w:val="22"/>
        </w:rPr>
        <w:t xml:space="preserve">effective.  </w:t>
      </w:r>
      <w:r w:rsidR="00A326AE" w:rsidRPr="00306773">
        <w:rPr>
          <w:rFonts w:ascii="Palatino Linotype" w:hAnsi="Palatino Linotype" w:cs="Calibri"/>
          <w:sz w:val="22"/>
          <w:szCs w:val="22"/>
        </w:rPr>
        <w:t xml:space="preserve">Therefore, pursuant to the provisions of current law, the program will be discontinued in </w:t>
      </w:r>
      <w:r w:rsidR="00306773">
        <w:rPr>
          <w:rFonts w:ascii="Palatino Linotype" w:hAnsi="Palatino Linotype" w:cs="Calibri"/>
          <w:sz w:val="22"/>
          <w:szCs w:val="22"/>
        </w:rPr>
        <w:t xml:space="preserve">FY </w:t>
      </w:r>
      <w:r w:rsidR="00A326AE" w:rsidRPr="00306773">
        <w:rPr>
          <w:rFonts w:ascii="Palatino Linotype" w:hAnsi="Palatino Linotype" w:cs="Calibri"/>
          <w:sz w:val="22"/>
          <w:szCs w:val="22"/>
        </w:rPr>
        <w:t>2017‐18, which will have several effects, including re‐establishing the state‐county share of cost arrangement for the IHSS program that existed prior to</w:t>
      </w:r>
      <w:r w:rsidR="00306773" w:rsidRPr="00306773">
        <w:rPr>
          <w:rFonts w:ascii="Palatino Linotype" w:hAnsi="Palatino Linotype" w:cs="Calibri"/>
          <w:sz w:val="22"/>
          <w:szCs w:val="22"/>
        </w:rPr>
        <w:t xml:space="preserve"> </w:t>
      </w:r>
      <w:r w:rsidR="00A326AE" w:rsidRPr="00306773">
        <w:rPr>
          <w:rFonts w:ascii="Palatino Linotype" w:hAnsi="Palatino Linotype" w:cs="Calibri"/>
          <w:sz w:val="22"/>
          <w:szCs w:val="22"/>
        </w:rPr>
        <w:t>the implementation of CCI</w:t>
      </w:r>
      <w:r w:rsidR="00306773">
        <w:rPr>
          <w:rFonts w:ascii="Palatino Linotype" w:hAnsi="Palatino Linotype" w:cs="Calibri"/>
          <w:sz w:val="22"/>
          <w:szCs w:val="22"/>
        </w:rPr>
        <w:t xml:space="preserve"> (i.e., elimination of the IHSS MOE)</w:t>
      </w:r>
      <w:r w:rsidR="00A326AE" w:rsidRPr="00306773">
        <w:rPr>
          <w:rFonts w:ascii="Palatino Linotype" w:hAnsi="Palatino Linotype" w:cs="Calibri"/>
          <w:sz w:val="22"/>
          <w:szCs w:val="22"/>
        </w:rPr>
        <w:t xml:space="preserve">. </w:t>
      </w:r>
      <w:r w:rsidR="00306773" w:rsidRPr="00306773">
        <w:rPr>
          <w:rFonts w:ascii="Palatino Linotype" w:hAnsi="Palatino Linotype" w:cs="Calibri"/>
          <w:sz w:val="22"/>
          <w:szCs w:val="22"/>
        </w:rPr>
        <w:t xml:space="preserve"> </w:t>
      </w:r>
      <w:r w:rsidR="00A326AE" w:rsidRPr="00306773">
        <w:rPr>
          <w:rFonts w:ascii="Palatino Linotype" w:hAnsi="Palatino Linotype" w:cs="Calibri"/>
          <w:sz w:val="22"/>
          <w:szCs w:val="22"/>
        </w:rPr>
        <w:t>Counties will be responsible for the payment of 35 percent of the nonfederal</w:t>
      </w:r>
      <w:r w:rsidR="00306773" w:rsidRPr="00306773">
        <w:rPr>
          <w:rFonts w:ascii="Palatino Linotype" w:hAnsi="Palatino Linotype" w:cs="Calibri"/>
          <w:sz w:val="22"/>
          <w:szCs w:val="22"/>
        </w:rPr>
        <w:t xml:space="preserve"> </w:t>
      </w:r>
      <w:r w:rsidR="00A326AE" w:rsidRPr="00306773">
        <w:rPr>
          <w:rFonts w:ascii="Palatino Linotype" w:hAnsi="Palatino Linotype" w:cs="Calibri"/>
          <w:sz w:val="22"/>
          <w:szCs w:val="22"/>
        </w:rPr>
        <w:t xml:space="preserve">portion of program costs through 1991 Realignment. </w:t>
      </w:r>
      <w:r w:rsidR="00306773" w:rsidRPr="00306773">
        <w:rPr>
          <w:rFonts w:ascii="Palatino Linotype" w:hAnsi="Palatino Linotype" w:cs="Calibri"/>
          <w:sz w:val="22"/>
          <w:szCs w:val="22"/>
        </w:rPr>
        <w:t xml:space="preserve"> </w:t>
      </w:r>
      <w:r w:rsidR="00A326AE" w:rsidRPr="00306773">
        <w:rPr>
          <w:rFonts w:ascii="Palatino Linotype" w:hAnsi="Palatino Linotype" w:cs="Calibri"/>
          <w:sz w:val="22"/>
          <w:szCs w:val="22"/>
        </w:rPr>
        <w:t>Based on current estimates, growth in 2017‐18</w:t>
      </w:r>
      <w:r w:rsidR="00306773" w:rsidRPr="00306773">
        <w:rPr>
          <w:rFonts w:ascii="Palatino Linotype" w:hAnsi="Palatino Linotype" w:cs="Calibri"/>
          <w:sz w:val="22"/>
          <w:szCs w:val="22"/>
        </w:rPr>
        <w:t xml:space="preserve"> R</w:t>
      </w:r>
      <w:r w:rsidR="00A326AE" w:rsidRPr="00306773">
        <w:rPr>
          <w:rFonts w:ascii="Palatino Linotype" w:hAnsi="Palatino Linotype" w:cs="Calibri"/>
          <w:sz w:val="22"/>
          <w:szCs w:val="22"/>
        </w:rPr>
        <w:t xml:space="preserve">ealignment revenues alone will not be sufficient to cover the additional IHSS costs. </w:t>
      </w:r>
      <w:r w:rsidR="00306773" w:rsidRPr="00306773">
        <w:rPr>
          <w:rFonts w:ascii="Palatino Linotype" w:hAnsi="Palatino Linotype" w:cs="Calibri"/>
          <w:sz w:val="22"/>
          <w:szCs w:val="22"/>
        </w:rPr>
        <w:t xml:space="preserve"> </w:t>
      </w:r>
      <w:r w:rsidR="00A326AE" w:rsidRPr="00306773">
        <w:rPr>
          <w:rFonts w:ascii="Palatino Linotype" w:hAnsi="Palatino Linotype" w:cs="Calibri"/>
          <w:sz w:val="22"/>
          <w:szCs w:val="22"/>
        </w:rPr>
        <w:t>Therefore, this</w:t>
      </w:r>
      <w:r w:rsidR="00306773" w:rsidRPr="00306773">
        <w:rPr>
          <w:rFonts w:ascii="Palatino Linotype" w:hAnsi="Palatino Linotype" w:cs="Calibri"/>
          <w:sz w:val="22"/>
          <w:szCs w:val="22"/>
        </w:rPr>
        <w:t xml:space="preserve"> </w:t>
      </w:r>
      <w:r w:rsidR="00A326AE" w:rsidRPr="00306773">
        <w:rPr>
          <w:rFonts w:ascii="Palatino Linotype" w:hAnsi="Palatino Linotype" w:cs="Calibri"/>
          <w:sz w:val="22"/>
          <w:szCs w:val="22"/>
        </w:rPr>
        <w:t xml:space="preserve">change is likely to result in financial hardship and cash flow problems for counties. </w:t>
      </w:r>
      <w:r w:rsidR="00306773" w:rsidRPr="00306773">
        <w:rPr>
          <w:rFonts w:ascii="Palatino Linotype" w:hAnsi="Palatino Linotype" w:cs="Calibri"/>
          <w:sz w:val="22"/>
          <w:szCs w:val="22"/>
        </w:rPr>
        <w:t xml:space="preserve"> </w:t>
      </w:r>
    </w:p>
    <w:p w:rsidR="00EC4AA6" w:rsidRDefault="00EC4AA6" w:rsidP="00EA4046">
      <w:pPr>
        <w:autoSpaceDE w:val="0"/>
        <w:autoSpaceDN w:val="0"/>
        <w:adjustRightInd w:val="0"/>
        <w:rPr>
          <w:rFonts w:ascii="Palatino Linotype" w:hAnsi="Palatino Linotype" w:cs="Calibri"/>
          <w:sz w:val="22"/>
          <w:szCs w:val="22"/>
        </w:rPr>
      </w:pPr>
    </w:p>
    <w:p w:rsidR="00F3174A" w:rsidRPr="00306773" w:rsidRDefault="00EA4046" w:rsidP="00306773">
      <w:pPr>
        <w:autoSpaceDE w:val="0"/>
        <w:autoSpaceDN w:val="0"/>
        <w:adjustRightInd w:val="0"/>
        <w:rPr>
          <w:rFonts w:ascii="Palatino Linotype" w:hAnsi="Palatino Linotype"/>
          <w:sz w:val="22"/>
          <w:szCs w:val="22"/>
        </w:rPr>
      </w:pPr>
      <w:r>
        <w:rPr>
          <w:rFonts w:ascii="Palatino Linotype" w:hAnsi="Palatino Linotype"/>
          <w:sz w:val="22"/>
          <w:szCs w:val="22"/>
          <w:lang w:val="en"/>
        </w:rPr>
        <w:t xml:space="preserve">The potential cost increase to Napa County of eliminating the IHSS MOE could be as much as $1.1 million. Because of a previous commitment by the Board regarding IHSS costs, these cost increases would be supported by the General Fund. </w:t>
      </w:r>
      <w:r w:rsidR="00EC4AA6">
        <w:rPr>
          <w:rFonts w:ascii="Palatino Linotype" w:hAnsi="Palatino Linotype"/>
          <w:sz w:val="22"/>
          <w:szCs w:val="22"/>
          <w:lang w:val="en"/>
        </w:rPr>
        <w:t xml:space="preserve"> </w:t>
      </w:r>
      <w:r w:rsidR="003E5B77">
        <w:rPr>
          <w:rFonts w:ascii="Palatino Linotype" w:hAnsi="Palatino Linotype" w:cs="Calibri"/>
          <w:sz w:val="22"/>
          <w:szCs w:val="22"/>
        </w:rPr>
        <w:t>The California State Association of Counties (</w:t>
      </w:r>
      <w:r w:rsidR="00F3174A" w:rsidRPr="00306773">
        <w:rPr>
          <w:rFonts w:ascii="Palatino Linotype" w:hAnsi="Palatino Linotype"/>
          <w:sz w:val="22"/>
          <w:szCs w:val="22"/>
          <w:lang w:val="en"/>
        </w:rPr>
        <w:t>CSAC</w:t>
      </w:r>
      <w:r w:rsidR="003E5B77">
        <w:rPr>
          <w:rFonts w:ascii="Palatino Linotype" w:hAnsi="Palatino Linotype"/>
          <w:sz w:val="22"/>
          <w:szCs w:val="22"/>
          <w:lang w:val="en"/>
        </w:rPr>
        <w:t>)</w:t>
      </w:r>
      <w:r w:rsidR="00F3174A" w:rsidRPr="00306773">
        <w:rPr>
          <w:rFonts w:ascii="Palatino Linotype" w:hAnsi="Palatino Linotype"/>
          <w:sz w:val="22"/>
          <w:szCs w:val="22"/>
          <w:lang w:val="en"/>
        </w:rPr>
        <w:t xml:space="preserve"> and the California Welfare Directors Association are currently negotiating with the Administration over the terms under which counties and the </w:t>
      </w:r>
      <w:r w:rsidR="00672979">
        <w:rPr>
          <w:rFonts w:ascii="Palatino Linotype" w:hAnsi="Palatino Linotype"/>
          <w:sz w:val="22"/>
          <w:szCs w:val="22"/>
          <w:lang w:val="en"/>
        </w:rPr>
        <w:t>S</w:t>
      </w:r>
      <w:r w:rsidR="00F3174A" w:rsidRPr="00306773">
        <w:rPr>
          <w:rFonts w:ascii="Palatino Linotype" w:hAnsi="Palatino Linotype"/>
          <w:sz w:val="22"/>
          <w:szCs w:val="22"/>
          <w:lang w:val="en"/>
        </w:rPr>
        <w:t>tate will continue sharing costs for IHSS.</w:t>
      </w:r>
    </w:p>
    <w:p w:rsidR="00795F5B" w:rsidRPr="00306773" w:rsidRDefault="00795F5B" w:rsidP="006E0425">
      <w:pPr>
        <w:rPr>
          <w:rFonts w:ascii="Palatino Linotype" w:hAnsi="Palatino Linotype"/>
          <w:color w:val="FF0000"/>
          <w:sz w:val="22"/>
          <w:szCs w:val="22"/>
        </w:rPr>
      </w:pPr>
    </w:p>
    <w:p w:rsidR="00A61FD8" w:rsidRPr="00036203" w:rsidRDefault="00D55A61" w:rsidP="006E0425">
      <w:pPr>
        <w:rPr>
          <w:rFonts w:ascii="Palatino Linotype" w:hAnsi="Palatino Linotype"/>
          <w:sz w:val="22"/>
          <w:szCs w:val="22"/>
        </w:rPr>
      </w:pPr>
      <w:r>
        <w:rPr>
          <w:rFonts w:ascii="Palatino Linotype" w:hAnsi="Palatino Linotype"/>
          <w:sz w:val="22"/>
          <w:szCs w:val="22"/>
        </w:rPr>
        <w:t xml:space="preserve">At the federal level, </w:t>
      </w:r>
      <w:r w:rsidR="006507B0">
        <w:rPr>
          <w:rFonts w:ascii="Palatino Linotype" w:hAnsi="Palatino Linotype"/>
          <w:sz w:val="22"/>
          <w:szCs w:val="22"/>
        </w:rPr>
        <w:t xml:space="preserve">great uncertainty exists regarding funding </w:t>
      </w:r>
      <w:r w:rsidR="003802AC">
        <w:rPr>
          <w:rFonts w:ascii="Palatino Linotype" w:hAnsi="Palatino Linotype"/>
          <w:sz w:val="22"/>
          <w:szCs w:val="22"/>
        </w:rPr>
        <w:t>for</w:t>
      </w:r>
      <w:r w:rsidR="006507B0">
        <w:rPr>
          <w:rFonts w:ascii="Palatino Linotype" w:hAnsi="Palatino Linotype"/>
          <w:sz w:val="22"/>
          <w:szCs w:val="22"/>
        </w:rPr>
        <w:t xml:space="preserve"> </w:t>
      </w:r>
      <w:r w:rsidR="00F66620">
        <w:rPr>
          <w:rFonts w:ascii="Palatino Linotype" w:hAnsi="Palatino Linotype"/>
          <w:sz w:val="22"/>
          <w:szCs w:val="22"/>
        </w:rPr>
        <w:t>areas of county responsibilit</w:t>
      </w:r>
      <w:r w:rsidR="008C58E4">
        <w:rPr>
          <w:rFonts w:ascii="Palatino Linotype" w:hAnsi="Palatino Linotype"/>
          <w:sz w:val="22"/>
          <w:szCs w:val="22"/>
        </w:rPr>
        <w:t xml:space="preserve">ies and interests </w:t>
      </w:r>
      <w:r w:rsidR="003802AC">
        <w:rPr>
          <w:rFonts w:ascii="Palatino Linotype" w:hAnsi="Palatino Linotype"/>
          <w:sz w:val="22"/>
          <w:szCs w:val="22"/>
        </w:rPr>
        <w:t>including</w:t>
      </w:r>
      <w:r w:rsidR="00F66620">
        <w:rPr>
          <w:rFonts w:ascii="Palatino Linotype" w:hAnsi="Palatino Linotype"/>
          <w:sz w:val="22"/>
          <w:szCs w:val="22"/>
        </w:rPr>
        <w:t xml:space="preserve"> </w:t>
      </w:r>
      <w:r w:rsidR="008C58E4">
        <w:rPr>
          <w:rFonts w:ascii="Palatino Linotype" w:hAnsi="Palatino Linotype"/>
          <w:sz w:val="22"/>
          <w:szCs w:val="22"/>
        </w:rPr>
        <w:t xml:space="preserve">agriculture, </w:t>
      </w:r>
      <w:r w:rsidR="006507B0">
        <w:rPr>
          <w:rFonts w:ascii="Palatino Linotype" w:hAnsi="Palatino Linotype"/>
          <w:sz w:val="22"/>
          <w:szCs w:val="22"/>
        </w:rPr>
        <w:t>transportation</w:t>
      </w:r>
      <w:r w:rsidR="00250E58">
        <w:rPr>
          <w:rFonts w:ascii="Palatino Linotype" w:hAnsi="Palatino Linotype"/>
          <w:sz w:val="22"/>
          <w:szCs w:val="22"/>
        </w:rPr>
        <w:t>,</w:t>
      </w:r>
      <w:r w:rsidR="00DC0566">
        <w:rPr>
          <w:rFonts w:ascii="Palatino Linotype" w:hAnsi="Palatino Linotype"/>
          <w:sz w:val="22"/>
          <w:szCs w:val="22"/>
        </w:rPr>
        <w:t xml:space="preserve"> infrastructure</w:t>
      </w:r>
      <w:r w:rsidR="00007D16">
        <w:rPr>
          <w:rFonts w:ascii="Palatino Linotype" w:hAnsi="Palatino Linotype"/>
          <w:sz w:val="22"/>
          <w:szCs w:val="22"/>
        </w:rPr>
        <w:t xml:space="preserve">, </w:t>
      </w:r>
      <w:r w:rsidR="008C58E4">
        <w:rPr>
          <w:rFonts w:ascii="Palatino Linotype" w:hAnsi="Palatino Linotype"/>
          <w:sz w:val="22"/>
          <w:szCs w:val="22"/>
        </w:rPr>
        <w:t xml:space="preserve">housing, physical and behavioral health care, public health, social services, job training, immigration, </w:t>
      </w:r>
      <w:r w:rsidR="00007D16">
        <w:rPr>
          <w:rFonts w:ascii="Palatino Linotype" w:hAnsi="Palatino Linotype"/>
          <w:sz w:val="22"/>
          <w:szCs w:val="22"/>
        </w:rPr>
        <w:t>environmental protection,</w:t>
      </w:r>
      <w:r w:rsidR="006507B0">
        <w:rPr>
          <w:rFonts w:ascii="Palatino Linotype" w:hAnsi="Palatino Linotype"/>
          <w:sz w:val="22"/>
          <w:szCs w:val="22"/>
        </w:rPr>
        <w:t xml:space="preserve"> </w:t>
      </w:r>
      <w:r w:rsidR="000B2B76">
        <w:rPr>
          <w:rFonts w:ascii="Palatino Linotype" w:hAnsi="Palatino Linotype"/>
          <w:sz w:val="22"/>
          <w:szCs w:val="22"/>
        </w:rPr>
        <w:t xml:space="preserve">law enforcement </w:t>
      </w:r>
      <w:r w:rsidR="006507B0">
        <w:rPr>
          <w:rFonts w:ascii="Palatino Linotype" w:hAnsi="Palatino Linotype"/>
          <w:sz w:val="22"/>
          <w:szCs w:val="22"/>
        </w:rPr>
        <w:t xml:space="preserve">and </w:t>
      </w:r>
      <w:r w:rsidR="000B2B76">
        <w:rPr>
          <w:rFonts w:ascii="Palatino Linotype" w:hAnsi="Palatino Linotype"/>
          <w:sz w:val="22"/>
          <w:szCs w:val="22"/>
        </w:rPr>
        <w:t>criminal justice</w:t>
      </w:r>
      <w:r w:rsidR="006C62CA">
        <w:rPr>
          <w:rFonts w:ascii="Palatino Linotype" w:hAnsi="Palatino Linotype"/>
          <w:sz w:val="22"/>
          <w:szCs w:val="22"/>
        </w:rPr>
        <w:t xml:space="preserve">. The </w:t>
      </w:r>
      <w:r w:rsidR="002817DB">
        <w:rPr>
          <w:rFonts w:ascii="Palatino Linotype" w:hAnsi="Palatino Linotype"/>
          <w:sz w:val="22"/>
          <w:szCs w:val="22"/>
        </w:rPr>
        <w:t xml:space="preserve">recently </w:t>
      </w:r>
      <w:r w:rsidR="006C62CA">
        <w:rPr>
          <w:rFonts w:ascii="Palatino Linotype" w:hAnsi="Palatino Linotype"/>
          <w:sz w:val="22"/>
          <w:szCs w:val="22"/>
        </w:rPr>
        <w:t xml:space="preserve">proposed federal budget includes significant reductions </w:t>
      </w:r>
      <w:r w:rsidR="00D31A15">
        <w:rPr>
          <w:rFonts w:ascii="Palatino Linotype" w:hAnsi="Palatino Linotype"/>
          <w:sz w:val="22"/>
          <w:szCs w:val="22"/>
        </w:rPr>
        <w:t xml:space="preserve">or changes </w:t>
      </w:r>
      <w:r w:rsidR="006C62CA">
        <w:rPr>
          <w:rFonts w:ascii="Palatino Linotype" w:hAnsi="Palatino Linotype"/>
          <w:sz w:val="22"/>
          <w:szCs w:val="22"/>
        </w:rPr>
        <w:t xml:space="preserve">in </w:t>
      </w:r>
      <w:r w:rsidR="00D31A15">
        <w:rPr>
          <w:rFonts w:ascii="Palatino Linotype" w:hAnsi="Palatino Linotype"/>
          <w:sz w:val="22"/>
          <w:szCs w:val="22"/>
        </w:rPr>
        <w:t>most</w:t>
      </w:r>
      <w:r w:rsidR="006C62CA">
        <w:rPr>
          <w:rFonts w:ascii="Palatino Linotype" w:hAnsi="Palatino Linotype"/>
          <w:sz w:val="22"/>
          <w:szCs w:val="22"/>
        </w:rPr>
        <w:t xml:space="preserve"> of these areas</w:t>
      </w:r>
      <w:r w:rsidR="00420B42">
        <w:rPr>
          <w:rFonts w:ascii="Palatino Linotype" w:hAnsi="Palatino Linotype"/>
          <w:sz w:val="22"/>
          <w:szCs w:val="22"/>
        </w:rPr>
        <w:t xml:space="preserve"> and in some cases </w:t>
      </w:r>
      <w:r w:rsidR="008F3495">
        <w:rPr>
          <w:rFonts w:ascii="Palatino Linotype" w:hAnsi="Palatino Linotype"/>
          <w:sz w:val="22"/>
          <w:szCs w:val="22"/>
        </w:rPr>
        <w:t xml:space="preserve">essential </w:t>
      </w:r>
      <w:r w:rsidR="00420B42">
        <w:rPr>
          <w:rFonts w:ascii="Palatino Linotype" w:hAnsi="Palatino Linotype"/>
          <w:sz w:val="22"/>
          <w:szCs w:val="22"/>
        </w:rPr>
        <w:t xml:space="preserve">elimination of </w:t>
      </w:r>
      <w:r w:rsidR="008F3495">
        <w:rPr>
          <w:rFonts w:ascii="Palatino Linotype" w:hAnsi="Palatino Linotype"/>
          <w:sz w:val="22"/>
          <w:szCs w:val="22"/>
        </w:rPr>
        <w:t xml:space="preserve">federal </w:t>
      </w:r>
      <w:r w:rsidR="00420B42">
        <w:rPr>
          <w:rFonts w:ascii="Palatino Linotype" w:hAnsi="Palatino Linotype"/>
          <w:sz w:val="22"/>
          <w:szCs w:val="22"/>
        </w:rPr>
        <w:t>funding</w:t>
      </w:r>
      <w:r w:rsidR="006C62CA">
        <w:rPr>
          <w:rFonts w:ascii="Palatino Linotype" w:hAnsi="Palatino Linotype"/>
          <w:sz w:val="22"/>
          <w:szCs w:val="22"/>
        </w:rPr>
        <w:t xml:space="preserve">, but much </w:t>
      </w:r>
      <w:r w:rsidR="002817DB">
        <w:rPr>
          <w:rFonts w:ascii="Palatino Linotype" w:hAnsi="Palatino Linotype"/>
          <w:sz w:val="22"/>
          <w:szCs w:val="22"/>
        </w:rPr>
        <w:t xml:space="preserve">discussion </w:t>
      </w:r>
      <w:r w:rsidR="004528DE">
        <w:rPr>
          <w:rFonts w:ascii="Palatino Linotype" w:hAnsi="Palatino Linotype"/>
          <w:sz w:val="22"/>
          <w:szCs w:val="22"/>
        </w:rPr>
        <w:t>and debate</w:t>
      </w:r>
      <w:r w:rsidR="002817DB">
        <w:rPr>
          <w:rFonts w:ascii="Palatino Linotype" w:hAnsi="Palatino Linotype"/>
          <w:sz w:val="22"/>
          <w:szCs w:val="22"/>
        </w:rPr>
        <w:t xml:space="preserve"> remain </w:t>
      </w:r>
      <w:r w:rsidR="006C62CA">
        <w:rPr>
          <w:rFonts w:ascii="Palatino Linotype" w:hAnsi="Palatino Linotype"/>
          <w:sz w:val="22"/>
          <w:szCs w:val="22"/>
        </w:rPr>
        <w:t xml:space="preserve">before </w:t>
      </w:r>
      <w:r w:rsidR="00D31A15">
        <w:rPr>
          <w:rFonts w:ascii="Palatino Linotype" w:hAnsi="Palatino Linotype"/>
          <w:sz w:val="22"/>
          <w:szCs w:val="22"/>
        </w:rPr>
        <w:t xml:space="preserve">the Congress </w:t>
      </w:r>
      <w:r w:rsidR="002817DB">
        <w:rPr>
          <w:rFonts w:ascii="Palatino Linotype" w:hAnsi="Palatino Linotype"/>
          <w:sz w:val="22"/>
          <w:szCs w:val="22"/>
        </w:rPr>
        <w:t>approve</w:t>
      </w:r>
      <w:r w:rsidR="00D31A15">
        <w:rPr>
          <w:rFonts w:ascii="Palatino Linotype" w:hAnsi="Palatino Linotype"/>
          <w:sz w:val="22"/>
          <w:szCs w:val="22"/>
        </w:rPr>
        <w:t xml:space="preserve">s the </w:t>
      </w:r>
      <w:r w:rsidR="00533A59">
        <w:rPr>
          <w:rFonts w:ascii="Palatino Linotype" w:hAnsi="Palatino Linotype"/>
          <w:sz w:val="22"/>
          <w:szCs w:val="22"/>
        </w:rPr>
        <w:t xml:space="preserve">FY 2017-18 </w:t>
      </w:r>
      <w:r w:rsidR="002817DB">
        <w:rPr>
          <w:rFonts w:ascii="Palatino Linotype" w:hAnsi="Palatino Linotype"/>
          <w:sz w:val="22"/>
          <w:szCs w:val="22"/>
        </w:rPr>
        <w:t>f</w:t>
      </w:r>
      <w:r w:rsidR="006C62CA">
        <w:rPr>
          <w:rFonts w:ascii="Palatino Linotype" w:hAnsi="Palatino Linotype"/>
          <w:sz w:val="22"/>
          <w:szCs w:val="22"/>
        </w:rPr>
        <w:t>ederal budget.</w:t>
      </w:r>
      <w:r w:rsidR="006507B0">
        <w:rPr>
          <w:rFonts w:ascii="Palatino Linotype" w:hAnsi="Palatino Linotype"/>
          <w:sz w:val="22"/>
          <w:szCs w:val="22"/>
        </w:rPr>
        <w:t xml:space="preserve"> </w:t>
      </w:r>
    </w:p>
    <w:sectPr w:rsidR="00A61FD8" w:rsidRPr="00036203" w:rsidSect="00200960">
      <w:footerReference w:type="default" r:id="rId9"/>
      <w:headerReference w:type="first" r:id="rId10"/>
      <w:pgSz w:w="12240" w:h="15840"/>
      <w:pgMar w:top="1080" w:right="1080" w:bottom="1800" w:left="81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89C" w:rsidRDefault="00E0789C">
      <w:r>
        <w:separator/>
      </w:r>
    </w:p>
  </w:endnote>
  <w:endnote w:type="continuationSeparator" w:id="0">
    <w:p w:rsidR="00E0789C" w:rsidRDefault="00E0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008"/>
      <w:docPartObj>
        <w:docPartGallery w:val="Page Numbers (Bottom of Page)"/>
        <w:docPartUnique/>
      </w:docPartObj>
    </w:sdtPr>
    <w:sdtEndPr>
      <w:rPr>
        <w:noProof/>
      </w:rPr>
    </w:sdtEndPr>
    <w:sdtContent>
      <w:p w:rsidR="008275B1" w:rsidRDefault="008275B1">
        <w:pPr>
          <w:pStyle w:val="Footer"/>
          <w:jc w:val="center"/>
        </w:pPr>
        <w:r>
          <w:fldChar w:fldCharType="begin"/>
        </w:r>
        <w:r>
          <w:instrText xml:space="preserve"> PAGE   \* MERGEFORMAT </w:instrText>
        </w:r>
        <w:r>
          <w:fldChar w:fldCharType="separate"/>
        </w:r>
        <w:r w:rsidR="000260B5">
          <w:rPr>
            <w:noProof/>
          </w:rPr>
          <w:t>6</w:t>
        </w:r>
        <w:r>
          <w:rPr>
            <w:noProof/>
          </w:rPr>
          <w:fldChar w:fldCharType="end"/>
        </w:r>
      </w:p>
    </w:sdtContent>
  </w:sdt>
  <w:p w:rsidR="008275B1" w:rsidRDefault="00827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89C" w:rsidRDefault="00E0789C">
      <w:r>
        <w:separator/>
      </w:r>
    </w:p>
  </w:footnote>
  <w:footnote w:type="continuationSeparator" w:id="0">
    <w:p w:rsidR="00E0789C" w:rsidRDefault="00E07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BE" w:rsidRPr="0000766C" w:rsidRDefault="002922BE" w:rsidP="00710FE4">
    <w:pPr>
      <w:jc w:val="right"/>
      <w:rPr>
        <w:rFonts w:ascii="Arial" w:hAnsi="Arial" w:cs="Arial"/>
        <w:b/>
        <w:color w:val="8FD400"/>
        <w:sz w:val="16"/>
        <w:szCs w:val="16"/>
      </w:rPr>
    </w:pPr>
    <w:r>
      <w:rPr>
        <w:rFonts w:ascii="Arial" w:hAnsi="Arial" w:cs="Arial"/>
        <w:b/>
        <w:noProof/>
        <w:sz w:val="16"/>
        <w:szCs w:val="16"/>
      </w:rPr>
      <w:drawing>
        <wp:anchor distT="0" distB="0" distL="114300" distR="114300" simplePos="0" relativeHeight="251657728" behindDoc="0" locked="0" layoutInCell="1" allowOverlap="0" wp14:anchorId="2D2C036B" wp14:editId="0C8BEAA7">
          <wp:simplePos x="0" y="0"/>
          <wp:positionH relativeFrom="column">
            <wp:align>left</wp:align>
          </wp:positionH>
          <wp:positionV relativeFrom="paragraph">
            <wp:posOffset>-8890</wp:posOffset>
          </wp:positionV>
          <wp:extent cx="1038225" cy="1362075"/>
          <wp:effectExtent l="0" t="0" r="9525" b="9525"/>
          <wp:wrapSquare wrapText="bothSides"/>
          <wp:docPr id="6" name="Picture 6"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pic:spPr>
              </pic:pic>
            </a:graphicData>
          </a:graphic>
          <wp14:sizeRelH relativeFrom="page">
            <wp14:pctWidth>0</wp14:pctWidth>
          </wp14:sizeRelH>
          <wp14:sizeRelV relativeFrom="page">
            <wp14:pctHeight>0</wp14:pctHeight>
          </wp14:sizeRelV>
        </wp:anchor>
      </w:drawing>
    </w:r>
    <w:r w:rsidRPr="0000766C">
      <w:rPr>
        <w:rFonts w:ascii="Arial" w:hAnsi="Arial" w:cs="Arial"/>
        <w:b/>
        <w:sz w:val="16"/>
        <w:szCs w:val="16"/>
      </w:rPr>
      <w:t xml:space="preserve"> </w:t>
    </w:r>
    <w:r>
      <w:rPr>
        <w:rFonts w:ascii="Arial" w:hAnsi="Arial" w:cs="Arial"/>
        <w:b/>
        <w:sz w:val="16"/>
        <w:szCs w:val="16"/>
      </w:rPr>
      <w:t xml:space="preserve">County Executive Office </w:t>
    </w:r>
    <w:r w:rsidRPr="0000766C">
      <w:rPr>
        <w:rFonts w:ascii="Arial" w:hAnsi="Arial" w:cs="Arial"/>
        <w:b/>
        <w:sz w:val="16"/>
        <w:szCs w:val="16"/>
      </w:rPr>
      <w:br/>
    </w:r>
    <w:r w:rsidRPr="007531B2">
      <w:rPr>
        <w:rFonts w:ascii="Arial" w:hAnsi="Arial" w:cs="Arial"/>
        <w:sz w:val="16"/>
        <w:szCs w:val="16"/>
      </w:rPr>
      <w:br/>
    </w:r>
  </w:p>
  <w:p w:rsidR="002922BE" w:rsidRPr="0000766C" w:rsidRDefault="002922BE" w:rsidP="00710FE4">
    <w:pPr>
      <w:jc w:val="right"/>
      <w:rPr>
        <w:rFonts w:ascii="Arial" w:hAnsi="Arial" w:cs="Arial"/>
        <w:color w:val="8FD400"/>
        <w:sz w:val="16"/>
        <w:szCs w:val="16"/>
      </w:rPr>
    </w:pPr>
  </w:p>
  <w:p w:rsidR="002922BE" w:rsidRPr="0000766C" w:rsidRDefault="002922BE" w:rsidP="00710FE4">
    <w:pPr>
      <w:jc w:val="right"/>
      <w:rPr>
        <w:rFonts w:ascii="Arial" w:hAnsi="Arial" w:cs="Arial"/>
        <w:sz w:val="16"/>
        <w:szCs w:val="16"/>
      </w:rPr>
    </w:pPr>
    <w:r>
      <w:rPr>
        <w:rFonts w:ascii="Arial" w:hAnsi="Arial" w:cs="Arial"/>
        <w:sz w:val="16"/>
        <w:szCs w:val="16"/>
      </w:rPr>
      <w:t xml:space="preserve">1195 Third Street </w:t>
    </w:r>
  </w:p>
  <w:p w:rsidR="002922BE" w:rsidRPr="0000766C" w:rsidRDefault="002922BE" w:rsidP="00710FE4">
    <w:pPr>
      <w:jc w:val="right"/>
      <w:rPr>
        <w:rFonts w:ascii="Arial" w:hAnsi="Arial" w:cs="Arial"/>
        <w:sz w:val="16"/>
        <w:szCs w:val="16"/>
      </w:rPr>
    </w:pPr>
    <w:r>
      <w:rPr>
        <w:rFonts w:ascii="Arial" w:hAnsi="Arial" w:cs="Arial"/>
        <w:sz w:val="16"/>
        <w:szCs w:val="16"/>
      </w:rPr>
      <w:t xml:space="preserve">Suite 310 </w:t>
    </w:r>
  </w:p>
  <w:p w:rsidR="002922BE" w:rsidRPr="006D0695" w:rsidRDefault="002922BE" w:rsidP="00710FE4">
    <w:pPr>
      <w:jc w:val="right"/>
      <w:rPr>
        <w:rFonts w:ascii="Arial" w:hAnsi="Arial" w:cs="Arial"/>
        <w:sz w:val="16"/>
        <w:szCs w:val="16"/>
        <w:lang w:val="es-MX"/>
      </w:rPr>
    </w:pPr>
    <w:r w:rsidRPr="006D0695">
      <w:rPr>
        <w:rFonts w:ascii="Arial" w:hAnsi="Arial" w:cs="Arial"/>
        <w:sz w:val="16"/>
        <w:szCs w:val="16"/>
        <w:lang w:val="es-MX"/>
      </w:rPr>
      <w:t xml:space="preserve">Napa, CA 94559 </w:t>
    </w:r>
  </w:p>
  <w:p w:rsidR="002922BE" w:rsidRPr="006D0695" w:rsidRDefault="002922BE" w:rsidP="00710FE4">
    <w:pPr>
      <w:jc w:val="right"/>
      <w:rPr>
        <w:rFonts w:ascii="Arial" w:hAnsi="Arial" w:cs="Arial"/>
        <w:sz w:val="16"/>
        <w:szCs w:val="16"/>
        <w:lang w:val="es-MX"/>
      </w:rPr>
    </w:pPr>
    <w:r w:rsidRPr="006D0695">
      <w:rPr>
        <w:rFonts w:ascii="Arial" w:hAnsi="Arial" w:cs="Arial"/>
        <w:sz w:val="16"/>
        <w:szCs w:val="16"/>
        <w:lang w:val="es-MX"/>
      </w:rPr>
      <w:t>www.countyofnapa.org</w:t>
    </w:r>
  </w:p>
  <w:p w:rsidR="002922BE" w:rsidRPr="006D0695" w:rsidRDefault="002922BE" w:rsidP="00710FE4">
    <w:pPr>
      <w:jc w:val="right"/>
      <w:rPr>
        <w:rFonts w:ascii="Arial" w:hAnsi="Arial" w:cs="Arial"/>
        <w:sz w:val="16"/>
        <w:szCs w:val="16"/>
        <w:lang w:val="es-MX"/>
      </w:rPr>
    </w:pPr>
  </w:p>
  <w:p w:rsidR="002922BE" w:rsidRPr="006D0695" w:rsidRDefault="002922BE" w:rsidP="00710FE4">
    <w:pPr>
      <w:jc w:val="right"/>
      <w:rPr>
        <w:rFonts w:ascii="Arial" w:hAnsi="Arial" w:cs="Arial"/>
        <w:sz w:val="16"/>
        <w:szCs w:val="16"/>
        <w:lang w:val="es-MX"/>
      </w:rPr>
    </w:pPr>
    <w:r w:rsidRPr="006D0695">
      <w:rPr>
        <w:rFonts w:ascii="Arial" w:hAnsi="Arial" w:cs="Arial"/>
        <w:sz w:val="16"/>
        <w:szCs w:val="16"/>
        <w:lang w:val="es-MX"/>
      </w:rPr>
      <w:t xml:space="preserve">Main: (707) 253-4421 </w:t>
    </w:r>
  </w:p>
  <w:p w:rsidR="002922BE" w:rsidRPr="0000766C" w:rsidRDefault="002922BE" w:rsidP="00710FE4">
    <w:pPr>
      <w:jc w:val="right"/>
      <w:rPr>
        <w:rFonts w:ascii="Arial" w:hAnsi="Arial" w:cs="Arial"/>
        <w:sz w:val="16"/>
        <w:szCs w:val="16"/>
      </w:rPr>
    </w:pPr>
    <w:r w:rsidRPr="0000766C">
      <w:rPr>
        <w:rFonts w:ascii="Arial" w:hAnsi="Arial" w:cs="Arial"/>
        <w:sz w:val="16"/>
        <w:szCs w:val="16"/>
      </w:rPr>
      <w:t xml:space="preserve">Fax: (707) </w:t>
    </w:r>
    <w:r>
      <w:rPr>
        <w:rFonts w:ascii="Arial" w:hAnsi="Arial" w:cs="Arial"/>
        <w:sz w:val="16"/>
        <w:szCs w:val="16"/>
      </w:rPr>
      <w:t xml:space="preserve">253-4176 </w:t>
    </w:r>
  </w:p>
  <w:p w:rsidR="002922BE" w:rsidRPr="0000766C" w:rsidRDefault="002922BE" w:rsidP="00710FE4">
    <w:pPr>
      <w:jc w:val="right"/>
      <w:rPr>
        <w:rFonts w:ascii="Arial" w:hAnsi="Arial" w:cs="Arial"/>
        <w:b/>
        <w:sz w:val="16"/>
        <w:szCs w:val="16"/>
      </w:rPr>
    </w:pPr>
    <w:r w:rsidRPr="0000766C">
      <w:rPr>
        <w:rFonts w:ascii="Arial" w:hAnsi="Arial" w:cs="Arial"/>
        <w:sz w:val="16"/>
        <w:szCs w:val="16"/>
      </w:rPr>
      <w:br/>
    </w:r>
    <w:r>
      <w:rPr>
        <w:rFonts w:ascii="Arial" w:hAnsi="Arial" w:cs="Arial"/>
        <w:b/>
        <w:sz w:val="16"/>
        <w:szCs w:val="16"/>
      </w:rPr>
      <w:t>Leanne Link</w:t>
    </w:r>
  </w:p>
  <w:p w:rsidR="002922BE" w:rsidRPr="0000766C" w:rsidRDefault="002922BE" w:rsidP="00710FE4">
    <w:pPr>
      <w:jc w:val="right"/>
      <w:rPr>
        <w:rFonts w:ascii="Arial" w:hAnsi="Arial" w:cs="Arial"/>
        <w:sz w:val="16"/>
        <w:szCs w:val="16"/>
      </w:rPr>
    </w:pPr>
    <w:r>
      <w:rPr>
        <w:rFonts w:ascii="Arial" w:hAnsi="Arial" w:cs="Arial"/>
        <w:sz w:val="16"/>
        <w:szCs w:val="16"/>
      </w:rPr>
      <w:t>County Executive Officer</w:t>
    </w:r>
  </w:p>
  <w:p w:rsidR="002922BE" w:rsidRDefault="00292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065"/>
    <w:multiLevelType w:val="hybridMultilevel"/>
    <w:tmpl w:val="F70C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953C8"/>
    <w:multiLevelType w:val="hybridMultilevel"/>
    <w:tmpl w:val="BDDE620A"/>
    <w:lvl w:ilvl="0" w:tplc="231A1FCA">
      <w:start w:val="13"/>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03212833"/>
    <w:multiLevelType w:val="hybridMultilevel"/>
    <w:tmpl w:val="DB10A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DF94E09E">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07580"/>
    <w:multiLevelType w:val="hybridMultilevel"/>
    <w:tmpl w:val="B9DA5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0E792C"/>
    <w:multiLevelType w:val="hybridMultilevel"/>
    <w:tmpl w:val="C76E390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5">
    <w:nsid w:val="1C2B54AD"/>
    <w:multiLevelType w:val="hybridMultilevel"/>
    <w:tmpl w:val="60808C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3F49E8"/>
    <w:multiLevelType w:val="hybridMultilevel"/>
    <w:tmpl w:val="415CDA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3C226E"/>
    <w:multiLevelType w:val="hybridMultilevel"/>
    <w:tmpl w:val="2A16EE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220C3B"/>
    <w:multiLevelType w:val="hybridMultilevel"/>
    <w:tmpl w:val="EA4C2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E0ABB"/>
    <w:multiLevelType w:val="hybridMultilevel"/>
    <w:tmpl w:val="A26A6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35C84"/>
    <w:multiLevelType w:val="multilevel"/>
    <w:tmpl w:val="4B6E3D4C"/>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9207B03"/>
    <w:multiLevelType w:val="hybridMultilevel"/>
    <w:tmpl w:val="2026D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D319B"/>
    <w:multiLevelType w:val="hybridMultilevel"/>
    <w:tmpl w:val="7C6C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B4292"/>
    <w:multiLevelType w:val="hybridMultilevel"/>
    <w:tmpl w:val="6E62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00971"/>
    <w:multiLevelType w:val="hybridMultilevel"/>
    <w:tmpl w:val="CCC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47F1E"/>
    <w:multiLevelType w:val="hybridMultilevel"/>
    <w:tmpl w:val="F5B24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90745D"/>
    <w:multiLevelType w:val="hybridMultilevel"/>
    <w:tmpl w:val="C9C4F7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CD1666"/>
    <w:multiLevelType w:val="hybridMultilevel"/>
    <w:tmpl w:val="1D98A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C0934"/>
    <w:multiLevelType w:val="hybridMultilevel"/>
    <w:tmpl w:val="40ECECF6"/>
    <w:lvl w:ilvl="0" w:tplc="D67C0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54732"/>
    <w:multiLevelType w:val="hybridMultilevel"/>
    <w:tmpl w:val="E63E6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EF5666"/>
    <w:multiLevelType w:val="hybridMultilevel"/>
    <w:tmpl w:val="9EB8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21B52"/>
    <w:multiLevelType w:val="hybridMultilevel"/>
    <w:tmpl w:val="932C6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16F7E73"/>
    <w:multiLevelType w:val="hybridMultilevel"/>
    <w:tmpl w:val="BEDA2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1464F7"/>
    <w:multiLevelType w:val="hybridMultilevel"/>
    <w:tmpl w:val="2228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D7FC3"/>
    <w:multiLevelType w:val="hybridMultilevel"/>
    <w:tmpl w:val="52EE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0959A3"/>
    <w:multiLevelType w:val="hybridMultilevel"/>
    <w:tmpl w:val="F634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959EA"/>
    <w:multiLevelType w:val="hybridMultilevel"/>
    <w:tmpl w:val="7842EC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4578D1"/>
    <w:multiLevelType w:val="hybridMultilevel"/>
    <w:tmpl w:val="8C44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11BFC"/>
    <w:multiLevelType w:val="hybridMultilevel"/>
    <w:tmpl w:val="C38678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83F82"/>
    <w:multiLevelType w:val="hybridMultilevel"/>
    <w:tmpl w:val="614E4D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9892AD7"/>
    <w:multiLevelType w:val="hybridMultilevel"/>
    <w:tmpl w:val="64F4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C0AAA"/>
    <w:multiLevelType w:val="hybridMultilevel"/>
    <w:tmpl w:val="7694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0E07D7"/>
    <w:multiLevelType w:val="hybridMultilevel"/>
    <w:tmpl w:val="5E30DFFC"/>
    <w:lvl w:ilvl="0" w:tplc="CCC05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B509F"/>
    <w:multiLevelType w:val="hybridMultilevel"/>
    <w:tmpl w:val="4E1AB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192C4E"/>
    <w:multiLevelType w:val="hybridMultilevel"/>
    <w:tmpl w:val="07DE0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32"/>
  </w:num>
  <w:num w:numId="4">
    <w:abstractNumId w:val="18"/>
  </w:num>
  <w:num w:numId="5">
    <w:abstractNumId w:val="14"/>
  </w:num>
  <w:num w:numId="6">
    <w:abstractNumId w:val="11"/>
  </w:num>
  <w:num w:numId="7">
    <w:abstractNumId w:val="0"/>
  </w:num>
  <w:num w:numId="8">
    <w:abstractNumId w:val="26"/>
  </w:num>
  <w:num w:numId="9">
    <w:abstractNumId w:val="24"/>
  </w:num>
  <w:num w:numId="10">
    <w:abstractNumId w:val="30"/>
  </w:num>
  <w:num w:numId="11">
    <w:abstractNumId w:val="28"/>
  </w:num>
  <w:num w:numId="12">
    <w:abstractNumId w:val="2"/>
  </w:num>
  <w:num w:numId="13">
    <w:abstractNumId w:val="4"/>
  </w:num>
  <w:num w:numId="14">
    <w:abstractNumId w:val="20"/>
  </w:num>
  <w:num w:numId="15">
    <w:abstractNumId w:val="27"/>
  </w:num>
  <w:num w:numId="16">
    <w:abstractNumId w:val="19"/>
  </w:num>
  <w:num w:numId="17">
    <w:abstractNumId w:val="24"/>
  </w:num>
  <w:num w:numId="18">
    <w:abstractNumId w:val="15"/>
  </w:num>
  <w:num w:numId="19">
    <w:abstractNumId w:val="34"/>
  </w:num>
  <w:num w:numId="20">
    <w:abstractNumId w:val="33"/>
  </w:num>
  <w:num w:numId="21">
    <w:abstractNumId w:val="1"/>
  </w:num>
  <w:num w:numId="22">
    <w:abstractNumId w:val="6"/>
  </w:num>
  <w:num w:numId="23">
    <w:abstractNumId w:val="23"/>
  </w:num>
  <w:num w:numId="24">
    <w:abstractNumId w:val="8"/>
  </w:num>
  <w:num w:numId="25">
    <w:abstractNumId w:val="29"/>
  </w:num>
  <w:num w:numId="26">
    <w:abstractNumId w:val="21"/>
  </w:num>
  <w:num w:numId="27">
    <w:abstractNumId w:val="16"/>
  </w:num>
  <w:num w:numId="28">
    <w:abstractNumId w:val="10"/>
  </w:num>
  <w:num w:numId="29">
    <w:abstractNumId w:val="17"/>
  </w:num>
  <w:num w:numId="30">
    <w:abstractNumId w:val="31"/>
  </w:num>
  <w:num w:numId="31">
    <w:abstractNumId w:val="9"/>
  </w:num>
  <w:num w:numId="32">
    <w:abstractNumId w:val="13"/>
  </w:num>
  <w:num w:numId="33">
    <w:abstractNumId w:val="11"/>
  </w:num>
  <w:num w:numId="34">
    <w:abstractNumId w:val="22"/>
  </w:num>
  <w:num w:numId="35">
    <w:abstractNumId w:val="5"/>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07B08"/>
    <w:rsid w:val="00001C29"/>
    <w:rsid w:val="00002D3F"/>
    <w:rsid w:val="0000617D"/>
    <w:rsid w:val="0000766C"/>
    <w:rsid w:val="00007D16"/>
    <w:rsid w:val="0001029B"/>
    <w:rsid w:val="0001060B"/>
    <w:rsid w:val="000132FC"/>
    <w:rsid w:val="000142AD"/>
    <w:rsid w:val="000152C4"/>
    <w:rsid w:val="00015FA1"/>
    <w:rsid w:val="000166E8"/>
    <w:rsid w:val="00016E86"/>
    <w:rsid w:val="000212C1"/>
    <w:rsid w:val="00021A82"/>
    <w:rsid w:val="00021E2E"/>
    <w:rsid w:val="000222D8"/>
    <w:rsid w:val="000226A2"/>
    <w:rsid w:val="00022766"/>
    <w:rsid w:val="00022EB0"/>
    <w:rsid w:val="00023677"/>
    <w:rsid w:val="0002425C"/>
    <w:rsid w:val="00024267"/>
    <w:rsid w:val="00024320"/>
    <w:rsid w:val="00025F22"/>
    <w:rsid w:val="000260B5"/>
    <w:rsid w:val="00026529"/>
    <w:rsid w:val="0002753C"/>
    <w:rsid w:val="0003128A"/>
    <w:rsid w:val="00035BDD"/>
    <w:rsid w:val="00036203"/>
    <w:rsid w:val="00036BDD"/>
    <w:rsid w:val="00040F45"/>
    <w:rsid w:val="00041989"/>
    <w:rsid w:val="00043F90"/>
    <w:rsid w:val="0004472E"/>
    <w:rsid w:val="000448DD"/>
    <w:rsid w:val="00046837"/>
    <w:rsid w:val="0004696A"/>
    <w:rsid w:val="000479B8"/>
    <w:rsid w:val="00047C48"/>
    <w:rsid w:val="0005090F"/>
    <w:rsid w:val="00050EA8"/>
    <w:rsid w:val="000517F7"/>
    <w:rsid w:val="00053EB6"/>
    <w:rsid w:val="00054374"/>
    <w:rsid w:val="00055AE4"/>
    <w:rsid w:val="000566FE"/>
    <w:rsid w:val="00057370"/>
    <w:rsid w:val="00061178"/>
    <w:rsid w:val="00061824"/>
    <w:rsid w:val="00061BC7"/>
    <w:rsid w:val="000628B2"/>
    <w:rsid w:val="0006320A"/>
    <w:rsid w:val="00063EE0"/>
    <w:rsid w:val="00064526"/>
    <w:rsid w:val="00064684"/>
    <w:rsid w:val="00067B3A"/>
    <w:rsid w:val="000719CB"/>
    <w:rsid w:val="00074356"/>
    <w:rsid w:val="00076254"/>
    <w:rsid w:val="0007691D"/>
    <w:rsid w:val="00076BEE"/>
    <w:rsid w:val="0008040E"/>
    <w:rsid w:val="00080EB8"/>
    <w:rsid w:val="000827C4"/>
    <w:rsid w:val="00083957"/>
    <w:rsid w:val="00083EAD"/>
    <w:rsid w:val="00084B8D"/>
    <w:rsid w:val="00086025"/>
    <w:rsid w:val="00087236"/>
    <w:rsid w:val="00087B96"/>
    <w:rsid w:val="0009127B"/>
    <w:rsid w:val="0009145C"/>
    <w:rsid w:val="00091783"/>
    <w:rsid w:val="00093223"/>
    <w:rsid w:val="000935D2"/>
    <w:rsid w:val="00094832"/>
    <w:rsid w:val="000A0521"/>
    <w:rsid w:val="000A1952"/>
    <w:rsid w:val="000A1F1A"/>
    <w:rsid w:val="000A2806"/>
    <w:rsid w:val="000A4096"/>
    <w:rsid w:val="000A433E"/>
    <w:rsid w:val="000A5092"/>
    <w:rsid w:val="000B0B22"/>
    <w:rsid w:val="000B2B76"/>
    <w:rsid w:val="000B319F"/>
    <w:rsid w:val="000B56C9"/>
    <w:rsid w:val="000B78EE"/>
    <w:rsid w:val="000B7992"/>
    <w:rsid w:val="000B7998"/>
    <w:rsid w:val="000C0EB1"/>
    <w:rsid w:val="000C0F6F"/>
    <w:rsid w:val="000C29FE"/>
    <w:rsid w:val="000C646A"/>
    <w:rsid w:val="000C6BAF"/>
    <w:rsid w:val="000C72A8"/>
    <w:rsid w:val="000D1F3A"/>
    <w:rsid w:val="000D1FD6"/>
    <w:rsid w:val="000D2B31"/>
    <w:rsid w:val="000D37DF"/>
    <w:rsid w:val="000D398F"/>
    <w:rsid w:val="000D6EF7"/>
    <w:rsid w:val="000E19CD"/>
    <w:rsid w:val="000E336F"/>
    <w:rsid w:val="000E3BE2"/>
    <w:rsid w:val="000E4F9B"/>
    <w:rsid w:val="000E7C31"/>
    <w:rsid w:val="000F1296"/>
    <w:rsid w:val="000F2364"/>
    <w:rsid w:val="000F3AA6"/>
    <w:rsid w:val="000F3F98"/>
    <w:rsid w:val="000F40C8"/>
    <w:rsid w:val="000F6DF3"/>
    <w:rsid w:val="000F7B9C"/>
    <w:rsid w:val="000F7ECB"/>
    <w:rsid w:val="00100F35"/>
    <w:rsid w:val="00101CF4"/>
    <w:rsid w:val="00103AC1"/>
    <w:rsid w:val="00105E65"/>
    <w:rsid w:val="00105FA6"/>
    <w:rsid w:val="001102B9"/>
    <w:rsid w:val="0011162D"/>
    <w:rsid w:val="00112A5B"/>
    <w:rsid w:val="00115F8E"/>
    <w:rsid w:val="00117354"/>
    <w:rsid w:val="001173E2"/>
    <w:rsid w:val="00120125"/>
    <w:rsid w:val="0012254D"/>
    <w:rsid w:val="0012297D"/>
    <w:rsid w:val="00123853"/>
    <w:rsid w:val="001243D1"/>
    <w:rsid w:val="00131BF5"/>
    <w:rsid w:val="00131E40"/>
    <w:rsid w:val="001326B3"/>
    <w:rsid w:val="00132730"/>
    <w:rsid w:val="00133A98"/>
    <w:rsid w:val="0013509D"/>
    <w:rsid w:val="00136C72"/>
    <w:rsid w:val="001405F3"/>
    <w:rsid w:val="00143114"/>
    <w:rsid w:val="001433C7"/>
    <w:rsid w:val="0014460E"/>
    <w:rsid w:val="00144A0A"/>
    <w:rsid w:val="00145308"/>
    <w:rsid w:val="0014532E"/>
    <w:rsid w:val="00146099"/>
    <w:rsid w:val="0014626E"/>
    <w:rsid w:val="0015030A"/>
    <w:rsid w:val="00151D8A"/>
    <w:rsid w:val="00151FC4"/>
    <w:rsid w:val="00152B47"/>
    <w:rsid w:val="001549AD"/>
    <w:rsid w:val="00155873"/>
    <w:rsid w:val="00161805"/>
    <w:rsid w:val="00162B86"/>
    <w:rsid w:val="001642E2"/>
    <w:rsid w:val="0016733B"/>
    <w:rsid w:val="0017080B"/>
    <w:rsid w:val="00170AC0"/>
    <w:rsid w:val="00172D3F"/>
    <w:rsid w:val="00173F0A"/>
    <w:rsid w:val="001754EB"/>
    <w:rsid w:val="00175ACA"/>
    <w:rsid w:val="0017649D"/>
    <w:rsid w:val="0017685D"/>
    <w:rsid w:val="0017775C"/>
    <w:rsid w:val="00177F38"/>
    <w:rsid w:val="00180B48"/>
    <w:rsid w:val="001812F9"/>
    <w:rsid w:val="00181851"/>
    <w:rsid w:val="00183017"/>
    <w:rsid w:val="00183E23"/>
    <w:rsid w:val="001844E7"/>
    <w:rsid w:val="00184819"/>
    <w:rsid w:val="00185F72"/>
    <w:rsid w:val="001916AF"/>
    <w:rsid w:val="001928DE"/>
    <w:rsid w:val="00192DF4"/>
    <w:rsid w:val="001930EE"/>
    <w:rsid w:val="001944E0"/>
    <w:rsid w:val="001949C2"/>
    <w:rsid w:val="001A22F4"/>
    <w:rsid w:val="001A2B36"/>
    <w:rsid w:val="001A53CA"/>
    <w:rsid w:val="001A7E03"/>
    <w:rsid w:val="001B1029"/>
    <w:rsid w:val="001B2177"/>
    <w:rsid w:val="001B2262"/>
    <w:rsid w:val="001B27F6"/>
    <w:rsid w:val="001B3099"/>
    <w:rsid w:val="001B3645"/>
    <w:rsid w:val="001B364C"/>
    <w:rsid w:val="001B387D"/>
    <w:rsid w:val="001B6973"/>
    <w:rsid w:val="001B7D9E"/>
    <w:rsid w:val="001C2472"/>
    <w:rsid w:val="001C5CA4"/>
    <w:rsid w:val="001C6733"/>
    <w:rsid w:val="001D06A9"/>
    <w:rsid w:val="001D3047"/>
    <w:rsid w:val="001D3238"/>
    <w:rsid w:val="001D4424"/>
    <w:rsid w:val="001D4D54"/>
    <w:rsid w:val="001D662C"/>
    <w:rsid w:val="001E08EF"/>
    <w:rsid w:val="001E1C9D"/>
    <w:rsid w:val="001E41A8"/>
    <w:rsid w:val="001E4AA7"/>
    <w:rsid w:val="001E6641"/>
    <w:rsid w:val="001E68E6"/>
    <w:rsid w:val="001F1699"/>
    <w:rsid w:val="001F3C11"/>
    <w:rsid w:val="001F66B8"/>
    <w:rsid w:val="001F7268"/>
    <w:rsid w:val="001F76B6"/>
    <w:rsid w:val="002001C7"/>
    <w:rsid w:val="002002B0"/>
    <w:rsid w:val="00200926"/>
    <w:rsid w:val="00200960"/>
    <w:rsid w:val="002013D6"/>
    <w:rsid w:val="00201883"/>
    <w:rsid w:val="00204518"/>
    <w:rsid w:val="002047E6"/>
    <w:rsid w:val="0020590F"/>
    <w:rsid w:val="002069B1"/>
    <w:rsid w:val="00206B61"/>
    <w:rsid w:val="00210822"/>
    <w:rsid w:val="00213D9A"/>
    <w:rsid w:val="002142CE"/>
    <w:rsid w:val="00221103"/>
    <w:rsid w:val="00221AEB"/>
    <w:rsid w:val="002227A3"/>
    <w:rsid w:val="00222C16"/>
    <w:rsid w:val="00222E34"/>
    <w:rsid w:val="00226B8E"/>
    <w:rsid w:val="002272F4"/>
    <w:rsid w:val="002274EF"/>
    <w:rsid w:val="00230D35"/>
    <w:rsid w:val="00231427"/>
    <w:rsid w:val="00231AE1"/>
    <w:rsid w:val="00232D40"/>
    <w:rsid w:val="002336DC"/>
    <w:rsid w:val="00235AB1"/>
    <w:rsid w:val="00235DE9"/>
    <w:rsid w:val="0023605C"/>
    <w:rsid w:val="00240B93"/>
    <w:rsid w:val="00240F34"/>
    <w:rsid w:val="00243723"/>
    <w:rsid w:val="0024511D"/>
    <w:rsid w:val="002453A4"/>
    <w:rsid w:val="00245B09"/>
    <w:rsid w:val="00245D31"/>
    <w:rsid w:val="00247E85"/>
    <w:rsid w:val="00250043"/>
    <w:rsid w:val="00250E58"/>
    <w:rsid w:val="00255DBD"/>
    <w:rsid w:val="00256393"/>
    <w:rsid w:val="00256BD0"/>
    <w:rsid w:val="002579A0"/>
    <w:rsid w:val="00257B24"/>
    <w:rsid w:val="0026018C"/>
    <w:rsid w:val="0026134A"/>
    <w:rsid w:val="00261600"/>
    <w:rsid w:val="0026194F"/>
    <w:rsid w:val="002669A2"/>
    <w:rsid w:val="00266A25"/>
    <w:rsid w:val="002710BC"/>
    <w:rsid w:val="002723FC"/>
    <w:rsid w:val="002727A2"/>
    <w:rsid w:val="00272B7C"/>
    <w:rsid w:val="00273E1A"/>
    <w:rsid w:val="00274353"/>
    <w:rsid w:val="0028079F"/>
    <w:rsid w:val="0028086C"/>
    <w:rsid w:val="002809ED"/>
    <w:rsid w:val="002817DB"/>
    <w:rsid w:val="00281A0F"/>
    <w:rsid w:val="00283684"/>
    <w:rsid w:val="0028501D"/>
    <w:rsid w:val="002851C5"/>
    <w:rsid w:val="00285799"/>
    <w:rsid w:val="00290EA9"/>
    <w:rsid w:val="002922BE"/>
    <w:rsid w:val="002926C5"/>
    <w:rsid w:val="00293736"/>
    <w:rsid w:val="0029565E"/>
    <w:rsid w:val="0029577C"/>
    <w:rsid w:val="0029594F"/>
    <w:rsid w:val="00295A91"/>
    <w:rsid w:val="002A2CAB"/>
    <w:rsid w:val="002A53BC"/>
    <w:rsid w:val="002A5FBC"/>
    <w:rsid w:val="002A6C4D"/>
    <w:rsid w:val="002B2279"/>
    <w:rsid w:val="002B2300"/>
    <w:rsid w:val="002B2619"/>
    <w:rsid w:val="002B3F91"/>
    <w:rsid w:val="002B452C"/>
    <w:rsid w:val="002B4EDC"/>
    <w:rsid w:val="002B70B6"/>
    <w:rsid w:val="002C146D"/>
    <w:rsid w:val="002C17E6"/>
    <w:rsid w:val="002C5A20"/>
    <w:rsid w:val="002C5FEA"/>
    <w:rsid w:val="002D2548"/>
    <w:rsid w:val="002D4D8E"/>
    <w:rsid w:val="002D79F1"/>
    <w:rsid w:val="002D7A8C"/>
    <w:rsid w:val="002E0CF8"/>
    <w:rsid w:val="002E17D2"/>
    <w:rsid w:val="002E17D9"/>
    <w:rsid w:val="002E2100"/>
    <w:rsid w:val="002E408F"/>
    <w:rsid w:val="002E5337"/>
    <w:rsid w:val="002E5424"/>
    <w:rsid w:val="002E5949"/>
    <w:rsid w:val="002E6058"/>
    <w:rsid w:val="002E674F"/>
    <w:rsid w:val="002E74C9"/>
    <w:rsid w:val="002F3E09"/>
    <w:rsid w:val="002F4145"/>
    <w:rsid w:val="002F5243"/>
    <w:rsid w:val="00304575"/>
    <w:rsid w:val="00306764"/>
    <w:rsid w:val="00306773"/>
    <w:rsid w:val="003104D3"/>
    <w:rsid w:val="0031070F"/>
    <w:rsid w:val="0031096F"/>
    <w:rsid w:val="0031115B"/>
    <w:rsid w:val="0031143C"/>
    <w:rsid w:val="00311E65"/>
    <w:rsid w:val="00311FB1"/>
    <w:rsid w:val="00312AF3"/>
    <w:rsid w:val="00312B40"/>
    <w:rsid w:val="003137C8"/>
    <w:rsid w:val="0031395B"/>
    <w:rsid w:val="00313D3D"/>
    <w:rsid w:val="003140CD"/>
    <w:rsid w:val="00314413"/>
    <w:rsid w:val="003159B5"/>
    <w:rsid w:val="00315A89"/>
    <w:rsid w:val="00322119"/>
    <w:rsid w:val="00322192"/>
    <w:rsid w:val="00324D2B"/>
    <w:rsid w:val="003268D7"/>
    <w:rsid w:val="00330126"/>
    <w:rsid w:val="003329CC"/>
    <w:rsid w:val="00333CC3"/>
    <w:rsid w:val="00334ECD"/>
    <w:rsid w:val="003374C5"/>
    <w:rsid w:val="00340873"/>
    <w:rsid w:val="00341E69"/>
    <w:rsid w:val="00342368"/>
    <w:rsid w:val="00343CD1"/>
    <w:rsid w:val="0034400D"/>
    <w:rsid w:val="0034428B"/>
    <w:rsid w:val="00344883"/>
    <w:rsid w:val="00344AA8"/>
    <w:rsid w:val="00344ECE"/>
    <w:rsid w:val="00346F9A"/>
    <w:rsid w:val="00347B6D"/>
    <w:rsid w:val="00350618"/>
    <w:rsid w:val="00350B78"/>
    <w:rsid w:val="00351C7A"/>
    <w:rsid w:val="00355346"/>
    <w:rsid w:val="00355BB0"/>
    <w:rsid w:val="0035602F"/>
    <w:rsid w:val="00356245"/>
    <w:rsid w:val="00356697"/>
    <w:rsid w:val="00357AEB"/>
    <w:rsid w:val="00357F6D"/>
    <w:rsid w:val="003603D9"/>
    <w:rsid w:val="003618C9"/>
    <w:rsid w:val="00364FD3"/>
    <w:rsid w:val="00366500"/>
    <w:rsid w:val="00367533"/>
    <w:rsid w:val="00370471"/>
    <w:rsid w:val="00374519"/>
    <w:rsid w:val="0037643C"/>
    <w:rsid w:val="0037700C"/>
    <w:rsid w:val="003773A8"/>
    <w:rsid w:val="003802AC"/>
    <w:rsid w:val="00382A4C"/>
    <w:rsid w:val="0038452B"/>
    <w:rsid w:val="00384CAE"/>
    <w:rsid w:val="00385E00"/>
    <w:rsid w:val="00386461"/>
    <w:rsid w:val="003868FA"/>
    <w:rsid w:val="00386C69"/>
    <w:rsid w:val="0039054C"/>
    <w:rsid w:val="00390B0F"/>
    <w:rsid w:val="0039346B"/>
    <w:rsid w:val="00394974"/>
    <w:rsid w:val="003949BD"/>
    <w:rsid w:val="00394F27"/>
    <w:rsid w:val="00395A84"/>
    <w:rsid w:val="00395A93"/>
    <w:rsid w:val="003A0877"/>
    <w:rsid w:val="003A178B"/>
    <w:rsid w:val="003A3742"/>
    <w:rsid w:val="003A5A85"/>
    <w:rsid w:val="003B0F70"/>
    <w:rsid w:val="003B119B"/>
    <w:rsid w:val="003B21D2"/>
    <w:rsid w:val="003B3934"/>
    <w:rsid w:val="003B3A7E"/>
    <w:rsid w:val="003B5911"/>
    <w:rsid w:val="003B5DAE"/>
    <w:rsid w:val="003C5686"/>
    <w:rsid w:val="003C575E"/>
    <w:rsid w:val="003C586A"/>
    <w:rsid w:val="003C64A9"/>
    <w:rsid w:val="003D0B6A"/>
    <w:rsid w:val="003D1C51"/>
    <w:rsid w:val="003D3314"/>
    <w:rsid w:val="003D53F6"/>
    <w:rsid w:val="003D5BA9"/>
    <w:rsid w:val="003D693A"/>
    <w:rsid w:val="003E0005"/>
    <w:rsid w:val="003E1AF7"/>
    <w:rsid w:val="003E266C"/>
    <w:rsid w:val="003E381C"/>
    <w:rsid w:val="003E3A0A"/>
    <w:rsid w:val="003E42BF"/>
    <w:rsid w:val="003E5B09"/>
    <w:rsid w:val="003E5B77"/>
    <w:rsid w:val="003E73E0"/>
    <w:rsid w:val="003F11C9"/>
    <w:rsid w:val="003F2B83"/>
    <w:rsid w:val="003F2C0B"/>
    <w:rsid w:val="003F2F56"/>
    <w:rsid w:val="003F350C"/>
    <w:rsid w:val="003F376D"/>
    <w:rsid w:val="003F3F4D"/>
    <w:rsid w:val="003F41B8"/>
    <w:rsid w:val="003F6948"/>
    <w:rsid w:val="003F7521"/>
    <w:rsid w:val="003F7E52"/>
    <w:rsid w:val="00400C70"/>
    <w:rsid w:val="00405453"/>
    <w:rsid w:val="00410E4F"/>
    <w:rsid w:val="0041113C"/>
    <w:rsid w:val="00411833"/>
    <w:rsid w:val="004129ED"/>
    <w:rsid w:val="00413E32"/>
    <w:rsid w:val="00415A5C"/>
    <w:rsid w:val="004174B0"/>
    <w:rsid w:val="004201A8"/>
    <w:rsid w:val="004202E3"/>
    <w:rsid w:val="00420535"/>
    <w:rsid w:val="00420B42"/>
    <w:rsid w:val="0042320F"/>
    <w:rsid w:val="00424AD3"/>
    <w:rsid w:val="004267D0"/>
    <w:rsid w:val="00426E3C"/>
    <w:rsid w:val="00427B95"/>
    <w:rsid w:val="00430550"/>
    <w:rsid w:val="0043268F"/>
    <w:rsid w:val="00432BE8"/>
    <w:rsid w:val="004331DE"/>
    <w:rsid w:val="00434262"/>
    <w:rsid w:val="00434863"/>
    <w:rsid w:val="00435418"/>
    <w:rsid w:val="004414CA"/>
    <w:rsid w:val="00442097"/>
    <w:rsid w:val="0044250C"/>
    <w:rsid w:val="00442A11"/>
    <w:rsid w:val="004441B3"/>
    <w:rsid w:val="004442F2"/>
    <w:rsid w:val="0044539A"/>
    <w:rsid w:val="004454B2"/>
    <w:rsid w:val="004470C6"/>
    <w:rsid w:val="00450394"/>
    <w:rsid w:val="004510FE"/>
    <w:rsid w:val="00452457"/>
    <w:rsid w:val="00452694"/>
    <w:rsid w:val="004528DE"/>
    <w:rsid w:val="00452F84"/>
    <w:rsid w:val="00453A49"/>
    <w:rsid w:val="0045442A"/>
    <w:rsid w:val="0046242C"/>
    <w:rsid w:val="00463011"/>
    <w:rsid w:val="0046576A"/>
    <w:rsid w:val="0046739E"/>
    <w:rsid w:val="00470B4B"/>
    <w:rsid w:val="00471DC0"/>
    <w:rsid w:val="00472499"/>
    <w:rsid w:val="00472EE4"/>
    <w:rsid w:val="00472FA5"/>
    <w:rsid w:val="004733F1"/>
    <w:rsid w:val="004739D5"/>
    <w:rsid w:val="0047693D"/>
    <w:rsid w:val="0047728B"/>
    <w:rsid w:val="00477BAA"/>
    <w:rsid w:val="00481957"/>
    <w:rsid w:val="00485090"/>
    <w:rsid w:val="00486E3F"/>
    <w:rsid w:val="00490C7A"/>
    <w:rsid w:val="004919E0"/>
    <w:rsid w:val="00492DA3"/>
    <w:rsid w:val="0049302C"/>
    <w:rsid w:val="00495810"/>
    <w:rsid w:val="00497C51"/>
    <w:rsid w:val="004A0297"/>
    <w:rsid w:val="004A0C1C"/>
    <w:rsid w:val="004A3612"/>
    <w:rsid w:val="004A4B33"/>
    <w:rsid w:val="004A4EC1"/>
    <w:rsid w:val="004A755B"/>
    <w:rsid w:val="004A7FEB"/>
    <w:rsid w:val="004B0138"/>
    <w:rsid w:val="004B0AFA"/>
    <w:rsid w:val="004B1FAA"/>
    <w:rsid w:val="004B2E26"/>
    <w:rsid w:val="004B3C49"/>
    <w:rsid w:val="004B4071"/>
    <w:rsid w:val="004B51E0"/>
    <w:rsid w:val="004B5D74"/>
    <w:rsid w:val="004B6FA4"/>
    <w:rsid w:val="004B74EB"/>
    <w:rsid w:val="004C00C5"/>
    <w:rsid w:val="004C23DB"/>
    <w:rsid w:val="004C2A27"/>
    <w:rsid w:val="004C3AAC"/>
    <w:rsid w:val="004C49C0"/>
    <w:rsid w:val="004C546A"/>
    <w:rsid w:val="004C597F"/>
    <w:rsid w:val="004C5A7A"/>
    <w:rsid w:val="004C5B1E"/>
    <w:rsid w:val="004C6465"/>
    <w:rsid w:val="004C74C0"/>
    <w:rsid w:val="004D0D6C"/>
    <w:rsid w:val="004D2110"/>
    <w:rsid w:val="004D34C5"/>
    <w:rsid w:val="004D4256"/>
    <w:rsid w:val="004D5590"/>
    <w:rsid w:val="004D5B30"/>
    <w:rsid w:val="004D7774"/>
    <w:rsid w:val="004D7F13"/>
    <w:rsid w:val="004E02C5"/>
    <w:rsid w:val="004E12FE"/>
    <w:rsid w:val="004E1852"/>
    <w:rsid w:val="004E2365"/>
    <w:rsid w:val="004E3C8C"/>
    <w:rsid w:val="004E4D59"/>
    <w:rsid w:val="004E503E"/>
    <w:rsid w:val="004E75E3"/>
    <w:rsid w:val="004F0C8E"/>
    <w:rsid w:val="004F36AA"/>
    <w:rsid w:val="004F4961"/>
    <w:rsid w:val="004F4F06"/>
    <w:rsid w:val="004F53DE"/>
    <w:rsid w:val="004F7FFD"/>
    <w:rsid w:val="005021DB"/>
    <w:rsid w:val="0050227B"/>
    <w:rsid w:val="0050310C"/>
    <w:rsid w:val="00503BBD"/>
    <w:rsid w:val="00504530"/>
    <w:rsid w:val="00504A00"/>
    <w:rsid w:val="0050575C"/>
    <w:rsid w:val="00505CC5"/>
    <w:rsid w:val="00505DD3"/>
    <w:rsid w:val="005067C9"/>
    <w:rsid w:val="0050775B"/>
    <w:rsid w:val="00511788"/>
    <w:rsid w:val="00512394"/>
    <w:rsid w:val="005157E5"/>
    <w:rsid w:val="00517512"/>
    <w:rsid w:val="00520D83"/>
    <w:rsid w:val="00526BEE"/>
    <w:rsid w:val="005273FB"/>
    <w:rsid w:val="0053028E"/>
    <w:rsid w:val="005305F8"/>
    <w:rsid w:val="00531B33"/>
    <w:rsid w:val="00533A59"/>
    <w:rsid w:val="005345CC"/>
    <w:rsid w:val="00535518"/>
    <w:rsid w:val="00537D9F"/>
    <w:rsid w:val="00541EB3"/>
    <w:rsid w:val="00544106"/>
    <w:rsid w:val="005445B8"/>
    <w:rsid w:val="00545411"/>
    <w:rsid w:val="00546B14"/>
    <w:rsid w:val="005475F9"/>
    <w:rsid w:val="00547DDE"/>
    <w:rsid w:val="0055062D"/>
    <w:rsid w:val="005514D0"/>
    <w:rsid w:val="005539B2"/>
    <w:rsid w:val="00554FCC"/>
    <w:rsid w:val="00556010"/>
    <w:rsid w:val="0055606C"/>
    <w:rsid w:val="0055627B"/>
    <w:rsid w:val="005604D2"/>
    <w:rsid w:val="00560621"/>
    <w:rsid w:val="00560796"/>
    <w:rsid w:val="00560AAB"/>
    <w:rsid w:val="005720BF"/>
    <w:rsid w:val="00572EE5"/>
    <w:rsid w:val="00576159"/>
    <w:rsid w:val="00576246"/>
    <w:rsid w:val="005777D8"/>
    <w:rsid w:val="00580695"/>
    <w:rsid w:val="005818E1"/>
    <w:rsid w:val="00585829"/>
    <w:rsid w:val="00586180"/>
    <w:rsid w:val="00587041"/>
    <w:rsid w:val="005876EB"/>
    <w:rsid w:val="00590FB7"/>
    <w:rsid w:val="00595180"/>
    <w:rsid w:val="005A1132"/>
    <w:rsid w:val="005A2594"/>
    <w:rsid w:val="005A2FCD"/>
    <w:rsid w:val="005A55DF"/>
    <w:rsid w:val="005B1B2D"/>
    <w:rsid w:val="005B420A"/>
    <w:rsid w:val="005B7B78"/>
    <w:rsid w:val="005C00F4"/>
    <w:rsid w:val="005C1885"/>
    <w:rsid w:val="005C1D78"/>
    <w:rsid w:val="005C3EEE"/>
    <w:rsid w:val="005C5129"/>
    <w:rsid w:val="005C58D2"/>
    <w:rsid w:val="005C5D9F"/>
    <w:rsid w:val="005D07EC"/>
    <w:rsid w:val="005D5A4E"/>
    <w:rsid w:val="005E175B"/>
    <w:rsid w:val="005E43C0"/>
    <w:rsid w:val="005E4E0E"/>
    <w:rsid w:val="005E6612"/>
    <w:rsid w:val="005F054B"/>
    <w:rsid w:val="005F05FA"/>
    <w:rsid w:val="005F10E7"/>
    <w:rsid w:val="005F2CB5"/>
    <w:rsid w:val="005F5851"/>
    <w:rsid w:val="005F68ED"/>
    <w:rsid w:val="005F7929"/>
    <w:rsid w:val="005F7DB9"/>
    <w:rsid w:val="00600297"/>
    <w:rsid w:val="00605667"/>
    <w:rsid w:val="00606A99"/>
    <w:rsid w:val="006079F7"/>
    <w:rsid w:val="0061093A"/>
    <w:rsid w:val="006124F6"/>
    <w:rsid w:val="00615931"/>
    <w:rsid w:val="00616584"/>
    <w:rsid w:val="00616812"/>
    <w:rsid w:val="00617117"/>
    <w:rsid w:val="006174D8"/>
    <w:rsid w:val="006176B8"/>
    <w:rsid w:val="00620734"/>
    <w:rsid w:val="0062260F"/>
    <w:rsid w:val="00622FA1"/>
    <w:rsid w:val="00623F17"/>
    <w:rsid w:val="00624948"/>
    <w:rsid w:val="0062547B"/>
    <w:rsid w:val="00625ADA"/>
    <w:rsid w:val="00627374"/>
    <w:rsid w:val="006278F9"/>
    <w:rsid w:val="00627C39"/>
    <w:rsid w:val="00630677"/>
    <w:rsid w:val="00630893"/>
    <w:rsid w:val="00630BAB"/>
    <w:rsid w:val="00630FCE"/>
    <w:rsid w:val="00631FC0"/>
    <w:rsid w:val="006337F7"/>
    <w:rsid w:val="00633A12"/>
    <w:rsid w:val="00634507"/>
    <w:rsid w:val="00634998"/>
    <w:rsid w:val="00634F92"/>
    <w:rsid w:val="0063561B"/>
    <w:rsid w:val="00636451"/>
    <w:rsid w:val="00637224"/>
    <w:rsid w:val="00641AD8"/>
    <w:rsid w:val="0064231C"/>
    <w:rsid w:val="00642892"/>
    <w:rsid w:val="00642EFF"/>
    <w:rsid w:val="00645467"/>
    <w:rsid w:val="00646BEF"/>
    <w:rsid w:val="00647BAF"/>
    <w:rsid w:val="006507B0"/>
    <w:rsid w:val="00651622"/>
    <w:rsid w:val="00651E75"/>
    <w:rsid w:val="0065250D"/>
    <w:rsid w:val="00654823"/>
    <w:rsid w:val="006556A3"/>
    <w:rsid w:val="006556E6"/>
    <w:rsid w:val="00655833"/>
    <w:rsid w:val="0065771A"/>
    <w:rsid w:val="00660D89"/>
    <w:rsid w:val="006625F4"/>
    <w:rsid w:val="006628F5"/>
    <w:rsid w:val="00662FC6"/>
    <w:rsid w:val="00663CF1"/>
    <w:rsid w:val="0066622B"/>
    <w:rsid w:val="00667109"/>
    <w:rsid w:val="00670BE7"/>
    <w:rsid w:val="00672979"/>
    <w:rsid w:val="00672D5B"/>
    <w:rsid w:val="006764DF"/>
    <w:rsid w:val="00677B4B"/>
    <w:rsid w:val="0068071A"/>
    <w:rsid w:val="00680ABF"/>
    <w:rsid w:val="006862B9"/>
    <w:rsid w:val="006867FC"/>
    <w:rsid w:val="006874CC"/>
    <w:rsid w:val="00692992"/>
    <w:rsid w:val="00694D9B"/>
    <w:rsid w:val="0069778F"/>
    <w:rsid w:val="006A07B7"/>
    <w:rsid w:val="006A6EF2"/>
    <w:rsid w:val="006B07DF"/>
    <w:rsid w:val="006B0F2E"/>
    <w:rsid w:val="006B4271"/>
    <w:rsid w:val="006B73A6"/>
    <w:rsid w:val="006B772C"/>
    <w:rsid w:val="006C08FC"/>
    <w:rsid w:val="006C1A7F"/>
    <w:rsid w:val="006C1D7C"/>
    <w:rsid w:val="006C2251"/>
    <w:rsid w:val="006C24EA"/>
    <w:rsid w:val="006C3300"/>
    <w:rsid w:val="006C34AD"/>
    <w:rsid w:val="006C393D"/>
    <w:rsid w:val="006C62CA"/>
    <w:rsid w:val="006D0695"/>
    <w:rsid w:val="006D16FA"/>
    <w:rsid w:val="006D4A8D"/>
    <w:rsid w:val="006D5BAE"/>
    <w:rsid w:val="006E0425"/>
    <w:rsid w:val="006E08C3"/>
    <w:rsid w:val="006E29EC"/>
    <w:rsid w:val="006E3695"/>
    <w:rsid w:val="006E68F7"/>
    <w:rsid w:val="006E7E0F"/>
    <w:rsid w:val="006F001F"/>
    <w:rsid w:val="006F0A57"/>
    <w:rsid w:val="006F2877"/>
    <w:rsid w:val="006F365D"/>
    <w:rsid w:val="006F39B4"/>
    <w:rsid w:val="006F3FD2"/>
    <w:rsid w:val="006F5EC8"/>
    <w:rsid w:val="006F67A7"/>
    <w:rsid w:val="007001F1"/>
    <w:rsid w:val="00702152"/>
    <w:rsid w:val="00702C15"/>
    <w:rsid w:val="00702DA8"/>
    <w:rsid w:val="0070692D"/>
    <w:rsid w:val="007069B8"/>
    <w:rsid w:val="00707C27"/>
    <w:rsid w:val="00710FE4"/>
    <w:rsid w:val="00712DE9"/>
    <w:rsid w:val="007140C4"/>
    <w:rsid w:val="007147BB"/>
    <w:rsid w:val="00714BC8"/>
    <w:rsid w:val="007153A4"/>
    <w:rsid w:val="007153E7"/>
    <w:rsid w:val="00715EFC"/>
    <w:rsid w:val="0071797D"/>
    <w:rsid w:val="007225AC"/>
    <w:rsid w:val="00722BB8"/>
    <w:rsid w:val="0072335A"/>
    <w:rsid w:val="00723CA4"/>
    <w:rsid w:val="00726BF1"/>
    <w:rsid w:val="00727E6E"/>
    <w:rsid w:val="007344FD"/>
    <w:rsid w:val="0073495A"/>
    <w:rsid w:val="0073496F"/>
    <w:rsid w:val="00737F6F"/>
    <w:rsid w:val="00740A6C"/>
    <w:rsid w:val="00740BD8"/>
    <w:rsid w:val="0074288B"/>
    <w:rsid w:val="00742CA6"/>
    <w:rsid w:val="00744693"/>
    <w:rsid w:val="00745D53"/>
    <w:rsid w:val="00746F29"/>
    <w:rsid w:val="00747984"/>
    <w:rsid w:val="00747CF9"/>
    <w:rsid w:val="00750FB8"/>
    <w:rsid w:val="00753002"/>
    <w:rsid w:val="007531B2"/>
    <w:rsid w:val="00761B3B"/>
    <w:rsid w:val="00762954"/>
    <w:rsid w:val="007632EB"/>
    <w:rsid w:val="00766008"/>
    <w:rsid w:val="0076613B"/>
    <w:rsid w:val="00766B08"/>
    <w:rsid w:val="0076790B"/>
    <w:rsid w:val="00771AE1"/>
    <w:rsid w:val="00772712"/>
    <w:rsid w:val="0077325E"/>
    <w:rsid w:val="0077363A"/>
    <w:rsid w:val="0077408F"/>
    <w:rsid w:val="00774FFB"/>
    <w:rsid w:val="007851C8"/>
    <w:rsid w:val="00785211"/>
    <w:rsid w:val="00790B23"/>
    <w:rsid w:val="00790FBC"/>
    <w:rsid w:val="00791CD2"/>
    <w:rsid w:val="00791EAC"/>
    <w:rsid w:val="00793063"/>
    <w:rsid w:val="007932D8"/>
    <w:rsid w:val="007937A0"/>
    <w:rsid w:val="0079408A"/>
    <w:rsid w:val="007942DF"/>
    <w:rsid w:val="00795D8E"/>
    <w:rsid w:val="00795F5B"/>
    <w:rsid w:val="00796D10"/>
    <w:rsid w:val="00796F74"/>
    <w:rsid w:val="007A097A"/>
    <w:rsid w:val="007A1C8F"/>
    <w:rsid w:val="007A3862"/>
    <w:rsid w:val="007A4E5B"/>
    <w:rsid w:val="007A7254"/>
    <w:rsid w:val="007B0423"/>
    <w:rsid w:val="007B174F"/>
    <w:rsid w:val="007B18B2"/>
    <w:rsid w:val="007B1E94"/>
    <w:rsid w:val="007B3300"/>
    <w:rsid w:val="007B3DB6"/>
    <w:rsid w:val="007B5682"/>
    <w:rsid w:val="007B5941"/>
    <w:rsid w:val="007B5B1A"/>
    <w:rsid w:val="007B65AC"/>
    <w:rsid w:val="007C0073"/>
    <w:rsid w:val="007C199A"/>
    <w:rsid w:val="007C315F"/>
    <w:rsid w:val="007C394C"/>
    <w:rsid w:val="007C40FF"/>
    <w:rsid w:val="007C5A75"/>
    <w:rsid w:val="007C5B72"/>
    <w:rsid w:val="007C6B53"/>
    <w:rsid w:val="007C731D"/>
    <w:rsid w:val="007C738A"/>
    <w:rsid w:val="007C74CC"/>
    <w:rsid w:val="007D0462"/>
    <w:rsid w:val="007D2025"/>
    <w:rsid w:val="007D354A"/>
    <w:rsid w:val="007D4273"/>
    <w:rsid w:val="007D5599"/>
    <w:rsid w:val="007D6B5F"/>
    <w:rsid w:val="007E0809"/>
    <w:rsid w:val="007E10C0"/>
    <w:rsid w:val="007E24CD"/>
    <w:rsid w:val="007E36F4"/>
    <w:rsid w:val="007E3C8E"/>
    <w:rsid w:val="007F0CEB"/>
    <w:rsid w:val="007F1563"/>
    <w:rsid w:val="007F1DB3"/>
    <w:rsid w:val="007F2252"/>
    <w:rsid w:val="007F665E"/>
    <w:rsid w:val="00801F7D"/>
    <w:rsid w:val="00803C4E"/>
    <w:rsid w:val="00803F50"/>
    <w:rsid w:val="0080572F"/>
    <w:rsid w:val="00806083"/>
    <w:rsid w:val="00807002"/>
    <w:rsid w:val="00812663"/>
    <w:rsid w:val="00813CA8"/>
    <w:rsid w:val="008151ED"/>
    <w:rsid w:val="00815913"/>
    <w:rsid w:val="00815EC5"/>
    <w:rsid w:val="00815F63"/>
    <w:rsid w:val="008168CB"/>
    <w:rsid w:val="008172D7"/>
    <w:rsid w:val="0082070B"/>
    <w:rsid w:val="00820FF0"/>
    <w:rsid w:val="00822990"/>
    <w:rsid w:val="00824418"/>
    <w:rsid w:val="00824753"/>
    <w:rsid w:val="00825C0F"/>
    <w:rsid w:val="00826CFB"/>
    <w:rsid w:val="008275B1"/>
    <w:rsid w:val="00827937"/>
    <w:rsid w:val="00827FFB"/>
    <w:rsid w:val="008321DE"/>
    <w:rsid w:val="008323DF"/>
    <w:rsid w:val="008327E1"/>
    <w:rsid w:val="0083326A"/>
    <w:rsid w:val="0083356B"/>
    <w:rsid w:val="008348E3"/>
    <w:rsid w:val="00837BE6"/>
    <w:rsid w:val="00840C92"/>
    <w:rsid w:val="008420C7"/>
    <w:rsid w:val="00842497"/>
    <w:rsid w:val="008435C2"/>
    <w:rsid w:val="0084589A"/>
    <w:rsid w:val="008458D0"/>
    <w:rsid w:val="00847F52"/>
    <w:rsid w:val="00855966"/>
    <w:rsid w:val="00856121"/>
    <w:rsid w:val="008568A1"/>
    <w:rsid w:val="0085786C"/>
    <w:rsid w:val="008605E8"/>
    <w:rsid w:val="00860901"/>
    <w:rsid w:val="00860E2F"/>
    <w:rsid w:val="00861939"/>
    <w:rsid w:val="00861AC4"/>
    <w:rsid w:val="008679F0"/>
    <w:rsid w:val="00871FFD"/>
    <w:rsid w:val="00874413"/>
    <w:rsid w:val="008754C8"/>
    <w:rsid w:val="0087610C"/>
    <w:rsid w:val="00876DD7"/>
    <w:rsid w:val="008775DA"/>
    <w:rsid w:val="00877DBA"/>
    <w:rsid w:val="00880184"/>
    <w:rsid w:val="00880AE5"/>
    <w:rsid w:val="00886247"/>
    <w:rsid w:val="0088722E"/>
    <w:rsid w:val="00887EFF"/>
    <w:rsid w:val="0089030C"/>
    <w:rsid w:val="008905EB"/>
    <w:rsid w:val="00890C82"/>
    <w:rsid w:val="00891838"/>
    <w:rsid w:val="00892035"/>
    <w:rsid w:val="0089247A"/>
    <w:rsid w:val="008927D8"/>
    <w:rsid w:val="0089341F"/>
    <w:rsid w:val="00895F72"/>
    <w:rsid w:val="008976FF"/>
    <w:rsid w:val="008A04DF"/>
    <w:rsid w:val="008A1081"/>
    <w:rsid w:val="008A145D"/>
    <w:rsid w:val="008A182E"/>
    <w:rsid w:val="008A2C65"/>
    <w:rsid w:val="008A2EF9"/>
    <w:rsid w:val="008A34F0"/>
    <w:rsid w:val="008A37EC"/>
    <w:rsid w:val="008A3E61"/>
    <w:rsid w:val="008A4297"/>
    <w:rsid w:val="008A6902"/>
    <w:rsid w:val="008B0C2D"/>
    <w:rsid w:val="008B204B"/>
    <w:rsid w:val="008B4E49"/>
    <w:rsid w:val="008B6203"/>
    <w:rsid w:val="008C1882"/>
    <w:rsid w:val="008C1CEC"/>
    <w:rsid w:val="008C2A2C"/>
    <w:rsid w:val="008C3F05"/>
    <w:rsid w:val="008C4BEC"/>
    <w:rsid w:val="008C58E4"/>
    <w:rsid w:val="008C602B"/>
    <w:rsid w:val="008C63C6"/>
    <w:rsid w:val="008C6A27"/>
    <w:rsid w:val="008C7616"/>
    <w:rsid w:val="008C7A21"/>
    <w:rsid w:val="008C7FD8"/>
    <w:rsid w:val="008D0D53"/>
    <w:rsid w:val="008D1325"/>
    <w:rsid w:val="008D1B4B"/>
    <w:rsid w:val="008D635E"/>
    <w:rsid w:val="008E2E05"/>
    <w:rsid w:val="008E37B4"/>
    <w:rsid w:val="008E601E"/>
    <w:rsid w:val="008F027C"/>
    <w:rsid w:val="008F3232"/>
    <w:rsid w:val="008F3495"/>
    <w:rsid w:val="008F3B4E"/>
    <w:rsid w:val="008F4EB9"/>
    <w:rsid w:val="008F5112"/>
    <w:rsid w:val="008F5A2F"/>
    <w:rsid w:val="008F7180"/>
    <w:rsid w:val="008F7846"/>
    <w:rsid w:val="0090209D"/>
    <w:rsid w:val="00902A39"/>
    <w:rsid w:val="009036A4"/>
    <w:rsid w:val="00904373"/>
    <w:rsid w:val="00905799"/>
    <w:rsid w:val="009067BC"/>
    <w:rsid w:val="009100CC"/>
    <w:rsid w:val="00910550"/>
    <w:rsid w:val="00910C51"/>
    <w:rsid w:val="00913690"/>
    <w:rsid w:val="00914B77"/>
    <w:rsid w:val="00917367"/>
    <w:rsid w:val="0091778A"/>
    <w:rsid w:val="00924013"/>
    <w:rsid w:val="00925858"/>
    <w:rsid w:val="00926DA0"/>
    <w:rsid w:val="00930D72"/>
    <w:rsid w:val="009311EF"/>
    <w:rsid w:val="00931D97"/>
    <w:rsid w:val="00934480"/>
    <w:rsid w:val="00936B45"/>
    <w:rsid w:val="009407BD"/>
    <w:rsid w:val="0094155D"/>
    <w:rsid w:val="009428D8"/>
    <w:rsid w:val="00943BC9"/>
    <w:rsid w:val="0094449C"/>
    <w:rsid w:val="00947E4E"/>
    <w:rsid w:val="0095062A"/>
    <w:rsid w:val="009506D5"/>
    <w:rsid w:val="009572A9"/>
    <w:rsid w:val="00960117"/>
    <w:rsid w:val="009606ED"/>
    <w:rsid w:val="00960CE0"/>
    <w:rsid w:val="009614A9"/>
    <w:rsid w:val="00965E60"/>
    <w:rsid w:val="00966319"/>
    <w:rsid w:val="009675B7"/>
    <w:rsid w:val="00967675"/>
    <w:rsid w:val="00970BEB"/>
    <w:rsid w:val="00970F8D"/>
    <w:rsid w:val="009711D2"/>
    <w:rsid w:val="0097140C"/>
    <w:rsid w:val="00971DDE"/>
    <w:rsid w:val="00972B29"/>
    <w:rsid w:val="00972F29"/>
    <w:rsid w:val="0097322D"/>
    <w:rsid w:val="009758ED"/>
    <w:rsid w:val="009775E1"/>
    <w:rsid w:val="00980153"/>
    <w:rsid w:val="0098196F"/>
    <w:rsid w:val="009841CE"/>
    <w:rsid w:val="00984604"/>
    <w:rsid w:val="00986D21"/>
    <w:rsid w:val="0099075E"/>
    <w:rsid w:val="00991ED1"/>
    <w:rsid w:val="00993218"/>
    <w:rsid w:val="00995DC3"/>
    <w:rsid w:val="009966E0"/>
    <w:rsid w:val="00997733"/>
    <w:rsid w:val="00997FEB"/>
    <w:rsid w:val="009A0471"/>
    <w:rsid w:val="009A0E54"/>
    <w:rsid w:val="009A1838"/>
    <w:rsid w:val="009A2160"/>
    <w:rsid w:val="009A31F0"/>
    <w:rsid w:val="009A3C49"/>
    <w:rsid w:val="009A5E52"/>
    <w:rsid w:val="009A7496"/>
    <w:rsid w:val="009A7C53"/>
    <w:rsid w:val="009B11CF"/>
    <w:rsid w:val="009B1A46"/>
    <w:rsid w:val="009B1B8C"/>
    <w:rsid w:val="009B22FC"/>
    <w:rsid w:val="009B24DD"/>
    <w:rsid w:val="009B2FCD"/>
    <w:rsid w:val="009B380A"/>
    <w:rsid w:val="009B5538"/>
    <w:rsid w:val="009B73A0"/>
    <w:rsid w:val="009C0859"/>
    <w:rsid w:val="009C0977"/>
    <w:rsid w:val="009C0F9F"/>
    <w:rsid w:val="009C1246"/>
    <w:rsid w:val="009C261F"/>
    <w:rsid w:val="009C36D4"/>
    <w:rsid w:val="009C41C3"/>
    <w:rsid w:val="009C4900"/>
    <w:rsid w:val="009D207D"/>
    <w:rsid w:val="009D2C86"/>
    <w:rsid w:val="009D47E3"/>
    <w:rsid w:val="009D50BD"/>
    <w:rsid w:val="009D61BA"/>
    <w:rsid w:val="009D6541"/>
    <w:rsid w:val="009D6B35"/>
    <w:rsid w:val="009D6FE9"/>
    <w:rsid w:val="009E0A69"/>
    <w:rsid w:val="009E1BBD"/>
    <w:rsid w:val="009F1518"/>
    <w:rsid w:val="009F2EF5"/>
    <w:rsid w:val="009F68E5"/>
    <w:rsid w:val="009F693B"/>
    <w:rsid w:val="00A01BDC"/>
    <w:rsid w:val="00A02C0C"/>
    <w:rsid w:val="00A0740E"/>
    <w:rsid w:val="00A110EA"/>
    <w:rsid w:val="00A11193"/>
    <w:rsid w:val="00A112A7"/>
    <w:rsid w:val="00A11E0D"/>
    <w:rsid w:val="00A1473E"/>
    <w:rsid w:val="00A20BF7"/>
    <w:rsid w:val="00A20C0F"/>
    <w:rsid w:val="00A20EE2"/>
    <w:rsid w:val="00A21691"/>
    <w:rsid w:val="00A21899"/>
    <w:rsid w:val="00A22E35"/>
    <w:rsid w:val="00A240DF"/>
    <w:rsid w:val="00A24879"/>
    <w:rsid w:val="00A2618F"/>
    <w:rsid w:val="00A326AE"/>
    <w:rsid w:val="00A32AEE"/>
    <w:rsid w:val="00A334A8"/>
    <w:rsid w:val="00A33A6D"/>
    <w:rsid w:val="00A34A1F"/>
    <w:rsid w:val="00A3551D"/>
    <w:rsid w:val="00A404D4"/>
    <w:rsid w:val="00A43AC9"/>
    <w:rsid w:val="00A44113"/>
    <w:rsid w:val="00A46429"/>
    <w:rsid w:val="00A47B8B"/>
    <w:rsid w:val="00A50E1E"/>
    <w:rsid w:val="00A5199E"/>
    <w:rsid w:val="00A534F7"/>
    <w:rsid w:val="00A5764F"/>
    <w:rsid w:val="00A57D0E"/>
    <w:rsid w:val="00A57E2B"/>
    <w:rsid w:val="00A60461"/>
    <w:rsid w:val="00A60635"/>
    <w:rsid w:val="00A60767"/>
    <w:rsid w:val="00A60FE3"/>
    <w:rsid w:val="00A614DD"/>
    <w:rsid w:val="00A61FD8"/>
    <w:rsid w:val="00A65916"/>
    <w:rsid w:val="00A66991"/>
    <w:rsid w:val="00A669CA"/>
    <w:rsid w:val="00A66A74"/>
    <w:rsid w:val="00A673C1"/>
    <w:rsid w:val="00A708DA"/>
    <w:rsid w:val="00A71CDC"/>
    <w:rsid w:val="00A71D19"/>
    <w:rsid w:val="00A755CA"/>
    <w:rsid w:val="00A75E68"/>
    <w:rsid w:val="00A76D49"/>
    <w:rsid w:val="00A81F7B"/>
    <w:rsid w:val="00A82E47"/>
    <w:rsid w:val="00A83CC6"/>
    <w:rsid w:val="00A85E31"/>
    <w:rsid w:val="00A862E5"/>
    <w:rsid w:val="00A8751F"/>
    <w:rsid w:val="00A9020E"/>
    <w:rsid w:val="00A91A81"/>
    <w:rsid w:val="00A92994"/>
    <w:rsid w:val="00A94366"/>
    <w:rsid w:val="00A94809"/>
    <w:rsid w:val="00A94C31"/>
    <w:rsid w:val="00A9518E"/>
    <w:rsid w:val="00A95ACC"/>
    <w:rsid w:val="00A96BBE"/>
    <w:rsid w:val="00AA0092"/>
    <w:rsid w:val="00AA05AD"/>
    <w:rsid w:val="00AA0A52"/>
    <w:rsid w:val="00AA1F63"/>
    <w:rsid w:val="00AA497B"/>
    <w:rsid w:val="00AA578B"/>
    <w:rsid w:val="00AA5F9A"/>
    <w:rsid w:val="00AA6A68"/>
    <w:rsid w:val="00AA6B91"/>
    <w:rsid w:val="00AA70A9"/>
    <w:rsid w:val="00AB066E"/>
    <w:rsid w:val="00AB06B5"/>
    <w:rsid w:val="00AB1960"/>
    <w:rsid w:val="00AB25B5"/>
    <w:rsid w:val="00AB5AA9"/>
    <w:rsid w:val="00AB6FF1"/>
    <w:rsid w:val="00AB72BF"/>
    <w:rsid w:val="00AB7AF9"/>
    <w:rsid w:val="00AB7D01"/>
    <w:rsid w:val="00AC096F"/>
    <w:rsid w:val="00AC2C06"/>
    <w:rsid w:val="00AC3302"/>
    <w:rsid w:val="00AC5545"/>
    <w:rsid w:val="00AC60BA"/>
    <w:rsid w:val="00AC7BB7"/>
    <w:rsid w:val="00AD025E"/>
    <w:rsid w:val="00AD2616"/>
    <w:rsid w:val="00AD2A0B"/>
    <w:rsid w:val="00AD6101"/>
    <w:rsid w:val="00AE009D"/>
    <w:rsid w:val="00AE0F9B"/>
    <w:rsid w:val="00AE2B20"/>
    <w:rsid w:val="00AE2E36"/>
    <w:rsid w:val="00AE3F51"/>
    <w:rsid w:val="00AE465F"/>
    <w:rsid w:val="00AE5B59"/>
    <w:rsid w:val="00AE5E01"/>
    <w:rsid w:val="00AE5E40"/>
    <w:rsid w:val="00AE70FB"/>
    <w:rsid w:val="00AE7E7D"/>
    <w:rsid w:val="00AF08CA"/>
    <w:rsid w:val="00AF36BD"/>
    <w:rsid w:val="00AF4783"/>
    <w:rsid w:val="00AF5DF5"/>
    <w:rsid w:val="00AF7D2A"/>
    <w:rsid w:val="00B0081B"/>
    <w:rsid w:val="00B02CC6"/>
    <w:rsid w:val="00B030DD"/>
    <w:rsid w:val="00B03F80"/>
    <w:rsid w:val="00B052A7"/>
    <w:rsid w:val="00B05586"/>
    <w:rsid w:val="00B05E41"/>
    <w:rsid w:val="00B1160B"/>
    <w:rsid w:val="00B11A43"/>
    <w:rsid w:val="00B11E8C"/>
    <w:rsid w:val="00B15896"/>
    <w:rsid w:val="00B20345"/>
    <w:rsid w:val="00B2091F"/>
    <w:rsid w:val="00B21BB6"/>
    <w:rsid w:val="00B228FC"/>
    <w:rsid w:val="00B23A87"/>
    <w:rsid w:val="00B23B61"/>
    <w:rsid w:val="00B24614"/>
    <w:rsid w:val="00B2786C"/>
    <w:rsid w:val="00B3111A"/>
    <w:rsid w:val="00B32586"/>
    <w:rsid w:val="00B33695"/>
    <w:rsid w:val="00B33EDC"/>
    <w:rsid w:val="00B34FB5"/>
    <w:rsid w:val="00B35DBC"/>
    <w:rsid w:val="00B36F49"/>
    <w:rsid w:val="00B41358"/>
    <w:rsid w:val="00B4175F"/>
    <w:rsid w:val="00B46DF1"/>
    <w:rsid w:val="00B51609"/>
    <w:rsid w:val="00B56948"/>
    <w:rsid w:val="00B572AF"/>
    <w:rsid w:val="00B57EF0"/>
    <w:rsid w:val="00B60623"/>
    <w:rsid w:val="00B61CF4"/>
    <w:rsid w:val="00B61F50"/>
    <w:rsid w:val="00B62116"/>
    <w:rsid w:val="00B6342A"/>
    <w:rsid w:val="00B70BCF"/>
    <w:rsid w:val="00B71423"/>
    <w:rsid w:val="00B71B31"/>
    <w:rsid w:val="00B72E70"/>
    <w:rsid w:val="00B8040C"/>
    <w:rsid w:val="00B81B5B"/>
    <w:rsid w:val="00B83695"/>
    <w:rsid w:val="00B837F6"/>
    <w:rsid w:val="00B83D55"/>
    <w:rsid w:val="00B84BE0"/>
    <w:rsid w:val="00B857B6"/>
    <w:rsid w:val="00B86588"/>
    <w:rsid w:val="00B906F9"/>
    <w:rsid w:val="00B9157D"/>
    <w:rsid w:val="00B91583"/>
    <w:rsid w:val="00B91F75"/>
    <w:rsid w:val="00B9214E"/>
    <w:rsid w:val="00B94762"/>
    <w:rsid w:val="00B947BF"/>
    <w:rsid w:val="00B94C44"/>
    <w:rsid w:val="00B974E8"/>
    <w:rsid w:val="00B97E94"/>
    <w:rsid w:val="00BA056E"/>
    <w:rsid w:val="00BA06FA"/>
    <w:rsid w:val="00BA1D10"/>
    <w:rsid w:val="00BA1E36"/>
    <w:rsid w:val="00BA2222"/>
    <w:rsid w:val="00BA3210"/>
    <w:rsid w:val="00BA3BD4"/>
    <w:rsid w:val="00BA4202"/>
    <w:rsid w:val="00BA63A2"/>
    <w:rsid w:val="00BA6786"/>
    <w:rsid w:val="00BA72C2"/>
    <w:rsid w:val="00BB386D"/>
    <w:rsid w:val="00BB693E"/>
    <w:rsid w:val="00BB76E9"/>
    <w:rsid w:val="00BC20F3"/>
    <w:rsid w:val="00BC2A39"/>
    <w:rsid w:val="00BC2DE0"/>
    <w:rsid w:val="00BC3E20"/>
    <w:rsid w:val="00BC3F95"/>
    <w:rsid w:val="00BC54D1"/>
    <w:rsid w:val="00BC789C"/>
    <w:rsid w:val="00BD32B5"/>
    <w:rsid w:val="00BD353D"/>
    <w:rsid w:val="00BD390F"/>
    <w:rsid w:val="00BD40B0"/>
    <w:rsid w:val="00BD688F"/>
    <w:rsid w:val="00BE0D01"/>
    <w:rsid w:val="00BE18DA"/>
    <w:rsid w:val="00BE1E32"/>
    <w:rsid w:val="00BE22CD"/>
    <w:rsid w:val="00BE2630"/>
    <w:rsid w:val="00BE39C0"/>
    <w:rsid w:val="00BE47EC"/>
    <w:rsid w:val="00BE4DED"/>
    <w:rsid w:val="00BE4DF6"/>
    <w:rsid w:val="00BE5BAB"/>
    <w:rsid w:val="00BE7844"/>
    <w:rsid w:val="00BF01F6"/>
    <w:rsid w:val="00BF09EB"/>
    <w:rsid w:val="00BF11F0"/>
    <w:rsid w:val="00BF13D7"/>
    <w:rsid w:val="00BF1885"/>
    <w:rsid w:val="00BF2D2B"/>
    <w:rsid w:val="00BF52A0"/>
    <w:rsid w:val="00BF57D4"/>
    <w:rsid w:val="00BF6D34"/>
    <w:rsid w:val="00C00582"/>
    <w:rsid w:val="00C056CC"/>
    <w:rsid w:val="00C05873"/>
    <w:rsid w:val="00C06C0C"/>
    <w:rsid w:val="00C07931"/>
    <w:rsid w:val="00C12065"/>
    <w:rsid w:val="00C138D1"/>
    <w:rsid w:val="00C13A82"/>
    <w:rsid w:val="00C13F17"/>
    <w:rsid w:val="00C14B51"/>
    <w:rsid w:val="00C14D7E"/>
    <w:rsid w:val="00C14F5C"/>
    <w:rsid w:val="00C15F35"/>
    <w:rsid w:val="00C16C6C"/>
    <w:rsid w:val="00C16DE8"/>
    <w:rsid w:val="00C17BEE"/>
    <w:rsid w:val="00C20F02"/>
    <w:rsid w:val="00C222E2"/>
    <w:rsid w:val="00C23664"/>
    <w:rsid w:val="00C23BF1"/>
    <w:rsid w:val="00C30368"/>
    <w:rsid w:val="00C304A9"/>
    <w:rsid w:val="00C320C0"/>
    <w:rsid w:val="00C32156"/>
    <w:rsid w:val="00C32EA2"/>
    <w:rsid w:val="00C3372E"/>
    <w:rsid w:val="00C33E2A"/>
    <w:rsid w:val="00C369A0"/>
    <w:rsid w:val="00C40324"/>
    <w:rsid w:val="00C417D9"/>
    <w:rsid w:val="00C42667"/>
    <w:rsid w:val="00C43D32"/>
    <w:rsid w:val="00C44F25"/>
    <w:rsid w:val="00C459A7"/>
    <w:rsid w:val="00C45C7C"/>
    <w:rsid w:val="00C47573"/>
    <w:rsid w:val="00C47C9F"/>
    <w:rsid w:val="00C47EB4"/>
    <w:rsid w:val="00C51D98"/>
    <w:rsid w:val="00C522A7"/>
    <w:rsid w:val="00C542C6"/>
    <w:rsid w:val="00C553EB"/>
    <w:rsid w:val="00C60C60"/>
    <w:rsid w:val="00C62033"/>
    <w:rsid w:val="00C6327C"/>
    <w:rsid w:val="00C635F7"/>
    <w:rsid w:val="00C65856"/>
    <w:rsid w:val="00C659EA"/>
    <w:rsid w:val="00C67D66"/>
    <w:rsid w:val="00C705BE"/>
    <w:rsid w:val="00C720F9"/>
    <w:rsid w:val="00C73988"/>
    <w:rsid w:val="00C743CF"/>
    <w:rsid w:val="00C7558E"/>
    <w:rsid w:val="00C803B5"/>
    <w:rsid w:val="00C8460F"/>
    <w:rsid w:val="00C84A93"/>
    <w:rsid w:val="00C84B1A"/>
    <w:rsid w:val="00C84EFF"/>
    <w:rsid w:val="00C8538A"/>
    <w:rsid w:val="00C85C2E"/>
    <w:rsid w:val="00C861FA"/>
    <w:rsid w:val="00C871B1"/>
    <w:rsid w:val="00C8732D"/>
    <w:rsid w:val="00C90E6F"/>
    <w:rsid w:val="00C93351"/>
    <w:rsid w:val="00C96151"/>
    <w:rsid w:val="00C9675D"/>
    <w:rsid w:val="00C96C0F"/>
    <w:rsid w:val="00C96CBE"/>
    <w:rsid w:val="00CA214C"/>
    <w:rsid w:val="00CA2EC5"/>
    <w:rsid w:val="00CA45E5"/>
    <w:rsid w:val="00CA690E"/>
    <w:rsid w:val="00CB0CE8"/>
    <w:rsid w:val="00CB2359"/>
    <w:rsid w:val="00CB43F1"/>
    <w:rsid w:val="00CB5DAC"/>
    <w:rsid w:val="00CB5F8E"/>
    <w:rsid w:val="00CB7033"/>
    <w:rsid w:val="00CB7467"/>
    <w:rsid w:val="00CB7528"/>
    <w:rsid w:val="00CC0190"/>
    <w:rsid w:val="00CC2F68"/>
    <w:rsid w:val="00CC390D"/>
    <w:rsid w:val="00CC41E9"/>
    <w:rsid w:val="00CC43CE"/>
    <w:rsid w:val="00CC72F4"/>
    <w:rsid w:val="00CC7AB4"/>
    <w:rsid w:val="00CD01BC"/>
    <w:rsid w:val="00CD01DE"/>
    <w:rsid w:val="00CD0F0D"/>
    <w:rsid w:val="00CD13B2"/>
    <w:rsid w:val="00CD21FC"/>
    <w:rsid w:val="00CD5040"/>
    <w:rsid w:val="00CD725A"/>
    <w:rsid w:val="00CD790B"/>
    <w:rsid w:val="00CE03B6"/>
    <w:rsid w:val="00CE04CB"/>
    <w:rsid w:val="00CE36F1"/>
    <w:rsid w:val="00CE3F17"/>
    <w:rsid w:val="00CE4AC5"/>
    <w:rsid w:val="00CE6590"/>
    <w:rsid w:val="00CE7816"/>
    <w:rsid w:val="00CF116C"/>
    <w:rsid w:val="00CF1973"/>
    <w:rsid w:val="00CF3EC3"/>
    <w:rsid w:val="00CF4018"/>
    <w:rsid w:val="00CF484C"/>
    <w:rsid w:val="00CF6C04"/>
    <w:rsid w:val="00CF73F1"/>
    <w:rsid w:val="00D007D7"/>
    <w:rsid w:val="00D008BC"/>
    <w:rsid w:val="00D00B51"/>
    <w:rsid w:val="00D044A9"/>
    <w:rsid w:val="00D12A20"/>
    <w:rsid w:val="00D15CBE"/>
    <w:rsid w:val="00D16E2A"/>
    <w:rsid w:val="00D172FC"/>
    <w:rsid w:val="00D17C79"/>
    <w:rsid w:val="00D17D54"/>
    <w:rsid w:val="00D20CED"/>
    <w:rsid w:val="00D214D0"/>
    <w:rsid w:val="00D22323"/>
    <w:rsid w:val="00D24CB4"/>
    <w:rsid w:val="00D251D5"/>
    <w:rsid w:val="00D25913"/>
    <w:rsid w:val="00D27239"/>
    <w:rsid w:val="00D305CD"/>
    <w:rsid w:val="00D30B31"/>
    <w:rsid w:val="00D31A15"/>
    <w:rsid w:val="00D3204A"/>
    <w:rsid w:val="00D320D3"/>
    <w:rsid w:val="00D32C39"/>
    <w:rsid w:val="00D33A43"/>
    <w:rsid w:val="00D35780"/>
    <w:rsid w:val="00D36CBB"/>
    <w:rsid w:val="00D36E9D"/>
    <w:rsid w:val="00D429F3"/>
    <w:rsid w:val="00D42AB7"/>
    <w:rsid w:val="00D4651F"/>
    <w:rsid w:val="00D4657F"/>
    <w:rsid w:val="00D4727E"/>
    <w:rsid w:val="00D50E4F"/>
    <w:rsid w:val="00D525BA"/>
    <w:rsid w:val="00D539E0"/>
    <w:rsid w:val="00D54682"/>
    <w:rsid w:val="00D55A61"/>
    <w:rsid w:val="00D568A5"/>
    <w:rsid w:val="00D56A0E"/>
    <w:rsid w:val="00D57C99"/>
    <w:rsid w:val="00D60497"/>
    <w:rsid w:val="00D60F3F"/>
    <w:rsid w:val="00D611E1"/>
    <w:rsid w:val="00D6439C"/>
    <w:rsid w:val="00D646C6"/>
    <w:rsid w:val="00D649BE"/>
    <w:rsid w:val="00D6539E"/>
    <w:rsid w:val="00D655A9"/>
    <w:rsid w:val="00D65AB7"/>
    <w:rsid w:val="00D6670B"/>
    <w:rsid w:val="00D67482"/>
    <w:rsid w:val="00D6764E"/>
    <w:rsid w:val="00D70C53"/>
    <w:rsid w:val="00D71D08"/>
    <w:rsid w:val="00D747A4"/>
    <w:rsid w:val="00D76E05"/>
    <w:rsid w:val="00D81359"/>
    <w:rsid w:val="00D848CE"/>
    <w:rsid w:val="00D8589C"/>
    <w:rsid w:val="00D87D52"/>
    <w:rsid w:val="00D94810"/>
    <w:rsid w:val="00D968AE"/>
    <w:rsid w:val="00DA1B5B"/>
    <w:rsid w:val="00DA1B6E"/>
    <w:rsid w:val="00DA2932"/>
    <w:rsid w:val="00DB0B08"/>
    <w:rsid w:val="00DB1135"/>
    <w:rsid w:val="00DB1B63"/>
    <w:rsid w:val="00DB2D33"/>
    <w:rsid w:val="00DB49AA"/>
    <w:rsid w:val="00DB4CC2"/>
    <w:rsid w:val="00DB4CE1"/>
    <w:rsid w:val="00DB5738"/>
    <w:rsid w:val="00DB5E3F"/>
    <w:rsid w:val="00DB7904"/>
    <w:rsid w:val="00DC0566"/>
    <w:rsid w:val="00DC66AC"/>
    <w:rsid w:val="00DD0848"/>
    <w:rsid w:val="00DD3C05"/>
    <w:rsid w:val="00DD507A"/>
    <w:rsid w:val="00DD55BF"/>
    <w:rsid w:val="00DE149A"/>
    <w:rsid w:val="00DE20E1"/>
    <w:rsid w:val="00DE4068"/>
    <w:rsid w:val="00DE58B8"/>
    <w:rsid w:val="00DE5A97"/>
    <w:rsid w:val="00DE729C"/>
    <w:rsid w:val="00DE75A6"/>
    <w:rsid w:val="00DF179A"/>
    <w:rsid w:val="00DF271C"/>
    <w:rsid w:val="00DF4147"/>
    <w:rsid w:val="00DF4CCB"/>
    <w:rsid w:val="00DF55E9"/>
    <w:rsid w:val="00DF5E0F"/>
    <w:rsid w:val="00DF77EB"/>
    <w:rsid w:val="00E00CD7"/>
    <w:rsid w:val="00E014BD"/>
    <w:rsid w:val="00E02E52"/>
    <w:rsid w:val="00E035DA"/>
    <w:rsid w:val="00E05EDE"/>
    <w:rsid w:val="00E072CD"/>
    <w:rsid w:val="00E0789C"/>
    <w:rsid w:val="00E07B08"/>
    <w:rsid w:val="00E07DFC"/>
    <w:rsid w:val="00E11C6B"/>
    <w:rsid w:val="00E12E95"/>
    <w:rsid w:val="00E135A4"/>
    <w:rsid w:val="00E14334"/>
    <w:rsid w:val="00E14C2E"/>
    <w:rsid w:val="00E16076"/>
    <w:rsid w:val="00E167E3"/>
    <w:rsid w:val="00E16820"/>
    <w:rsid w:val="00E17991"/>
    <w:rsid w:val="00E2039E"/>
    <w:rsid w:val="00E2269E"/>
    <w:rsid w:val="00E23145"/>
    <w:rsid w:val="00E235A3"/>
    <w:rsid w:val="00E26457"/>
    <w:rsid w:val="00E30014"/>
    <w:rsid w:val="00E32CBF"/>
    <w:rsid w:val="00E35CB1"/>
    <w:rsid w:val="00E379D9"/>
    <w:rsid w:val="00E410EF"/>
    <w:rsid w:val="00E4149B"/>
    <w:rsid w:val="00E4387A"/>
    <w:rsid w:val="00E439FD"/>
    <w:rsid w:val="00E43B7A"/>
    <w:rsid w:val="00E43F43"/>
    <w:rsid w:val="00E461A0"/>
    <w:rsid w:val="00E47F7D"/>
    <w:rsid w:val="00E5064A"/>
    <w:rsid w:val="00E54DD9"/>
    <w:rsid w:val="00E54F0D"/>
    <w:rsid w:val="00E5545D"/>
    <w:rsid w:val="00E61830"/>
    <w:rsid w:val="00E61ABF"/>
    <w:rsid w:val="00E6429B"/>
    <w:rsid w:val="00E650FC"/>
    <w:rsid w:val="00E66479"/>
    <w:rsid w:val="00E737B1"/>
    <w:rsid w:val="00E74209"/>
    <w:rsid w:val="00E753D9"/>
    <w:rsid w:val="00E82236"/>
    <w:rsid w:val="00E82C4B"/>
    <w:rsid w:val="00E83564"/>
    <w:rsid w:val="00E859A2"/>
    <w:rsid w:val="00E859FB"/>
    <w:rsid w:val="00E85B74"/>
    <w:rsid w:val="00E907B5"/>
    <w:rsid w:val="00E90DCF"/>
    <w:rsid w:val="00E91055"/>
    <w:rsid w:val="00E913D7"/>
    <w:rsid w:val="00E9560B"/>
    <w:rsid w:val="00EA1770"/>
    <w:rsid w:val="00EA1F64"/>
    <w:rsid w:val="00EA3B22"/>
    <w:rsid w:val="00EA4046"/>
    <w:rsid w:val="00EA40B4"/>
    <w:rsid w:val="00EA4BAB"/>
    <w:rsid w:val="00EA722A"/>
    <w:rsid w:val="00EA7FF8"/>
    <w:rsid w:val="00EB063B"/>
    <w:rsid w:val="00EB073F"/>
    <w:rsid w:val="00EB0957"/>
    <w:rsid w:val="00EB15C3"/>
    <w:rsid w:val="00EB2164"/>
    <w:rsid w:val="00EB29E9"/>
    <w:rsid w:val="00EB3742"/>
    <w:rsid w:val="00EB3B0E"/>
    <w:rsid w:val="00EB3F7D"/>
    <w:rsid w:val="00EB403F"/>
    <w:rsid w:val="00EB5129"/>
    <w:rsid w:val="00EB55D6"/>
    <w:rsid w:val="00EB7B15"/>
    <w:rsid w:val="00EC05A7"/>
    <w:rsid w:val="00EC0671"/>
    <w:rsid w:val="00EC0F3C"/>
    <w:rsid w:val="00EC139D"/>
    <w:rsid w:val="00EC22A3"/>
    <w:rsid w:val="00EC3451"/>
    <w:rsid w:val="00EC4AA6"/>
    <w:rsid w:val="00EC7C6F"/>
    <w:rsid w:val="00ED074F"/>
    <w:rsid w:val="00ED278D"/>
    <w:rsid w:val="00ED2A2E"/>
    <w:rsid w:val="00ED51ED"/>
    <w:rsid w:val="00ED5F35"/>
    <w:rsid w:val="00ED639E"/>
    <w:rsid w:val="00EE3924"/>
    <w:rsid w:val="00EE44AC"/>
    <w:rsid w:val="00EE6DF2"/>
    <w:rsid w:val="00EE76D0"/>
    <w:rsid w:val="00EE7A45"/>
    <w:rsid w:val="00EF2878"/>
    <w:rsid w:val="00EF7123"/>
    <w:rsid w:val="00EF7386"/>
    <w:rsid w:val="00EF74C8"/>
    <w:rsid w:val="00F03815"/>
    <w:rsid w:val="00F05D2F"/>
    <w:rsid w:val="00F07790"/>
    <w:rsid w:val="00F1164F"/>
    <w:rsid w:val="00F1270D"/>
    <w:rsid w:val="00F15C3C"/>
    <w:rsid w:val="00F161CB"/>
    <w:rsid w:val="00F161E4"/>
    <w:rsid w:val="00F16424"/>
    <w:rsid w:val="00F2143E"/>
    <w:rsid w:val="00F214BC"/>
    <w:rsid w:val="00F227B7"/>
    <w:rsid w:val="00F25A5E"/>
    <w:rsid w:val="00F2778F"/>
    <w:rsid w:val="00F3087C"/>
    <w:rsid w:val="00F308BA"/>
    <w:rsid w:val="00F3174A"/>
    <w:rsid w:val="00F33199"/>
    <w:rsid w:val="00F37D8C"/>
    <w:rsid w:val="00F44717"/>
    <w:rsid w:val="00F45034"/>
    <w:rsid w:val="00F45619"/>
    <w:rsid w:val="00F471FC"/>
    <w:rsid w:val="00F5063F"/>
    <w:rsid w:val="00F50F7B"/>
    <w:rsid w:val="00F52252"/>
    <w:rsid w:val="00F53F6B"/>
    <w:rsid w:val="00F60290"/>
    <w:rsid w:val="00F606A1"/>
    <w:rsid w:val="00F64084"/>
    <w:rsid w:val="00F652D7"/>
    <w:rsid w:val="00F657AD"/>
    <w:rsid w:val="00F65EA5"/>
    <w:rsid w:val="00F664B1"/>
    <w:rsid w:val="00F66620"/>
    <w:rsid w:val="00F67A78"/>
    <w:rsid w:val="00F7006F"/>
    <w:rsid w:val="00F70E58"/>
    <w:rsid w:val="00F73ACD"/>
    <w:rsid w:val="00F75154"/>
    <w:rsid w:val="00F754BE"/>
    <w:rsid w:val="00F75E71"/>
    <w:rsid w:val="00F805F7"/>
    <w:rsid w:val="00F80846"/>
    <w:rsid w:val="00F8119C"/>
    <w:rsid w:val="00F814BB"/>
    <w:rsid w:val="00F83B1E"/>
    <w:rsid w:val="00F83B83"/>
    <w:rsid w:val="00F85868"/>
    <w:rsid w:val="00F85C99"/>
    <w:rsid w:val="00F85D83"/>
    <w:rsid w:val="00F85E56"/>
    <w:rsid w:val="00F86ACD"/>
    <w:rsid w:val="00F87FD6"/>
    <w:rsid w:val="00F92606"/>
    <w:rsid w:val="00F93D18"/>
    <w:rsid w:val="00F94A76"/>
    <w:rsid w:val="00F957FC"/>
    <w:rsid w:val="00F959C0"/>
    <w:rsid w:val="00F975D6"/>
    <w:rsid w:val="00FA0C1D"/>
    <w:rsid w:val="00FA1259"/>
    <w:rsid w:val="00FA1988"/>
    <w:rsid w:val="00FA251C"/>
    <w:rsid w:val="00FA28F9"/>
    <w:rsid w:val="00FA346B"/>
    <w:rsid w:val="00FA43EA"/>
    <w:rsid w:val="00FA572C"/>
    <w:rsid w:val="00FA61A4"/>
    <w:rsid w:val="00FB0698"/>
    <w:rsid w:val="00FB1037"/>
    <w:rsid w:val="00FB37A4"/>
    <w:rsid w:val="00FB5ECD"/>
    <w:rsid w:val="00FB647D"/>
    <w:rsid w:val="00FB6A4A"/>
    <w:rsid w:val="00FC1EED"/>
    <w:rsid w:val="00FC6D74"/>
    <w:rsid w:val="00FC7033"/>
    <w:rsid w:val="00FC77B4"/>
    <w:rsid w:val="00FD030E"/>
    <w:rsid w:val="00FD1D9E"/>
    <w:rsid w:val="00FD2DAB"/>
    <w:rsid w:val="00FD4D43"/>
    <w:rsid w:val="00FD6202"/>
    <w:rsid w:val="00FD6B3E"/>
    <w:rsid w:val="00FD709E"/>
    <w:rsid w:val="00FD7873"/>
    <w:rsid w:val="00FE076A"/>
    <w:rsid w:val="00FE0931"/>
    <w:rsid w:val="00FE0AF4"/>
    <w:rsid w:val="00FE2012"/>
    <w:rsid w:val="00FE265D"/>
    <w:rsid w:val="00FE3A2A"/>
    <w:rsid w:val="00FE4500"/>
    <w:rsid w:val="00FE582F"/>
    <w:rsid w:val="00FE6B6F"/>
    <w:rsid w:val="00FF24D1"/>
    <w:rsid w:val="00FF26BA"/>
    <w:rsid w:val="00FF33AB"/>
    <w:rsid w:val="00FF34F3"/>
    <w:rsid w:val="00FF39DE"/>
    <w:rsid w:val="00FF3BA2"/>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7EC"/>
    <w:rPr>
      <w:sz w:val="24"/>
      <w:szCs w:val="24"/>
    </w:rPr>
  </w:style>
  <w:style w:type="paragraph" w:styleId="Heading1">
    <w:name w:val="heading 1"/>
    <w:basedOn w:val="Normal"/>
    <w:next w:val="Normal"/>
    <w:link w:val="Heading1Char"/>
    <w:qFormat/>
    <w:rsid w:val="00B209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table" w:styleId="TableGrid">
    <w:name w:val="Table Grid"/>
    <w:basedOn w:val="TableNormal"/>
    <w:rsid w:val="00E5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C394C"/>
    <w:rPr>
      <w:color w:val="800080"/>
      <w:u w:val="single"/>
    </w:rPr>
  </w:style>
  <w:style w:type="paragraph" w:styleId="FootnoteText">
    <w:name w:val="footnote text"/>
    <w:basedOn w:val="Normal"/>
    <w:link w:val="FootnoteTextChar"/>
    <w:uiPriority w:val="99"/>
    <w:unhideWhenUsed/>
    <w:rsid w:val="00A61FD8"/>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61FD8"/>
    <w:rPr>
      <w:rFonts w:ascii="Calibri" w:eastAsia="Calibri" w:hAnsi="Calibri"/>
    </w:rPr>
  </w:style>
  <w:style w:type="character" w:styleId="FootnoteReference">
    <w:name w:val="footnote reference"/>
    <w:basedOn w:val="DefaultParagraphFont"/>
    <w:uiPriority w:val="99"/>
    <w:unhideWhenUsed/>
    <w:rsid w:val="00A61FD8"/>
    <w:rPr>
      <w:vertAlign w:val="superscript"/>
    </w:rPr>
  </w:style>
  <w:style w:type="paragraph" w:styleId="ListParagraph">
    <w:name w:val="List Paragraph"/>
    <w:basedOn w:val="Normal"/>
    <w:uiPriority w:val="34"/>
    <w:qFormat/>
    <w:rsid w:val="00A61FD8"/>
    <w:pPr>
      <w:spacing w:after="200" w:line="276" w:lineRule="auto"/>
      <w:ind w:left="720"/>
    </w:pPr>
    <w:rPr>
      <w:rFonts w:ascii="Calibri" w:eastAsia="Calibri" w:hAnsi="Calibri"/>
      <w:sz w:val="22"/>
      <w:szCs w:val="22"/>
    </w:rPr>
  </w:style>
  <w:style w:type="paragraph" w:styleId="NoSpacing">
    <w:name w:val="No Spacing"/>
    <w:link w:val="NoSpacingChar"/>
    <w:uiPriority w:val="1"/>
    <w:qFormat/>
    <w:rsid w:val="00747CF9"/>
    <w:rPr>
      <w:rFonts w:ascii="Calibri" w:hAnsi="Calibri"/>
      <w:sz w:val="22"/>
      <w:szCs w:val="22"/>
    </w:rPr>
  </w:style>
  <w:style w:type="character" w:customStyle="1" w:styleId="NoSpacingChar">
    <w:name w:val="No Spacing Char"/>
    <w:basedOn w:val="DefaultParagraphFont"/>
    <w:link w:val="NoSpacing"/>
    <w:uiPriority w:val="1"/>
    <w:rsid w:val="00747CF9"/>
    <w:rPr>
      <w:rFonts w:ascii="Calibri" w:hAnsi="Calibri"/>
      <w:sz w:val="22"/>
      <w:szCs w:val="22"/>
      <w:lang w:val="en-US" w:eastAsia="en-US" w:bidi="ar-SA"/>
    </w:rPr>
  </w:style>
  <w:style w:type="character" w:customStyle="1" w:styleId="HeaderChar">
    <w:name w:val="Header Char"/>
    <w:basedOn w:val="DefaultParagraphFont"/>
    <w:link w:val="Header"/>
    <w:uiPriority w:val="99"/>
    <w:rsid w:val="00747CF9"/>
    <w:rPr>
      <w:sz w:val="24"/>
      <w:szCs w:val="24"/>
    </w:rPr>
  </w:style>
  <w:style w:type="character" w:styleId="CommentReference">
    <w:name w:val="annotation reference"/>
    <w:basedOn w:val="DefaultParagraphFont"/>
    <w:rsid w:val="00B9157D"/>
    <w:rPr>
      <w:sz w:val="16"/>
      <w:szCs w:val="16"/>
    </w:rPr>
  </w:style>
  <w:style w:type="paragraph" w:styleId="CommentText">
    <w:name w:val="annotation text"/>
    <w:basedOn w:val="Normal"/>
    <w:link w:val="CommentTextChar"/>
    <w:rsid w:val="00B9157D"/>
    <w:rPr>
      <w:sz w:val="20"/>
      <w:szCs w:val="20"/>
    </w:rPr>
  </w:style>
  <w:style w:type="character" w:customStyle="1" w:styleId="CommentTextChar">
    <w:name w:val="Comment Text Char"/>
    <w:basedOn w:val="DefaultParagraphFont"/>
    <w:link w:val="CommentText"/>
    <w:rsid w:val="00B9157D"/>
  </w:style>
  <w:style w:type="paragraph" w:styleId="CommentSubject">
    <w:name w:val="annotation subject"/>
    <w:basedOn w:val="CommentText"/>
    <w:next w:val="CommentText"/>
    <w:link w:val="CommentSubjectChar"/>
    <w:rsid w:val="00B9157D"/>
    <w:rPr>
      <w:b/>
      <w:bCs/>
    </w:rPr>
  </w:style>
  <w:style w:type="character" w:customStyle="1" w:styleId="CommentSubjectChar">
    <w:name w:val="Comment Subject Char"/>
    <w:basedOn w:val="CommentTextChar"/>
    <w:link w:val="CommentSubject"/>
    <w:rsid w:val="00B9157D"/>
    <w:rPr>
      <w:b/>
      <w:bCs/>
    </w:rPr>
  </w:style>
  <w:style w:type="character" w:customStyle="1" w:styleId="FooterChar">
    <w:name w:val="Footer Char"/>
    <w:basedOn w:val="DefaultParagraphFont"/>
    <w:link w:val="Footer"/>
    <w:uiPriority w:val="99"/>
    <w:rsid w:val="008F7846"/>
    <w:rPr>
      <w:sz w:val="24"/>
      <w:szCs w:val="24"/>
    </w:rPr>
  </w:style>
  <w:style w:type="character" w:customStyle="1" w:styleId="Heading1Char">
    <w:name w:val="Heading 1 Char"/>
    <w:basedOn w:val="DefaultParagraphFont"/>
    <w:link w:val="Heading1"/>
    <w:rsid w:val="00B2091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00297"/>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7EC"/>
    <w:rPr>
      <w:sz w:val="24"/>
      <w:szCs w:val="24"/>
    </w:rPr>
  </w:style>
  <w:style w:type="paragraph" w:styleId="Heading1">
    <w:name w:val="heading 1"/>
    <w:basedOn w:val="Normal"/>
    <w:next w:val="Normal"/>
    <w:link w:val="Heading1Char"/>
    <w:qFormat/>
    <w:rsid w:val="00B209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table" w:styleId="TableGrid">
    <w:name w:val="Table Grid"/>
    <w:basedOn w:val="TableNormal"/>
    <w:rsid w:val="00E5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C394C"/>
    <w:rPr>
      <w:color w:val="800080"/>
      <w:u w:val="single"/>
    </w:rPr>
  </w:style>
  <w:style w:type="paragraph" w:styleId="FootnoteText">
    <w:name w:val="footnote text"/>
    <w:basedOn w:val="Normal"/>
    <w:link w:val="FootnoteTextChar"/>
    <w:uiPriority w:val="99"/>
    <w:unhideWhenUsed/>
    <w:rsid w:val="00A61FD8"/>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61FD8"/>
    <w:rPr>
      <w:rFonts w:ascii="Calibri" w:eastAsia="Calibri" w:hAnsi="Calibri"/>
    </w:rPr>
  </w:style>
  <w:style w:type="character" w:styleId="FootnoteReference">
    <w:name w:val="footnote reference"/>
    <w:basedOn w:val="DefaultParagraphFont"/>
    <w:uiPriority w:val="99"/>
    <w:unhideWhenUsed/>
    <w:rsid w:val="00A61FD8"/>
    <w:rPr>
      <w:vertAlign w:val="superscript"/>
    </w:rPr>
  </w:style>
  <w:style w:type="paragraph" w:styleId="ListParagraph">
    <w:name w:val="List Paragraph"/>
    <w:basedOn w:val="Normal"/>
    <w:uiPriority w:val="34"/>
    <w:qFormat/>
    <w:rsid w:val="00A61FD8"/>
    <w:pPr>
      <w:spacing w:after="200" w:line="276" w:lineRule="auto"/>
      <w:ind w:left="720"/>
    </w:pPr>
    <w:rPr>
      <w:rFonts w:ascii="Calibri" w:eastAsia="Calibri" w:hAnsi="Calibri"/>
      <w:sz w:val="22"/>
      <w:szCs w:val="22"/>
    </w:rPr>
  </w:style>
  <w:style w:type="paragraph" w:styleId="NoSpacing">
    <w:name w:val="No Spacing"/>
    <w:link w:val="NoSpacingChar"/>
    <w:uiPriority w:val="1"/>
    <w:qFormat/>
    <w:rsid w:val="00747CF9"/>
    <w:rPr>
      <w:rFonts w:ascii="Calibri" w:hAnsi="Calibri"/>
      <w:sz w:val="22"/>
      <w:szCs w:val="22"/>
    </w:rPr>
  </w:style>
  <w:style w:type="character" w:customStyle="1" w:styleId="NoSpacingChar">
    <w:name w:val="No Spacing Char"/>
    <w:basedOn w:val="DefaultParagraphFont"/>
    <w:link w:val="NoSpacing"/>
    <w:uiPriority w:val="1"/>
    <w:rsid w:val="00747CF9"/>
    <w:rPr>
      <w:rFonts w:ascii="Calibri" w:hAnsi="Calibri"/>
      <w:sz w:val="22"/>
      <w:szCs w:val="22"/>
      <w:lang w:val="en-US" w:eastAsia="en-US" w:bidi="ar-SA"/>
    </w:rPr>
  </w:style>
  <w:style w:type="character" w:customStyle="1" w:styleId="HeaderChar">
    <w:name w:val="Header Char"/>
    <w:basedOn w:val="DefaultParagraphFont"/>
    <w:link w:val="Header"/>
    <w:uiPriority w:val="99"/>
    <w:rsid w:val="00747CF9"/>
    <w:rPr>
      <w:sz w:val="24"/>
      <w:szCs w:val="24"/>
    </w:rPr>
  </w:style>
  <w:style w:type="character" w:styleId="CommentReference">
    <w:name w:val="annotation reference"/>
    <w:basedOn w:val="DefaultParagraphFont"/>
    <w:rsid w:val="00B9157D"/>
    <w:rPr>
      <w:sz w:val="16"/>
      <w:szCs w:val="16"/>
    </w:rPr>
  </w:style>
  <w:style w:type="paragraph" w:styleId="CommentText">
    <w:name w:val="annotation text"/>
    <w:basedOn w:val="Normal"/>
    <w:link w:val="CommentTextChar"/>
    <w:rsid w:val="00B9157D"/>
    <w:rPr>
      <w:sz w:val="20"/>
      <w:szCs w:val="20"/>
    </w:rPr>
  </w:style>
  <w:style w:type="character" w:customStyle="1" w:styleId="CommentTextChar">
    <w:name w:val="Comment Text Char"/>
    <w:basedOn w:val="DefaultParagraphFont"/>
    <w:link w:val="CommentText"/>
    <w:rsid w:val="00B9157D"/>
  </w:style>
  <w:style w:type="paragraph" w:styleId="CommentSubject">
    <w:name w:val="annotation subject"/>
    <w:basedOn w:val="CommentText"/>
    <w:next w:val="CommentText"/>
    <w:link w:val="CommentSubjectChar"/>
    <w:rsid w:val="00B9157D"/>
    <w:rPr>
      <w:b/>
      <w:bCs/>
    </w:rPr>
  </w:style>
  <w:style w:type="character" w:customStyle="1" w:styleId="CommentSubjectChar">
    <w:name w:val="Comment Subject Char"/>
    <w:basedOn w:val="CommentTextChar"/>
    <w:link w:val="CommentSubject"/>
    <w:rsid w:val="00B9157D"/>
    <w:rPr>
      <w:b/>
      <w:bCs/>
    </w:rPr>
  </w:style>
  <w:style w:type="character" w:customStyle="1" w:styleId="FooterChar">
    <w:name w:val="Footer Char"/>
    <w:basedOn w:val="DefaultParagraphFont"/>
    <w:link w:val="Footer"/>
    <w:uiPriority w:val="99"/>
    <w:rsid w:val="008F7846"/>
    <w:rPr>
      <w:sz w:val="24"/>
      <w:szCs w:val="24"/>
    </w:rPr>
  </w:style>
  <w:style w:type="character" w:customStyle="1" w:styleId="Heading1Char">
    <w:name w:val="Heading 1 Char"/>
    <w:basedOn w:val="DefaultParagraphFont"/>
    <w:link w:val="Heading1"/>
    <w:rsid w:val="00B2091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0029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5678">
      <w:bodyDiv w:val="1"/>
      <w:marLeft w:val="0"/>
      <w:marRight w:val="0"/>
      <w:marTop w:val="0"/>
      <w:marBottom w:val="0"/>
      <w:divBdr>
        <w:top w:val="none" w:sz="0" w:space="0" w:color="auto"/>
        <w:left w:val="none" w:sz="0" w:space="0" w:color="auto"/>
        <w:bottom w:val="none" w:sz="0" w:space="0" w:color="auto"/>
        <w:right w:val="none" w:sz="0" w:space="0" w:color="auto"/>
      </w:divBdr>
    </w:div>
    <w:div w:id="437651086">
      <w:bodyDiv w:val="1"/>
      <w:marLeft w:val="0"/>
      <w:marRight w:val="0"/>
      <w:marTop w:val="0"/>
      <w:marBottom w:val="0"/>
      <w:divBdr>
        <w:top w:val="none" w:sz="0" w:space="0" w:color="auto"/>
        <w:left w:val="none" w:sz="0" w:space="0" w:color="auto"/>
        <w:bottom w:val="none" w:sz="0" w:space="0" w:color="auto"/>
        <w:right w:val="none" w:sz="0" w:space="0" w:color="auto"/>
      </w:divBdr>
    </w:div>
    <w:div w:id="889224183">
      <w:bodyDiv w:val="1"/>
      <w:marLeft w:val="0"/>
      <w:marRight w:val="0"/>
      <w:marTop w:val="0"/>
      <w:marBottom w:val="0"/>
      <w:divBdr>
        <w:top w:val="none" w:sz="0" w:space="0" w:color="auto"/>
        <w:left w:val="none" w:sz="0" w:space="0" w:color="auto"/>
        <w:bottom w:val="none" w:sz="0" w:space="0" w:color="auto"/>
        <w:right w:val="none" w:sz="0" w:space="0" w:color="auto"/>
      </w:divBdr>
    </w:div>
    <w:div w:id="1062557144">
      <w:bodyDiv w:val="1"/>
      <w:marLeft w:val="0"/>
      <w:marRight w:val="0"/>
      <w:marTop w:val="0"/>
      <w:marBottom w:val="0"/>
      <w:divBdr>
        <w:top w:val="none" w:sz="0" w:space="0" w:color="auto"/>
        <w:left w:val="none" w:sz="0" w:space="0" w:color="auto"/>
        <w:bottom w:val="none" w:sz="0" w:space="0" w:color="auto"/>
        <w:right w:val="none" w:sz="0" w:space="0" w:color="auto"/>
      </w:divBdr>
    </w:div>
    <w:div w:id="1167597220">
      <w:bodyDiv w:val="1"/>
      <w:marLeft w:val="0"/>
      <w:marRight w:val="0"/>
      <w:marTop w:val="0"/>
      <w:marBottom w:val="0"/>
      <w:divBdr>
        <w:top w:val="none" w:sz="0" w:space="0" w:color="auto"/>
        <w:left w:val="none" w:sz="0" w:space="0" w:color="auto"/>
        <w:bottom w:val="none" w:sz="0" w:space="0" w:color="auto"/>
        <w:right w:val="none" w:sz="0" w:space="0" w:color="auto"/>
      </w:divBdr>
    </w:div>
    <w:div w:id="1439566938">
      <w:bodyDiv w:val="1"/>
      <w:marLeft w:val="0"/>
      <w:marRight w:val="0"/>
      <w:marTop w:val="0"/>
      <w:marBottom w:val="0"/>
      <w:divBdr>
        <w:top w:val="none" w:sz="0" w:space="0" w:color="auto"/>
        <w:left w:val="none" w:sz="0" w:space="0" w:color="auto"/>
        <w:bottom w:val="none" w:sz="0" w:space="0" w:color="auto"/>
        <w:right w:val="none" w:sz="0" w:space="0" w:color="auto"/>
      </w:divBdr>
    </w:div>
    <w:div w:id="1799757024">
      <w:bodyDiv w:val="1"/>
      <w:marLeft w:val="0"/>
      <w:marRight w:val="0"/>
      <w:marTop w:val="0"/>
      <w:marBottom w:val="0"/>
      <w:divBdr>
        <w:top w:val="none" w:sz="0" w:space="0" w:color="auto"/>
        <w:left w:val="none" w:sz="0" w:space="0" w:color="auto"/>
        <w:bottom w:val="none" w:sz="0" w:space="0" w:color="auto"/>
        <w:right w:val="none" w:sz="0" w:space="0" w:color="auto"/>
      </w:divBdr>
    </w:div>
    <w:div w:id="21376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risham\Application%20Data\Microsoft\Templates\CEO%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776A6-F364-4A37-A6C6-08432653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CEO Memo Template.dot</Template>
  <TotalTime>950</TotalTime>
  <Pages>11</Pages>
  <Words>3692</Words>
  <Characters>21325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Memoranda Template</vt:lpstr>
    </vt:vector>
  </TitlesOfParts>
  <Company>County of Napa</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Memoranda Template</dc:title>
  <dc:subject>Design Guidelines</dc:subject>
  <dc:creator>pgrisham</dc:creator>
  <cp:lastModifiedBy>Hughey, Alice</cp:lastModifiedBy>
  <cp:revision>206</cp:revision>
  <cp:lastPrinted>2017-03-29T18:08:00Z</cp:lastPrinted>
  <dcterms:created xsi:type="dcterms:W3CDTF">2017-03-27T18:00:00Z</dcterms:created>
  <dcterms:modified xsi:type="dcterms:W3CDTF">2017-03-29T18:56:00Z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County Executive Office</vt:lpwstr>
  </property>
  <property fmtid="{D5CDD505-2E9C-101B-9397-08002B2CF9AE}" pid="3" name="Format">
    <vt:lpwstr>Letterhead</vt:lpwstr>
  </property>
  <property fmtid="{D5CDD505-2E9C-101B-9397-08002B2CF9AE}" pid="4" name="Document Type">
    <vt:lpwstr>Sample</vt:lpwstr>
  </property>
</Properties>
</file>