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8ACA" w14:textId="77777777" w:rsidR="003920FA" w:rsidRPr="00A833D2" w:rsidRDefault="003920FA" w:rsidP="00C3455B">
      <w:pPr>
        <w:spacing w:after="120" w:line="240" w:lineRule="auto"/>
        <w:jc w:val="center"/>
        <w:rPr>
          <w:rFonts w:ascii="Times New Roman" w:hAnsi="Times New Roman" w:cs="Times New Roman"/>
          <w:b/>
          <w:sz w:val="24"/>
          <w:szCs w:val="24"/>
        </w:rPr>
      </w:pPr>
      <w:bookmarkStart w:id="0" w:name="_GoBack"/>
      <w:bookmarkEnd w:id="0"/>
      <w:r w:rsidRPr="00A833D2">
        <w:rPr>
          <w:rFonts w:ascii="Times New Roman" w:hAnsi="Times New Roman" w:cs="Times New Roman"/>
          <w:b/>
          <w:sz w:val="24"/>
          <w:szCs w:val="24"/>
        </w:rPr>
        <w:t>BEFORE THE BOARD OF SUPERVISORS</w:t>
      </w:r>
    </w:p>
    <w:p w14:paraId="77262F76" w14:textId="77777777" w:rsidR="003920FA" w:rsidRPr="00A833D2" w:rsidRDefault="003920FA" w:rsidP="00C3455B">
      <w:pPr>
        <w:spacing w:after="120" w:line="240" w:lineRule="auto"/>
        <w:jc w:val="center"/>
        <w:rPr>
          <w:rFonts w:ascii="Times New Roman" w:hAnsi="Times New Roman" w:cs="Times New Roman"/>
          <w:b/>
          <w:sz w:val="24"/>
          <w:szCs w:val="24"/>
        </w:rPr>
      </w:pPr>
      <w:r w:rsidRPr="00A833D2">
        <w:rPr>
          <w:rFonts w:ascii="Times New Roman" w:hAnsi="Times New Roman" w:cs="Times New Roman"/>
          <w:b/>
          <w:sz w:val="24"/>
          <w:szCs w:val="24"/>
        </w:rPr>
        <w:t>OF NAPA COUNTY</w:t>
      </w:r>
    </w:p>
    <w:p w14:paraId="0EF7B808" w14:textId="7777777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In the Matter of:</w:t>
      </w:r>
    </w:p>
    <w:tbl>
      <w:tblPr>
        <w:tblW w:w="0" w:type="auto"/>
        <w:tblLayout w:type="fixed"/>
        <w:tblCellMar>
          <w:left w:w="115" w:type="dxa"/>
          <w:right w:w="115" w:type="dxa"/>
        </w:tblCellMar>
        <w:tblLook w:val="04A0" w:firstRow="1" w:lastRow="0" w:firstColumn="1" w:lastColumn="0" w:noHBand="0" w:noVBand="1"/>
      </w:tblPr>
      <w:tblGrid>
        <w:gridCol w:w="6145"/>
        <w:gridCol w:w="3719"/>
      </w:tblGrid>
      <w:tr w:rsidR="003920FA" w:rsidRPr="00A833D2" w14:paraId="2853338C" w14:textId="77777777" w:rsidTr="00610039">
        <w:tc>
          <w:tcPr>
            <w:tcW w:w="6145" w:type="dxa"/>
            <w:tcBorders>
              <w:bottom w:val="single" w:sz="4" w:space="0" w:color="auto"/>
              <w:right w:val="single" w:sz="4" w:space="0" w:color="auto"/>
            </w:tcBorders>
          </w:tcPr>
          <w:p w14:paraId="505BCF9D" w14:textId="629E4083" w:rsidR="003920FA" w:rsidRPr="00A833D2" w:rsidRDefault="003920FA" w:rsidP="008819F4">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An Appeal by the Circle Oaks County Water District and</w:t>
            </w:r>
            <w:r w:rsidR="00CE5259">
              <w:rPr>
                <w:rFonts w:ascii="Times New Roman" w:hAnsi="Times New Roman" w:cs="Times New Roman"/>
                <w:sz w:val="24"/>
                <w:szCs w:val="24"/>
              </w:rPr>
              <w:t xml:space="preserve"> Circle Oaks Homes Association </w:t>
            </w:r>
            <w:r w:rsidR="00CE5259" w:rsidRPr="00CF015A">
              <w:rPr>
                <w:rFonts w:ascii="Times New Roman" w:hAnsi="Times New Roman" w:cs="Times New Roman"/>
                <w:sz w:val="24"/>
                <w:szCs w:val="24"/>
              </w:rPr>
              <w:t>to a decision made by the Napa County Director of Planning, Building and Environmental Services</w:t>
            </w:r>
            <w:r w:rsidR="00CE5259">
              <w:rPr>
                <w:rFonts w:ascii="Times New Roman" w:hAnsi="Times New Roman" w:cs="Times New Roman"/>
                <w:sz w:val="24"/>
                <w:szCs w:val="24"/>
              </w:rPr>
              <w:t xml:space="preserve"> Department </w:t>
            </w:r>
            <w:r w:rsidR="00CE5259" w:rsidRPr="00CF015A">
              <w:rPr>
                <w:rFonts w:ascii="Times New Roman" w:hAnsi="Times New Roman" w:cs="Times New Roman"/>
                <w:sz w:val="24"/>
                <w:szCs w:val="24"/>
              </w:rPr>
              <w:t>on August 1, 2016 to approve the Walt Ranch Vineyards Agricultural Erosion Control Plan No. P11-00205-ECPA filed by Hall Bram</w:t>
            </w:r>
            <w:r w:rsidR="00CE5259">
              <w:rPr>
                <w:rFonts w:ascii="Times New Roman" w:hAnsi="Times New Roman" w:cs="Times New Roman"/>
                <w:sz w:val="24"/>
                <w:szCs w:val="24"/>
              </w:rPr>
              <w:t xml:space="preserve">bletree Associates, LP </w:t>
            </w:r>
            <w:r w:rsidR="00CE5259" w:rsidRPr="00CF015A">
              <w:rPr>
                <w:rFonts w:ascii="Times New Roman" w:hAnsi="Times New Roman" w:cs="Times New Roman"/>
                <w:sz w:val="24"/>
                <w:szCs w:val="24"/>
              </w:rPr>
              <w:t>and to certify the related Envir</w:t>
            </w:r>
            <w:r w:rsidR="00CE5259">
              <w:rPr>
                <w:rFonts w:ascii="Times New Roman" w:hAnsi="Times New Roman" w:cs="Times New Roman"/>
                <w:sz w:val="24"/>
                <w:szCs w:val="24"/>
              </w:rPr>
              <w:t xml:space="preserve">onmental Impact Report on the property located on the west side of Monticello Road, approximately one mile southwest of its intersection with Highway 128, and approximately one-half mile north of its intersection with Waters Road, approximately 6.2 miles east of the </w:t>
            </w:r>
            <w:r w:rsidR="00A73236">
              <w:rPr>
                <w:rFonts w:ascii="Times New Roman" w:hAnsi="Times New Roman" w:cs="Times New Roman"/>
                <w:sz w:val="24"/>
                <w:szCs w:val="24"/>
              </w:rPr>
              <w:t>Town</w:t>
            </w:r>
            <w:r w:rsidR="00CE5259">
              <w:rPr>
                <w:rFonts w:ascii="Times New Roman" w:hAnsi="Times New Roman" w:cs="Times New Roman"/>
                <w:sz w:val="24"/>
                <w:szCs w:val="24"/>
              </w:rPr>
              <w:t xml:space="preserve"> of Yountville; Assessor’s Parcel N</w:t>
            </w:r>
            <w:r w:rsidR="00CE5259" w:rsidRPr="00CF015A">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r w:rsidR="00CE5259">
              <w:rPr>
                <w:rFonts w:ascii="Times New Roman" w:hAnsi="Times New Roman" w:cs="Times New Roman"/>
                <w:sz w:val="24"/>
                <w:szCs w:val="24"/>
              </w:rPr>
              <w:t xml:space="preserve">.  </w:t>
            </w:r>
          </w:p>
        </w:tc>
        <w:tc>
          <w:tcPr>
            <w:tcW w:w="3719" w:type="dxa"/>
            <w:tcBorders>
              <w:left w:val="single" w:sz="4" w:space="0" w:color="auto"/>
            </w:tcBorders>
          </w:tcPr>
          <w:p w14:paraId="0E0A923B" w14:textId="77777777" w:rsidR="003920FA" w:rsidRPr="00A833D2" w:rsidRDefault="003920FA" w:rsidP="00C3455B">
            <w:pPr>
              <w:spacing w:after="120" w:line="240" w:lineRule="auto"/>
              <w:ind w:left="245"/>
              <w:rPr>
                <w:rFonts w:ascii="Times New Roman" w:hAnsi="Times New Roman" w:cs="Times New Roman"/>
                <w:b/>
                <w:sz w:val="24"/>
                <w:szCs w:val="24"/>
              </w:rPr>
            </w:pPr>
            <w:r w:rsidRPr="00A833D2">
              <w:rPr>
                <w:rFonts w:ascii="Times New Roman" w:hAnsi="Times New Roman" w:cs="Times New Roman"/>
                <w:b/>
                <w:sz w:val="24"/>
                <w:szCs w:val="24"/>
              </w:rPr>
              <w:t>RESOLUTION NO. 2016- ___</w:t>
            </w:r>
          </w:p>
          <w:p w14:paraId="46988972" w14:textId="77777777" w:rsidR="003920FA" w:rsidRPr="00A833D2" w:rsidRDefault="003920FA" w:rsidP="00C3455B">
            <w:pPr>
              <w:spacing w:after="120" w:line="240" w:lineRule="auto"/>
              <w:ind w:left="245"/>
              <w:rPr>
                <w:rFonts w:ascii="Times New Roman" w:hAnsi="Times New Roman" w:cs="Times New Roman"/>
                <w:b/>
                <w:sz w:val="24"/>
                <w:szCs w:val="24"/>
              </w:rPr>
            </w:pPr>
          </w:p>
          <w:p w14:paraId="64DDB41A" w14:textId="77777777" w:rsidR="003920FA" w:rsidRPr="00A833D2" w:rsidRDefault="003920FA" w:rsidP="00A833D2">
            <w:pPr>
              <w:spacing w:after="240" w:line="240" w:lineRule="auto"/>
              <w:ind w:left="245"/>
              <w:rPr>
                <w:rFonts w:ascii="Times New Roman" w:hAnsi="Times New Roman" w:cs="Times New Roman"/>
                <w:sz w:val="24"/>
                <w:szCs w:val="24"/>
              </w:rPr>
            </w:pPr>
            <w:r w:rsidRPr="00A833D2">
              <w:rPr>
                <w:rFonts w:ascii="Times New Roman" w:hAnsi="Times New Roman" w:cs="Times New Roman"/>
                <w:b/>
                <w:sz w:val="24"/>
                <w:szCs w:val="24"/>
              </w:rPr>
              <w:t>FINDINGS OF FACT AND DECISION ON APPEAL</w:t>
            </w:r>
          </w:p>
        </w:tc>
      </w:tr>
    </w:tbl>
    <w:p w14:paraId="4A4A8D3F" w14:textId="77777777" w:rsidR="00CE5259" w:rsidRDefault="007B7A0A" w:rsidP="00085362">
      <w:pPr>
        <w:spacing w:after="0" w:line="240" w:lineRule="auto"/>
        <w:rPr>
          <w:rFonts w:ascii="Times New Roman" w:hAnsi="Times New Roman" w:cs="Times New Roman"/>
          <w:sz w:val="24"/>
          <w:szCs w:val="24"/>
        </w:rPr>
      </w:pPr>
      <w:r w:rsidRPr="00A833D2">
        <w:rPr>
          <w:rFonts w:ascii="Times New Roman" w:hAnsi="Times New Roman" w:cs="Times New Roman"/>
          <w:sz w:val="24"/>
          <w:szCs w:val="24"/>
        </w:rPr>
        <w:tab/>
      </w:r>
    </w:p>
    <w:p w14:paraId="1A4EE877" w14:textId="6B55EA74" w:rsidR="007B7A0A" w:rsidRPr="00A833D2" w:rsidRDefault="00545772" w:rsidP="00CE5259">
      <w:pPr>
        <w:spacing w:after="120" w:line="240" w:lineRule="auto"/>
        <w:ind w:firstLine="720"/>
        <w:rPr>
          <w:rFonts w:ascii="Times New Roman" w:hAnsi="Times New Roman" w:cs="Times New Roman"/>
          <w:sz w:val="24"/>
          <w:szCs w:val="24"/>
        </w:rPr>
      </w:pPr>
      <w:r w:rsidRPr="00A833D2">
        <w:rPr>
          <w:rFonts w:ascii="Times New Roman" w:hAnsi="Times New Roman" w:cs="Times New Roman"/>
          <w:b/>
          <w:sz w:val="24"/>
          <w:szCs w:val="24"/>
        </w:rPr>
        <w:t>WHEREAS,</w:t>
      </w:r>
      <w:r w:rsidR="007B7A0A" w:rsidRPr="00A833D2">
        <w:rPr>
          <w:rFonts w:ascii="Times New Roman" w:hAnsi="Times New Roman" w:cs="Times New Roman"/>
          <w:sz w:val="24"/>
          <w:szCs w:val="24"/>
        </w:rPr>
        <w:t xml:space="preserve"> on or about November 7, 2007, Hall Brambletree Associates, LP (the Applicant) submitted an application for </w:t>
      </w:r>
      <w:r w:rsidR="009250EB">
        <w:rPr>
          <w:rFonts w:ascii="Times New Roman" w:hAnsi="Times New Roman" w:cs="Times New Roman"/>
          <w:sz w:val="24"/>
          <w:szCs w:val="24"/>
        </w:rPr>
        <w:t xml:space="preserve">Agricultural </w:t>
      </w:r>
      <w:r w:rsidR="007B7A0A" w:rsidRPr="00A833D2">
        <w:rPr>
          <w:rFonts w:ascii="Times New Roman" w:hAnsi="Times New Roman" w:cs="Times New Roman"/>
          <w:sz w:val="24"/>
          <w:szCs w:val="24"/>
        </w:rPr>
        <w:t xml:space="preserve">Erosion Control Plan (ECP) P07-00800 to the Napa County Planning, Building and Environmental Services </w:t>
      </w:r>
      <w:r w:rsidR="009250EB" w:rsidRPr="009250EB">
        <w:rPr>
          <w:rFonts w:ascii="Times New Roman" w:hAnsi="Times New Roman" w:cs="Times New Roman"/>
          <w:sz w:val="24"/>
          <w:szCs w:val="24"/>
        </w:rPr>
        <w:t>(PBES)</w:t>
      </w:r>
      <w:r w:rsidR="009250EB">
        <w:rPr>
          <w:rFonts w:ascii="Times New Roman" w:hAnsi="Times New Roman" w:cs="Times New Roman"/>
          <w:sz w:val="24"/>
          <w:szCs w:val="24"/>
        </w:rPr>
        <w:t xml:space="preserve"> </w:t>
      </w:r>
      <w:r w:rsidR="007B7A0A" w:rsidRPr="00A833D2">
        <w:rPr>
          <w:rFonts w:ascii="Times New Roman" w:hAnsi="Times New Roman" w:cs="Times New Roman"/>
          <w:sz w:val="24"/>
          <w:szCs w:val="24"/>
        </w:rPr>
        <w:t>Department requesting approval to develop 397 net acres of vineyard within 538 gross acres (the Original Project);</w:t>
      </w:r>
    </w:p>
    <w:p w14:paraId="6038F006" w14:textId="7B6D7DEE"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environmental review process required by the California Environmental Quality Act (CEQA) for the Original Project was initiated by circulation of a Notice of Preparation (NOP) of an Environmental Impact Report (Governor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Office of Planning and Research, SC</w:t>
      </w:r>
      <w:r w:rsidR="00DB5FBC">
        <w:rPr>
          <w:rFonts w:ascii="Times New Roman" w:hAnsi="Times New Roman" w:cs="Times New Roman"/>
          <w:sz w:val="24"/>
          <w:szCs w:val="24"/>
        </w:rPr>
        <w:t>H</w:t>
      </w:r>
      <w:r w:rsidRPr="00A833D2">
        <w:rPr>
          <w:rFonts w:ascii="Times New Roman" w:hAnsi="Times New Roman" w:cs="Times New Roman"/>
          <w:sz w:val="24"/>
          <w:szCs w:val="24"/>
        </w:rPr>
        <w:t xml:space="preserve"> #2008052075);</w:t>
      </w:r>
    </w:p>
    <w:p w14:paraId="035D0B5F" w14:textId="4256DAFC"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Applicant thereafter withdrew ECP application P07-00800 for the Original Project;</w:t>
      </w:r>
    </w:p>
    <w:p w14:paraId="2389F249" w14:textId="52AF3AA2"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March 1, 2012, Applicant submitted an application for ECP P11-00205, which reduced the scope of the Original Project to approximately 356 acres of vineyard within 507 gross acres of land disturbance (the Proposed Project). The Applicant proposed the reductions in size in order to avoid wetlands, waters of the United States, and active land</w:t>
      </w:r>
      <w:r w:rsidR="00CE5259">
        <w:rPr>
          <w:rFonts w:ascii="Times New Roman" w:hAnsi="Times New Roman" w:cs="Times New Roman"/>
          <w:sz w:val="24"/>
          <w:szCs w:val="24"/>
        </w:rPr>
        <w:t>slides, with appropriate buffers;</w:t>
      </w:r>
    </w:p>
    <w:p w14:paraId="7E20ABE3" w14:textId="03F5B865"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Proposed Project is located within the Milliken Reservoir Watershed and Capell Creek-Upper Reach Drainage. The project is in an Agricultural Watershed zoning district and has an Agriculture, Watershed and Open Space General Plan designation. The project is located on Assessor</w:t>
      </w:r>
      <w:r w:rsidR="00CE5259">
        <w:rPr>
          <w:rFonts w:ascii="Times New Roman" w:hAnsi="Times New Roman" w:cs="Times New Roman"/>
          <w:sz w:val="24"/>
          <w:szCs w:val="24"/>
        </w:rPr>
        <w:t>’s Parcel N</w:t>
      </w:r>
      <w:r w:rsidRPr="00A833D2">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p>
    <w:p w14:paraId="466F2DB5" w14:textId="1059421C"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Analytical Environmental Services (AES) was retained to assist the County with preparation of the EIR to evaluate the potential environmental impacts associated with the proposed project. On October 22, 2012, the County issued a second NOP and Initial Study due to substantial changes to the project proposed by the Applicant, requesting comments prior to November 21, 2012;</w:t>
      </w:r>
    </w:p>
    <w:p w14:paraId="3239578A" w14:textId="6D88844B"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during the NOP period and scoping session the County received nine comment letters, and all comments were considered in the preparation of the Draft Environmental Impact Report (EIR);</w:t>
      </w:r>
    </w:p>
    <w:p w14:paraId="5CE01A5B" w14:textId="4C9EB426"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County, as lead agency, caused to be prepared a Draft EIR for the Proposed Project entitled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Walt Ranch Erosion Control Plan Application No. P11-00205-ECPA,</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between mid-2013 and 2014;</w:t>
      </w:r>
    </w:p>
    <w:p w14:paraId="1C5FEB01" w14:textId="51E67465"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CEQA, the County issued a Notice of Availability for the Draft EIR, which allowed for public comment and agency review between July 11, 2014 and August 25, 2014. The County extended the public review period to November 21, 2014;</w:t>
      </w:r>
    </w:p>
    <w:p w14:paraId="26C745F4" w14:textId="7FCC5E39"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PBES </w:t>
      </w:r>
      <w:r w:rsidR="009250EB" w:rsidRPr="009250EB">
        <w:rPr>
          <w:rFonts w:ascii="Times New Roman" w:hAnsi="Times New Roman" w:cs="Times New Roman"/>
          <w:sz w:val="24"/>
          <w:szCs w:val="24"/>
        </w:rPr>
        <w:t xml:space="preserve">Director </w:t>
      </w:r>
      <w:r w:rsidRPr="00A833D2">
        <w:rPr>
          <w:rFonts w:ascii="Times New Roman" w:hAnsi="Times New Roman" w:cs="Times New Roman"/>
          <w:sz w:val="24"/>
          <w:szCs w:val="24"/>
        </w:rPr>
        <w:t>held a public hearing to solicit comments on the Draft EIR on November 12, 2014;</w:t>
      </w:r>
    </w:p>
    <w:p w14:paraId="45D36B25" w14:textId="27D4F292"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between the start of the public comment period on July 11, 2014 and the end of the comment period on November 21, 2014, the County received over 3,700 pages of public and agency written comments on the Draft EIR;</w:t>
      </w:r>
    </w:p>
    <w:p w14:paraId="5AC24B8C" w14:textId="28F960C6"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CEQA, all comments received on the Draft EIR during the comment period were responded to and included in a Final EIR. The Final EIR was finalized in March 2016 and included the Draft EIR and comments and responses to comments on the Draft EIR and minor text changes to the Draft EIR;</w:t>
      </w:r>
    </w:p>
    <w:p w14:paraId="6AD92348" w14:textId="2FC516B9"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CEQA, the Final EIR was mailed to all commenting state and local agencies, organizations and individuals at least ten days prior to the Planning Commission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action on the Project;</w:t>
      </w:r>
    </w:p>
    <w:p w14:paraId="272B70CD" w14:textId="61A8659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Napa County issued a notice of a public hearing on the Walt Ranch Vineyards Agricultural Erosion Control Plan</w:t>
      </w:r>
      <w:r w:rsidR="00CE5259">
        <w:rPr>
          <w:rFonts w:ascii="Times New Roman" w:hAnsi="Times New Roman" w:cs="Times New Roman"/>
          <w:sz w:val="24"/>
          <w:szCs w:val="24"/>
        </w:rPr>
        <w:t>;</w:t>
      </w:r>
    </w:p>
    <w:p w14:paraId="489334D3" w14:textId="3840ACE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Government Code section 65402, County staff prepared a written rep</w:t>
      </w:r>
      <w:r w:rsidR="00CE5259">
        <w:rPr>
          <w:rFonts w:ascii="Times New Roman" w:hAnsi="Times New Roman" w:cs="Times New Roman"/>
          <w:sz w:val="24"/>
          <w:szCs w:val="24"/>
        </w:rPr>
        <w:t xml:space="preserve">ort for the PBES </w:t>
      </w:r>
      <w:r w:rsidRPr="00A833D2">
        <w:rPr>
          <w:rFonts w:ascii="Times New Roman" w:hAnsi="Times New Roman" w:cs="Times New Roman"/>
          <w:sz w:val="24"/>
          <w:szCs w:val="24"/>
        </w:rPr>
        <w:t>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consideration regarding implementing the Walt Ranch Project and its consistency with the Napa County General Plan;</w:t>
      </w:r>
    </w:p>
    <w:p w14:paraId="525E6003" w14:textId="32043213"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April 4, 2016, the PBES Director conducted </w:t>
      </w:r>
      <w:r w:rsidR="00CE5259">
        <w:rPr>
          <w:rFonts w:ascii="Times New Roman" w:hAnsi="Times New Roman" w:cs="Times New Roman"/>
          <w:sz w:val="24"/>
          <w:szCs w:val="24"/>
        </w:rPr>
        <w:t xml:space="preserve">a public hearing </w:t>
      </w:r>
      <w:r w:rsidRPr="00A833D2">
        <w:rPr>
          <w:rFonts w:ascii="Times New Roman" w:hAnsi="Times New Roman" w:cs="Times New Roman"/>
          <w:sz w:val="24"/>
          <w:szCs w:val="24"/>
        </w:rPr>
        <w:t>and received testimony and comments from interested parties on the Final EIR and the Proposed Project;</w:t>
      </w:r>
    </w:p>
    <w:p w14:paraId="0996395F" w14:textId="2034F6FC"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June 13, 2016, the PBES Director issued a Notice of Tentative Decision, tentatively approving the Reduced Intensity Alternative in the EIR, which generally consists of the avoidance of approximately 100 gross acres of developed area which have been targeted to further protect special status species and associated habitats; preserves individual trees that are identified as specimen or notable trees; enhances sensitive biotic communities; and enhances wildlife movement on the project site, as described in the Final EIR. In connection with the tentative decision, the PBES Director directed staff and the Applicant to prepare a revised </w:t>
      </w:r>
      <w:r w:rsidRPr="00A833D2">
        <w:rPr>
          <w:rFonts w:ascii="Times New Roman" w:hAnsi="Times New Roman" w:cs="Times New Roman"/>
          <w:sz w:val="24"/>
          <w:szCs w:val="24"/>
        </w:rPr>
        <w:lastRenderedPageBreak/>
        <w:t>erosion control plan consistent with the Reduced Intensity Alternative, and associated mitigation measures for consideration and approval;</w:t>
      </w:r>
    </w:p>
    <w:p w14:paraId="6323A2AA" w14:textId="67069B70"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County staff submitted the Updated MMRP, responses to FEIR comments, the Walt Ranch Biological Resources Management Plan, and revised Conditions of Approval to the PBES Director in accordance with the Notice of Tentative Decision, and the Applicant submitted a Revised ECP;</w:t>
      </w:r>
    </w:p>
    <w:p w14:paraId="69243397" w14:textId="4558D0A9"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August 1, 2016, the PBES Director approved the Revised ECP, which generally conforms to the Reduced Intensity Alternative described in the Final EIR, with additional modifications to reflect the requirements of the Updated MMRP consisting of approximately 209 net acres of vineyard (+/- 316 gross acres). The PBES Director filed a Notice of Determination with the State Clearinghouse;</w:t>
      </w:r>
    </w:p>
    <w:p w14:paraId="2CDC0DE9" w14:textId="599F596E"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pursuant to CEQA Guidelines section 15132, the FEIR consists of the following documents and records: the Draft EIR for the Walt Ranch Erosion Control Plan Application No. P11-00205-ECPA; the 2016 FEIR; and appendices thereto;</w:t>
      </w:r>
    </w:p>
    <w:p w14:paraId="110E6642" w14:textId="6DCC55BB"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September 1, 2016, Circle Oaks County Water District and Circle Oaks Homes Association (hereafter </w:t>
      </w:r>
      <w:r w:rsidR="00CE5259">
        <w:rPr>
          <w:rFonts w:ascii="Times New Roman" w:hAnsi="Times New Roman" w:cs="Times New Roman"/>
          <w:sz w:val="24"/>
          <w:szCs w:val="24"/>
        </w:rPr>
        <w:t xml:space="preserve">Appellant </w:t>
      </w:r>
      <w:r w:rsidRPr="00A833D2">
        <w:rPr>
          <w:rFonts w:ascii="Times New Roman" w:hAnsi="Times New Roman" w:cs="Times New Roman"/>
          <w:sz w:val="24"/>
          <w:szCs w:val="24"/>
        </w:rPr>
        <w:t>Circle Oaks</w:t>
      </w:r>
      <w:r w:rsidR="00CE5259">
        <w:rPr>
          <w:rFonts w:ascii="Times New Roman" w:hAnsi="Times New Roman" w:cs="Times New Roman"/>
          <w:sz w:val="24"/>
          <w:szCs w:val="24"/>
        </w:rPr>
        <w:t xml:space="preserve"> or Circle Oaks</w:t>
      </w:r>
      <w:r w:rsidRPr="00A833D2">
        <w:rPr>
          <w:rFonts w:ascii="Times New Roman" w:hAnsi="Times New Roman" w:cs="Times New Roman"/>
          <w:sz w:val="24"/>
          <w:szCs w:val="24"/>
        </w:rPr>
        <w:t>) submitted a timely Appeal packet;</w:t>
      </w:r>
    </w:p>
    <w:p w14:paraId="7075B7CF" w14:textId="68D78F80"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timely appeals to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 were also submitted by Center for Biological Diversity (CBD), Living Rivers Council (LRC), and Sierra Club;</w:t>
      </w:r>
    </w:p>
    <w:p w14:paraId="6F196520" w14:textId="61E0DAAF"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because most of the grounds raised in the four appeals overlap each other, the Chairman of the Board consolidated the appeals, with no objection to consolidation from Appellants, Applicant or Staff;</w:t>
      </w:r>
    </w:p>
    <w:p w14:paraId="3C49703D" w14:textId="21FC497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Napa County Code section 2.88.080(A), and to accommodate all parties</w:t>
      </w:r>
      <w:r w:rsidR="00E20849" w:rsidRPr="00A833D2">
        <w:rPr>
          <w:rFonts w:ascii="Times New Roman" w:hAnsi="Times New Roman" w:cs="Times New Roman"/>
          <w:sz w:val="24"/>
          <w:szCs w:val="24"/>
        </w:rPr>
        <w:t>’</w:t>
      </w:r>
      <w:r w:rsidR="007C6087">
        <w:rPr>
          <w:rFonts w:ascii="Times New Roman" w:hAnsi="Times New Roman" w:cs="Times New Roman"/>
          <w:sz w:val="24"/>
          <w:szCs w:val="24"/>
        </w:rPr>
        <w:t xml:space="preserve"> schedules, the Clerk</w:t>
      </w:r>
      <w:r w:rsidRPr="00A833D2">
        <w:rPr>
          <w:rFonts w:ascii="Times New Roman" w:hAnsi="Times New Roman" w:cs="Times New Roman"/>
          <w:sz w:val="24"/>
          <w:szCs w:val="24"/>
        </w:rPr>
        <w:t xml:space="preserve"> scheduled a hearing on all four appeals before the Napa County Board of Supervisors (the Board) to commence on November 18, 2016, a date at least 15 but no more than 90 days from the date of submittal of the appeals;</w:t>
      </w:r>
    </w:p>
    <w:p w14:paraId="6863B87D" w14:textId="0182B61F"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Board scheduled the hearing to proceed as follows: on November 18, 2016, Staff and the EIR consultant to present, Appellants to present, and open and complete public comment; on November 22, 2016, Applicant to present, rebuttal from each Appellant, and Board questions of Staff; on December 6, 2016, Board deliberations and tentative action; on December 20, 2016, Board adoption of resolution of findings consistent with the Board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prior</w:t>
      </w:r>
      <w:r w:rsidR="00B62F7E" w:rsidRPr="00A833D2">
        <w:rPr>
          <w:rFonts w:ascii="Times New Roman" w:hAnsi="Times New Roman" w:cs="Times New Roman"/>
          <w:sz w:val="24"/>
          <w:szCs w:val="24"/>
        </w:rPr>
        <w:t xml:space="preserve">, tentative </w:t>
      </w:r>
      <w:r w:rsidRPr="00A833D2">
        <w:rPr>
          <w:rFonts w:ascii="Times New Roman" w:hAnsi="Times New Roman" w:cs="Times New Roman"/>
          <w:sz w:val="24"/>
          <w:szCs w:val="24"/>
        </w:rPr>
        <w:t>action;</w:t>
      </w:r>
    </w:p>
    <w:p w14:paraId="54A97591" w14:textId="7E65383E"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October </w:t>
      </w:r>
      <w:r w:rsidR="00B62F7E" w:rsidRPr="00A833D2">
        <w:rPr>
          <w:rFonts w:ascii="Times New Roman" w:hAnsi="Times New Roman" w:cs="Times New Roman"/>
          <w:sz w:val="24"/>
          <w:szCs w:val="24"/>
        </w:rPr>
        <w:t>12</w:t>
      </w:r>
      <w:r w:rsidRPr="00A833D2">
        <w:rPr>
          <w:rFonts w:ascii="Times New Roman" w:hAnsi="Times New Roman" w:cs="Times New Roman"/>
          <w:sz w:val="24"/>
          <w:szCs w:val="24"/>
        </w:rPr>
        <w:t>, 2016, Board Chairperson Pedroza conducted a prehearing conference to establish procedures and a schedule for the conduct of the appeal, at which all Appellants and the Applicant were present and participated;</w:t>
      </w:r>
    </w:p>
    <w:p w14:paraId="04101392" w14:textId="0088E15F" w:rsidR="007B7A0A" w:rsidRPr="00A833D2" w:rsidRDefault="007B7A0A" w:rsidP="00C3455B">
      <w:pPr>
        <w:spacing w:after="120" w:line="240" w:lineRule="auto"/>
        <w:rPr>
          <w:rFonts w:ascii="Times New Roman" w:hAnsi="Times New Roman" w:cs="Times New Roman"/>
          <w:sz w:val="24"/>
          <w:szCs w:val="24"/>
          <w:highlight w:val="yellow"/>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November 18, 2016, the Board heard and considered presentations from Appellants LRC, Circle Oaks, CBD, and Sierra Club; comments from the public; and the County Staff report including a presentation from County Supervising Planner Brian Bordona, a presentation from Consulting Project Manager Annalee Sanborn, and presentations from experts on behalf of County staff. The Board continued the hearing to November 22, 2016;</w:t>
      </w:r>
    </w:p>
    <w:p w14:paraId="77CB7DFC" w14:textId="4D83C6A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November 22, 2016, at the continued public hearing, the Board heard and considered presentations from the Applicant; and rebuttal presentations from Appellants </w:t>
      </w:r>
      <w:r w:rsidRPr="00A833D2">
        <w:rPr>
          <w:rFonts w:ascii="Times New Roman" w:hAnsi="Times New Roman" w:cs="Times New Roman"/>
          <w:sz w:val="24"/>
          <w:szCs w:val="24"/>
        </w:rPr>
        <w:lastRenderedPageBreak/>
        <w:t>Sierra Club, CBD, Circle Oaks, and LRC. The Board continued the hearing to December 6, 2016;</w:t>
      </w:r>
    </w:p>
    <w:p w14:paraId="54AD245B" w14:textId="11141178"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December 6, 2016, the Board heard and considered presentations and associated documents from County Staff. After considering all comments and written materials, the Board closed the public hearing, deliberated, and adopted a tentative motion to: (1) deny Appellant LRC</w:t>
      </w:r>
      <w:r w:rsidR="00E20849" w:rsidRPr="00A833D2">
        <w:rPr>
          <w:rFonts w:ascii="Times New Roman" w:hAnsi="Times New Roman" w:cs="Times New Roman"/>
          <w:sz w:val="24"/>
          <w:szCs w:val="24"/>
        </w:rPr>
        <w:t>’</w:t>
      </w:r>
      <w:r w:rsidR="00CE5259">
        <w:rPr>
          <w:rFonts w:ascii="Times New Roman" w:hAnsi="Times New Roman" w:cs="Times New Roman"/>
          <w:sz w:val="24"/>
          <w:szCs w:val="24"/>
        </w:rPr>
        <w:t xml:space="preserve">s appeal </w:t>
      </w:r>
      <w:r w:rsidRPr="00A833D2">
        <w:rPr>
          <w:rFonts w:ascii="Times New Roman" w:hAnsi="Times New Roman" w:cs="Times New Roman"/>
          <w:sz w:val="24"/>
          <w:szCs w:val="24"/>
        </w:rPr>
        <w:t>seeking or requesting that approval of the Project and certification of the EIR be vacated; (2) deny Appellant Circle Oaks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CE5259">
        <w:rPr>
          <w:rFonts w:ascii="Times New Roman" w:hAnsi="Times New Roman" w:cs="Times New Roman"/>
          <w:sz w:val="24"/>
          <w:szCs w:val="24"/>
        </w:rPr>
        <w:t xml:space="preserve">appeal </w:t>
      </w:r>
      <w:r w:rsidRPr="00A833D2">
        <w:rPr>
          <w:rFonts w:ascii="Times New Roman" w:hAnsi="Times New Roman" w:cs="Times New Roman"/>
          <w:sz w:val="24"/>
          <w:szCs w:val="24"/>
        </w:rPr>
        <w:t>seeking or requesting that approval of the Project be vacated; (3) deny Appellant CBD</w:t>
      </w:r>
      <w:r w:rsidR="00E20849" w:rsidRPr="00A833D2">
        <w:rPr>
          <w:rFonts w:ascii="Times New Roman" w:hAnsi="Times New Roman" w:cs="Times New Roman"/>
          <w:sz w:val="24"/>
          <w:szCs w:val="24"/>
        </w:rPr>
        <w:t>’</w:t>
      </w:r>
      <w:r w:rsidR="00CE5259">
        <w:rPr>
          <w:rFonts w:ascii="Times New Roman" w:hAnsi="Times New Roman" w:cs="Times New Roman"/>
          <w:sz w:val="24"/>
          <w:szCs w:val="24"/>
        </w:rPr>
        <w:t xml:space="preserve">s appeal </w:t>
      </w:r>
      <w:r w:rsidRPr="00A833D2">
        <w:rPr>
          <w:rFonts w:ascii="Times New Roman" w:hAnsi="Times New Roman" w:cs="Times New Roman"/>
          <w:sz w:val="24"/>
          <w:szCs w:val="24"/>
        </w:rPr>
        <w:t>seeking or requesting that the approval of the EIR, its findings, and the statement of overriding considerations be vacated; and (4) deny Appellant Sierra Club</w:t>
      </w:r>
      <w:r w:rsidR="00E20849" w:rsidRPr="00A833D2">
        <w:rPr>
          <w:rFonts w:ascii="Times New Roman" w:hAnsi="Times New Roman" w:cs="Times New Roman"/>
          <w:sz w:val="24"/>
          <w:szCs w:val="24"/>
        </w:rPr>
        <w:t>’</w:t>
      </w:r>
      <w:r w:rsidR="00CE5259">
        <w:rPr>
          <w:rFonts w:ascii="Times New Roman" w:hAnsi="Times New Roman" w:cs="Times New Roman"/>
          <w:sz w:val="24"/>
          <w:szCs w:val="24"/>
        </w:rPr>
        <w:t xml:space="preserve">s appeal </w:t>
      </w:r>
      <w:r w:rsidRPr="00A833D2">
        <w:rPr>
          <w:rFonts w:ascii="Times New Roman" w:hAnsi="Times New Roman" w:cs="Times New Roman"/>
          <w:sz w:val="24"/>
          <w:szCs w:val="24"/>
        </w:rPr>
        <w:t>seeking or requesting that the Planning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 to certify and approve the EIR and the Project be vacated;</w:t>
      </w:r>
    </w:p>
    <w:p w14:paraId="1158A1FC" w14:textId="51210626"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Board further directed Staff to return on December 20, 2016 with documents consistent with the Board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expressed intent; and</w:t>
      </w:r>
    </w:p>
    <w:p w14:paraId="104AFBBE" w14:textId="42A8A08A"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this proposed Resolution containing the Findings of Fact and Decision on Appeal having been presented to the Board for possible adoption at a regular meeting of the Board on December 20, 2016;</w:t>
      </w:r>
    </w:p>
    <w:p w14:paraId="27A86E88" w14:textId="77777777"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rPr>
        <w:t xml:space="preserve">NOW, THEREFORE, BE IT RESOLVED, </w:t>
      </w:r>
      <w:r w:rsidRPr="00A833D2">
        <w:rPr>
          <w:rFonts w:ascii="Times New Roman" w:hAnsi="Times New Roman" w:cs="Times New Roman"/>
          <w:sz w:val="24"/>
          <w:szCs w:val="24"/>
        </w:rPr>
        <w:t>that the Board of Supervisors finds, determines, concludes and decides as follows:</w:t>
      </w:r>
    </w:p>
    <w:p w14:paraId="03A52E54" w14:textId="77777777" w:rsidR="007B7A0A" w:rsidRPr="00A833D2" w:rsidRDefault="007B7A0A" w:rsidP="00C3455B">
      <w:pPr>
        <w:keepNext/>
        <w:spacing w:after="120" w:line="240" w:lineRule="auto"/>
        <w:rPr>
          <w:rFonts w:ascii="Times New Roman" w:hAnsi="Times New Roman" w:cs="Times New Roman"/>
          <w:b/>
          <w:sz w:val="24"/>
          <w:szCs w:val="24"/>
          <w:u w:val="single"/>
        </w:rPr>
      </w:pPr>
      <w:r w:rsidRPr="00A833D2">
        <w:rPr>
          <w:rFonts w:ascii="Times New Roman" w:hAnsi="Times New Roman" w:cs="Times New Roman"/>
          <w:b/>
          <w:sz w:val="24"/>
          <w:szCs w:val="24"/>
          <w:u w:val="single"/>
        </w:rPr>
        <w:t>Section 1.</w:t>
      </w:r>
      <w:r w:rsidRPr="00A833D2">
        <w:rPr>
          <w:rFonts w:ascii="Times New Roman" w:hAnsi="Times New Roman" w:cs="Times New Roman"/>
          <w:sz w:val="24"/>
          <w:szCs w:val="24"/>
        </w:rPr>
        <w:tab/>
      </w:r>
      <w:r w:rsidRPr="00A833D2">
        <w:rPr>
          <w:rFonts w:ascii="Times New Roman" w:hAnsi="Times New Roman" w:cs="Times New Roman"/>
          <w:b/>
          <w:sz w:val="24"/>
          <w:szCs w:val="24"/>
          <w:u w:val="single"/>
        </w:rPr>
        <w:t>Recitals.</w:t>
      </w:r>
    </w:p>
    <w:p w14:paraId="72EEF499" w14:textId="77777777"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hereby finds and determines that the foregoing recitals are true and correct.</w:t>
      </w:r>
    </w:p>
    <w:p w14:paraId="3DE6CC7B" w14:textId="3A41B717" w:rsidR="003920FA" w:rsidRPr="00A833D2" w:rsidRDefault="00CE5259"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w:t>
      </w:r>
      <w:r w:rsidR="003920FA" w:rsidRPr="00A833D2">
        <w:rPr>
          <w:rFonts w:ascii="Times New Roman" w:hAnsi="Times New Roman" w:cs="Times New Roman"/>
          <w:b/>
          <w:sz w:val="24"/>
          <w:szCs w:val="24"/>
          <w:u w:val="single"/>
        </w:rPr>
        <w:t>.</w:t>
      </w:r>
      <w:r w:rsidR="003920FA" w:rsidRPr="00A833D2">
        <w:rPr>
          <w:rFonts w:ascii="Times New Roman" w:hAnsi="Times New Roman" w:cs="Times New Roman"/>
          <w:b/>
          <w:sz w:val="24"/>
          <w:szCs w:val="24"/>
        </w:rPr>
        <w:tab/>
      </w:r>
      <w:r w:rsidR="003920FA" w:rsidRPr="00A833D2">
        <w:rPr>
          <w:rFonts w:ascii="Times New Roman" w:hAnsi="Times New Roman" w:cs="Times New Roman"/>
          <w:b/>
          <w:sz w:val="24"/>
          <w:szCs w:val="24"/>
          <w:u w:val="single"/>
        </w:rPr>
        <w:t>Findings of Fact and Conclusions of Law on Appeal.</w:t>
      </w:r>
    </w:p>
    <w:p w14:paraId="5A3F72C2" w14:textId="7777777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hereby makes the following findings of fact and conclusions of law concerning each of the grounds for appeal as stated by Appellant in its Appeal.</w:t>
      </w:r>
    </w:p>
    <w:p w14:paraId="76C5CB85"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w:t>
      </w:r>
      <w:r w:rsidRPr="00A833D2">
        <w:rPr>
          <w:rFonts w:ascii="Times New Roman" w:hAnsi="Times New Roman" w:cs="Times New Roman"/>
          <w:b/>
          <w:sz w:val="24"/>
          <w:szCs w:val="24"/>
        </w:rPr>
        <w:tab/>
        <w:t>First Ground of Appeal.</w:t>
      </w:r>
    </w:p>
    <w:p w14:paraId="1D1DB204" w14:textId="4D1F52E0"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xml:space="preserve">: Appellant Circle Oaks asserts that </w:t>
      </w:r>
      <w:r w:rsidR="004074F1" w:rsidRPr="00A833D2">
        <w:rPr>
          <w:rFonts w:ascii="Times New Roman" w:hAnsi="Times New Roman" w:cs="Times New Roman"/>
          <w:sz w:val="24"/>
          <w:szCs w:val="24"/>
        </w:rPr>
        <w:t>the EIR fails to adequately describe the environmental setting regarding groundwater resources. Appellant claims that the EIR failed to incorporate any data or analysis concerning Circle Oaks County Water District</w:t>
      </w:r>
      <w:r w:rsidR="00E20849" w:rsidRPr="00A833D2">
        <w:rPr>
          <w:rFonts w:ascii="Times New Roman" w:hAnsi="Times New Roman" w:cs="Times New Roman"/>
          <w:sz w:val="24"/>
          <w:szCs w:val="24"/>
        </w:rPr>
        <w:t>’</w:t>
      </w:r>
      <w:r w:rsidR="004074F1" w:rsidRPr="00A833D2">
        <w:rPr>
          <w:rFonts w:ascii="Times New Roman" w:hAnsi="Times New Roman" w:cs="Times New Roman"/>
          <w:sz w:val="24"/>
          <w:szCs w:val="24"/>
        </w:rPr>
        <w:t>s (COCWD) demand or the potential impacts to the residents served by the COCWD should the Project</w:t>
      </w:r>
      <w:r w:rsidR="00E20849" w:rsidRPr="00A833D2">
        <w:rPr>
          <w:rFonts w:ascii="Times New Roman" w:hAnsi="Times New Roman" w:cs="Times New Roman"/>
          <w:sz w:val="24"/>
          <w:szCs w:val="24"/>
        </w:rPr>
        <w:t>’</w:t>
      </w:r>
      <w:r w:rsidR="004074F1" w:rsidRPr="00A833D2">
        <w:rPr>
          <w:rFonts w:ascii="Times New Roman" w:hAnsi="Times New Roman" w:cs="Times New Roman"/>
          <w:sz w:val="24"/>
          <w:szCs w:val="24"/>
        </w:rPr>
        <w:t>s massive water demand draw</w:t>
      </w:r>
      <w:r w:rsidR="009122C1" w:rsidRPr="00A833D2">
        <w:rPr>
          <w:rFonts w:ascii="Times New Roman" w:hAnsi="Times New Roman" w:cs="Times New Roman"/>
          <w:sz w:val="24"/>
          <w:szCs w:val="24"/>
        </w:rPr>
        <w:t xml:space="preserve"> </w:t>
      </w:r>
      <w:r w:rsidR="004074F1" w:rsidRPr="00A833D2">
        <w:rPr>
          <w:rFonts w:ascii="Times New Roman" w:hAnsi="Times New Roman" w:cs="Times New Roman"/>
          <w:sz w:val="24"/>
          <w:szCs w:val="24"/>
        </w:rPr>
        <w:t>down the aquifer and affect the wells served by the COCWD.</w:t>
      </w:r>
    </w:p>
    <w:p w14:paraId="1743114E" w14:textId="77777777" w:rsidR="004074F1" w:rsidRPr="00A833D2" w:rsidRDefault="003920FA" w:rsidP="00C3455B">
      <w:pPr>
        <w:keepNext/>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xml:space="preserve">: The Board finds and determines </w:t>
      </w:r>
      <w:r w:rsidR="004074F1" w:rsidRPr="00A833D2">
        <w:rPr>
          <w:rFonts w:ascii="Times New Roman" w:hAnsi="Times New Roman" w:cs="Times New Roman"/>
          <w:sz w:val="24"/>
          <w:szCs w:val="24"/>
        </w:rPr>
        <w:t>as follows:</w:t>
      </w:r>
    </w:p>
    <w:p w14:paraId="02FBAC9D" w14:textId="77777777" w:rsidR="003920FA"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Consideration of COCWD groundwater demands and infrastructure was addressed in Impact 4.6-4 (Final EIR: Volume II), Final EIR General Response 14, Final EIR Response to Comment O2-1, and throughout the supporting documents prepared by RCS. Consideration of COCWD infrastructure was addressed in Response to Comment O2-1 in the Final EIR. The RCS aquifer (pumping) test analysis included theoretical monitoring points that coincided with the estimated locations of the COCWD wells and springs to estimate impacts to COCWD. In addition, wells on the Circle S Ranch property were monitored as part of the aquifer test. Once COCWD provided its actual well data to RCS, it was incorporated into the modeling by updating the theoretical or assumed locations to the actual well locations.</w:t>
      </w:r>
    </w:p>
    <w:p w14:paraId="0C19BD42" w14:textId="77777777"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Cumulative groundwater demands have been addressed throughout the EIR process, specifically in: the Draft EIR (Impact 4.6-4 and Section 6.1.4-6), Final EIR (Appendix Q pages 8 through 10),</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and Final EIR General Response 14. As discussed therein, groundwater extractions for the COCWD and the permitted future (but undeveloped) Circle S Ranch project are considered in conjunction with the groundwater demand for the proposed Walt Ranch project.</w:t>
      </w:r>
    </w:p>
    <w:p w14:paraId="527E45A0" w14:textId="77777777"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Final EIR General Response 14 outlines the cumulative groundwater pumping demand for these three main water users and demonstrates that there would be more average annual recharge than groundwater extraction from the three main water users from the Sonoma Volcanics underlying the Walt Ranch and Circle S properties. Please note that the Final EIR excerpt below uses the Mitigated Project groundwater demand of 187 af per year, which has been reduced to 144.5 af per year with the final 209-acre project. The analysis from General Response 14 is as follows:</w:t>
      </w:r>
    </w:p>
    <w:p w14:paraId="678372B1" w14:textId="5A8BBE20" w:rsidR="004074F1" w:rsidRPr="00A833D2" w:rsidRDefault="00E2084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w:t>
      </w:r>
      <w:r w:rsidR="004074F1" w:rsidRPr="00A833D2">
        <w:rPr>
          <w:rFonts w:ascii="Times New Roman" w:hAnsi="Times New Roman" w:cs="Times New Roman"/>
          <w:sz w:val="24"/>
          <w:szCs w:val="24"/>
        </w:rPr>
        <w:t>…the total combined groundwater demand for all groundwater users drawing from this portion of the Sonoma Volcanics (Circle S, mitigated Walt Ranch, and Circle Oaks horizontal well) combined, are as follows:</w:t>
      </w:r>
    </w:p>
    <w:p w14:paraId="38D3D71A" w14:textId="77777777" w:rsidR="004074F1" w:rsidRPr="00A833D2" w:rsidRDefault="004074F1"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(Walt Ranch 187 af per year) + (COCWD Horizontal Well 16.2 af per year) +</w:t>
      </w:r>
    </w:p>
    <w:p w14:paraId="5ACC6639" w14:textId="5FB5BF7C" w:rsidR="004074F1" w:rsidRPr="00A833D2" w:rsidRDefault="004074F1" w:rsidP="00A833D2">
      <w:pPr>
        <w:autoSpaceDE w:val="0"/>
        <w:autoSpaceDN w:val="0"/>
        <w:adjustRightInd w:val="0"/>
        <w:spacing w:after="120" w:line="240" w:lineRule="auto"/>
        <w:ind w:left="720"/>
        <w:rPr>
          <w:rFonts w:ascii="Times New Roman" w:hAnsi="Times New Roman" w:cs="Times New Roman"/>
          <w:b/>
          <w:bCs/>
          <w:sz w:val="24"/>
          <w:szCs w:val="24"/>
        </w:rPr>
      </w:pPr>
      <w:r w:rsidRPr="00A833D2">
        <w:rPr>
          <w:rFonts w:ascii="Times New Roman" w:hAnsi="Times New Roman" w:cs="Times New Roman"/>
          <w:sz w:val="24"/>
          <w:szCs w:val="24"/>
        </w:rPr>
        <w:t xml:space="preserve">(Circle S 189.9 af per year) = </w:t>
      </w:r>
      <w:r w:rsidRPr="00A833D2">
        <w:rPr>
          <w:rFonts w:ascii="Times New Roman" w:hAnsi="Times New Roman" w:cs="Times New Roman"/>
          <w:b/>
          <w:bCs/>
          <w:sz w:val="24"/>
          <w:szCs w:val="24"/>
        </w:rPr>
        <w:t>393.1 af per year</w:t>
      </w:r>
    </w:p>
    <w:p w14:paraId="6CC25CEC" w14:textId="24B06132" w:rsidR="004074F1" w:rsidRPr="00A833D2" w:rsidRDefault="004074F1"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Conservative estimate of average annual recharge (assuming recharge occurs only on the Walt Ranch property and the Circle S property):</w:t>
      </w:r>
    </w:p>
    <w:p w14:paraId="2E78E08F" w14:textId="5A7FDFE6" w:rsidR="004074F1" w:rsidRPr="00A833D2" w:rsidRDefault="004074F1" w:rsidP="00A833D2">
      <w:pPr>
        <w:autoSpaceDE w:val="0"/>
        <w:autoSpaceDN w:val="0"/>
        <w:adjustRightInd w:val="0"/>
        <w:spacing w:after="120" w:line="240" w:lineRule="auto"/>
        <w:ind w:left="720"/>
        <w:rPr>
          <w:rFonts w:ascii="Times New Roman" w:hAnsi="Times New Roman" w:cs="Times New Roman"/>
          <w:b/>
          <w:bCs/>
          <w:sz w:val="24"/>
          <w:szCs w:val="24"/>
        </w:rPr>
      </w:pPr>
      <w:r w:rsidRPr="00A833D2">
        <w:rPr>
          <w:rFonts w:ascii="Times New Roman" w:hAnsi="Times New Roman" w:cs="Times New Roman"/>
          <w:sz w:val="24"/>
          <w:szCs w:val="24"/>
        </w:rPr>
        <w:t xml:space="preserve">(Walt Ranch 161 af per year) + (Circle S 325 af per year) = </w:t>
      </w:r>
      <w:r w:rsidRPr="00A833D2">
        <w:rPr>
          <w:rFonts w:ascii="Times New Roman" w:hAnsi="Times New Roman" w:cs="Times New Roman"/>
          <w:b/>
          <w:bCs/>
          <w:sz w:val="24"/>
          <w:szCs w:val="24"/>
        </w:rPr>
        <w:t>486 af per year</w:t>
      </w:r>
    </w:p>
    <w:p w14:paraId="6E4B9A00" w14:textId="13518DEC" w:rsidR="004074F1" w:rsidRPr="00A833D2" w:rsidRDefault="004074F1"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Therefore, the average annual recharge calculated above (486 af per year) exceeds the combined total sum of the groundwater demands (393.1 af per year) for both properties and the COCWD Horizontal Well.</w:t>
      </w:r>
      <w:r w:rsidR="00E20849" w:rsidRPr="00A833D2">
        <w:rPr>
          <w:rFonts w:ascii="Times New Roman" w:hAnsi="Times New Roman" w:cs="Times New Roman"/>
          <w:sz w:val="24"/>
          <w:szCs w:val="24"/>
        </w:rPr>
        <w:t>”</w:t>
      </w:r>
    </w:p>
    <w:p w14:paraId="655FD9D9" w14:textId="77777777"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also presents an analysis of the three known water users and a fourth user, the COCWD Well No. 1 which likely does not derive its water from the Sonoma Volcanics. However, even with inclusion of this fourth water extraction point, the d</w:t>
      </w:r>
      <w:r w:rsidR="009122C1" w:rsidRPr="00A833D2">
        <w:rPr>
          <w:rFonts w:ascii="Times New Roman" w:hAnsi="Times New Roman" w:cs="Times New Roman"/>
          <w:sz w:val="24"/>
          <w:szCs w:val="24"/>
        </w:rPr>
        <w:t>emand does not exceed recharge:</w:t>
      </w:r>
    </w:p>
    <w:p w14:paraId="293550BF" w14:textId="1F58E1FA" w:rsidR="004074F1" w:rsidRPr="00A833D2" w:rsidRDefault="00E2084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w:t>
      </w:r>
      <w:r w:rsidR="004074F1" w:rsidRPr="00A833D2">
        <w:rPr>
          <w:rFonts w:ascii="Times New Roman" w:hAnsi="Times New Roman" w:cs="Times New Roman"/>
          <w:sz w:val="24"/>
          <w:szCs w:val="24"/>
        </w:rPr>
        <w:t xml:space="preserve">(Walt Ranch 187 af per year) + (COCWD Horizontal Well 16.2 af per year) + (COCWD Well No. 1 - 40.5 af per year) + (Circle S 189.9 af per year) = </w:t>
      </w:r>
      <w:r w:rsidR="004074F1" w:rsidRPr="00A833D2">
        <w:rPr>
          <w:rFonts w:ascii="Times New Roman" w:hAnsi="Times New Roman" w:cs="Times New Roman"/>
          <w:b/>
          <w:bCs/>
          <w:sz w:val="24"/>
          <w:szCs w:val="24"/>
        </w:rPr>
        <w:t>433.6 af per year</w:t>
      </w:r>
      <w:r w:rsidRPr="00A833D2">
        <w:rPr>
          <w:rFonts w:ascii="Times New Roman" w:hAnsi="Times New Roman" w:cs="Times New Roman"/>
          <w:sz w:val="24"/>
          <w:szCs w:val="24"/>
        </w:rPr>
        <w:t>”</w:t>
      </w:r>
    </w:p>
    <w:p w14:paraId="7D676CF9" w14:textId="026D567F"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D17B04" w:rsidRPr="00A833D2">
        <w:rPr>
          <w:rFonts w:ascii="Times New Roman" w:hAnsi="Times New Roman" w:cs="Times New Roman"/>
          <w:sz w:val="24"/>
          <w:szCs w:val="24"/>
        </w:rPr>
        <w:t>When considering the above analysis with the smaller groundwater demand of the final pr</w:t>
      </w:r>
      <w:r w:rsidR="00D17B04">
        <w:rPr>
          <w:rFonts w:ascii="Times New Roman" w:hAnsi="Times New Roman" w:cs="Times New Roman"/>
          <w:sz w:val="24"/>
          <w:szCs w:val="24"/>
        </w:rPr>
        <w:t>oject, the revised numbers show</w:t>
      </w:r>
      <w:r w:rsidR="00D17B04" w:rsidRPr="00A833D2">
        <w:rPr>
          <w:rFonts w:ascii="Times New Roman" w:hAnsi="Times New Roman" w:cs="Times New Roman"/>
          <w:sz w:val="24"/>
          <w:szCs w:val="24"/>
        </w:rPr>
        <w:t xml:space="preserve"> an even lesser demand in the cumulative environment. </w:t>
      </w:r>
      <w:r w:rsidRPr="00A833D2">
        <w:rPr>
          <w:rFonts w:ascii="Times New Roman" w:hAnsi="Times New Roman" w:cs="Times New Roman"/>
          <w:sz w:val="24"/>
          <w:szCs w:val="24"/>
        </w:rPr>
        <w:t>The demand in the cumulative environment when considering the smaller Walt Ranch Project would be 391.1 af per year. The recharge potential would still be the same at 486 af per year, resulting in an even smaller potential groundwater impact in the cumulative environment.</w:t>
      </w:r>
    </w:p>
    <w:p w14:paraId="2B87E098" w14:textId="65B922EB" w:rsidR="008E4480" w:rsidRPr="00A833D2" w:rsidRDefault="008E4480"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In addition, 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03CC9881" w14:textId="22696E6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 xml:space="preserve">: </w:t>
      </w:r>
      <w:r w:rsidR="004074F1" w:rsidRPr="00A833D2">
        <w:rPr>
          <w:rFonts w:ascii="Times New Roman" w:hAnsi="Times New Roman" w:cs="Times New Roman"/>
          <w:sz w:val="24"/>
          <w:szCs w:val="24"/>
        </w:rPr>
        <w:t>RCS, 2013, Updated Report on the Results and Analysis of 96-Hour Constant Rate Pumping Test, Irrigation-Supply Well No. 3 for Walt Ranch in Napa County, California, Prepared for Hall Wines, LLC. February 2013, included as Appendix D to the Draft EIR; RCS, 2015, Technical Memorandum Re: Responses to Comments on the Walt Ranch Draft EIR, August 13, 2015, included as Appendix Q to the Final EIR; Richard C. Slade and Associates (RCS), 2016, Technical Memorandum Re: Responses to Comments on the Walt Ranch Final EIR, June 10, 2016, included as Attachment C to the Responses to Final EIR Comments Memorandum; RCS, 2015, Technical Memorandum Re: Response to Comments on the Walt Ranch Draft EIR, August 13, 2015, included as Appendix Q to the Final EIR; Final EIR, Volume II, Impact 4.6-4; Final EIR General Response 14;</w:t>
      </w:r>
      <w:r w:rsidR="001D04D5" w:rsidRPr="00A833D2">
        <w:rPr>
          <w:rFonts w:ascii="Times New Roman" w:hAnsi="Times New Roman" w:cs="Times New Roman"/>
          <w:sz w:val="24"/>
          <w:szCs w:val="24"/>
        </w:rPr>
        <w:t xml:space="preserve"> Final EIR Response to Comment O</w:t>
      </w:r>
      <w:r w:rsidR="004074F1" w:rsidRPr="00A833D2">
        <w:rPr>
          <w:rFonts w:ascii="Times New Roman" w:hAnsi="Times New Roman" w:cs="Times New Roman"/>
          <w:sz w:val="24"/>
          <w:szCs w:val="24"/>
        </w:rPr>
        <w:t>2-1</w:t>
      </w:r>
      <w:r w:rsidR="001E6E7F" w:rsidRPr="00A833D2">
        <w:rPr>
          <w:rFonts w:ascii="Times New Roman" w:hAnsi="Times New Roman" w:cs="Times New Roman"/>
          <w:sz w:val="24"/>
          <w:szCs w:val="24"/>
        </w:rPr>
        <w:t>; Draft EIR, Impact 4.6-4; Draft EIR, Section 6.1.4-6; Final EIR, Appendix QQ, pages 8-10;</w:t>
      </w:r>
      <w:r w:rsidR="008E4480" w:rsidRPr="00A833D2">
        <w:rPr>
          <w:rFonts w:ascii="Times New Roman" w:hAnsi="Times New Roman" w:cs="Times New Roman"/>
          <w:sz w:val="24"/>
          <w:szCs w:val="24"/>
        </w:rPr>
        <w:t xml:space="preserve"> Final EIR, General Response 14; County Staff Presentations, Board of Supervisors </w:t>
      </w:r>
      <w:r w:rsidR="00B26259" w:rsidRPr="00A833D2">
        <w:rPr>
          <w:rFonts w:ascii="Times New Roman" w:hAnsi="Times New Roman" w:cs="Times New Roman"/>
          <w:sz w:val="24"/>
          <w:szCs w:val="24"/>
        </w:rPr>
        <w:t xml:space="preserve">November 18 and December 6, 2016, </w:t>
      </w:r>
      <w:r w:rsidR="008E4480" w:rsidRPr="00A833D2">
        <w:rPr>
          <w:rFonts w:ascii="Times New Roman" w:hAnsi="Times New Roman" w:cs="Times New Roman"/>
          <w:sz w:val="24"/>
          <w:szCs w:val="24"/>
        </w:rPr>
        <w:t>Meetings; Memorandum from David Morrison and Brian Bordona to Chair Pedroza and Board Members, December 5, 2016.</w:t>
      </w:r>
    </w:p>
    <w:p w14:paraId="5B032CB5" w14:textId="390F5B0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first ground of appeal and upholds the Planning Commission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 to approve the Walt Ranch Vineyard Agricultural Erosion Control Plan No. P11-00205-ECPA (as revised), certify the related EIR, and approve the Reduced Intensity Alternative with associated Mitigation Measures and Conditions of Approval.</w:t>
      </w:r>
    </w:p>
    <w:p w14:paraId="23D6FD2A"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w:t>
      </w:r>
      <w:r w:rsidRPr="00A833D2">
        <w:rPr>
          <w:rFonts w:ascii="Times New Roman" w:hAnsi="Times New Roman" w:cs="Times New Roman"/>
          <w:b/>
          <w:sz w:val="24"/>
          <w:szCs w:val="24"/>
        </w:rPr>
        <w:tab/>
        <w:t>Second Ground of Appeal.</w:t>
      </w:r>
    </w:p>
    <w:p w14:paraId="631C602C" w14:textId="5CE42D74" w:rsidR="009122C1"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mischaracterizes the rate of groundwater recharge on the Project site.</w:t>
      </w:r>
    </w:p>
    <w:p w14:paraId="52A26C0C"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xml:space="preserve">: The Board finds and </w:t>
      </w:r>
      <w:r w:rsidR="001E6E7F" w:rsidRPr="00A833D2">
        <w:rPr>
          <w:rFonts w:ascii="Times New Roman" w:hAnsi="Times New Roman" w:cs="Times New Roman"/>
          <w:sz w:val="24"/>
          <w:szCs w:val="24"/>
        </w:rPr>
        <w:t>determines as follows:</w:t>
      </w:r>
    </w:p>
    <w:p w14:paraId="3C17F010" w14:textId="692DB468"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responses to </w:t>
      </w:r>
      <w:r w:rsidR="009122C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9122C1" w:rsidRPr="00A833D2">
        <w:rPr>
          <w:rFonts w:ascii="Times New Roman" w:hAnsi="Times New Roman" w:cs="Times New Roman"/>
          <w:sz w:val="24"/>
          <w:szCs w:val="24"/>
        </w:rPr>
        <w:t xml:space="preserve">s ninth ground of appeal, Resolution No. </w:t>
      </w:r>
      <w:r w:rsidR="009122C1" w:rsidRPr="00A833D2">
        <w:rPr>
          <w:rFonts w:ascii="Times New Roman" w:hAnsi="Times New Roman" w:cs="Times New Roman"/>
          <w:sz w:val="24"/>
          <w:szCs w:val="24"/>
          <w:highlight w:val="yellow"/>
        </w:rPr>
        <w:t>_____</w:t>
      </w:r>
      <w:r w:rsidRPr="00A833D2">
        <w:rPr>
          <w:rFonts w:ascii="Times New Roman" w:hAnsi="Times New Roman" w:cs="Times New Roman"/>
          <w:sz w:val="24"/>
          <w:szCs w:val="24"/>
        </w:rPr>
        <w:t>.</w:t>
      </w:r>
    </w:p>
    <w:p w14:paraId="7D615845" w14:textId="4D517A1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F5B59" w:rsidRPr="00A833D2">
        <w:rPr>
          <w:rFonts w:ascii="Times New Roman" w:hAnsi="Times New Roman" w:cs="Times New Roman"/>
          <w:sz w:val="24"/>
          <w:szCs w:val="24"/>
        </w:rPr>
        <w:t xml:space="preserve"> Refer to citations for responses to LRC</w:t>
      </w:r>
      <w:r w:rsidR="00E20849" w:rsidRPr="00A833D2">
        <w:rPr>
          <w:rFonts w:ascii="Times New Roman" w:hAnsi="Times New Roman" w:cs="Times New Roman"/>
          <w:sz w:val="24"/>
          <w:szCs w:val="24"/>
        </w:rPr>
        <w:t>’</w:t>
      </w:r>
      <w:r w:rsidR="00BF5B59" w:rsidRPr="00A833D2">
        <w:rPr>
          <w:rFonts w:ascii="Times New Roman" w:hAnsi="Times New Roman" w:cs="Times New Roman"/>
          <w:sz w:val="24"/>
          <w:szCs w:val="24"/>
        </w:rPr>
        <w:t>s ninth ground of appeal (see Resolution No. 2016-</w:t>
      </w:r>
      <w:r w:rsidR="00BF5B59" w:rsidRPr="00A833D2">
        <w:rPr>
          <w:rFonts w:ascii="Times New Roman" w:hAnsi="Times New Roman" w:cs="Times New Roman"/>
          <w:sz w:val="24"/>
          <w:szCs w:val="24"/>
          <w:highlight w:val="yellow"/>
        </w:rPr>
        <w:t>_____</w:t>
      </w:r>
      <w:r w:rsidR="00BF5B59" w:rsidRPr="00A833D2">
        <w:rPr>
          <w:rFonts w:ascii="Times New Roman" w:hAnsi="Times New Roman" w:cs="Times New Roman"/>
          <w:sz w:val="24"/>
          <w:szCs w:val="24"/>
        </w:rPr>
        <w:t>).</w:t>
      </w:r>
    </w:p>
    <w:p w14:paraId="1A8453B1" w14:textId="1F0D128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second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18B7442"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w:t>
      </w:r>
      <w:r w:rsidRPr="00A833D2">
        <w:rPr>
          <w:rFonts w:ascii="Times New Roman" w:hAnsi="Times New Roman" w:cs="Times New Roman"/>
          <w:b/>
          <w:sz w:val="24"/>
          <w:szCs w:val="24"/>
        </w:rPr>
        <w:tab/>
        <w:t>Third Ground of Appeal.</w:t>
      </w:r>
    </w:p>
    <w:p w14:paraId="3DF7E257" w14:textId="2A29BFE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mischaracterizes the hydraulic connection between groundwater to be pumped for the Project and groundwater in the Milliken Sarco Tulocay (</w:t>
      </w:r>
      <w:r w:rsidR="00E20849" w:rsidRPr="00A833D2">
        <w:rPr>
          <w:rFonts w:ascii="Times New Roman" w:hAnsi="Times New Roman" w:cs="Times New Roman"/>
          <w:sz w:val="24"/>
          <w:szCs w:val="24"/>
        </w:rPr>
        <w:t>“</w:t>
      </w:r>
      <w:r w:rsidR="001E6E7F" w:rsidRPr="00A833D2">
        <w:rPr>
          <w:rFonts w:ascii="Times New Roman" w:hAnsi="Times New Roman" w:cs="Times New Roman"/>
          <w:sz w:val="24"/>
          <w:szCs w:val="24"/>
        </w:rPr>
        <w:t>MST</w:t>
      </w:r>
      <w:r w:rsidR="00E20849" w:rsidRPr="00A833D2">
        <w:rPr>
          <w:rFonts w:ascii="Times New Roman" w:hAnsi="Times New Roman" w:cs="Times New Roman"/>
          <w:sz w:val="24"/>
          <w:szCs w:val="24"/>
        </w:rPr>
        <w:t>”</w:t>
      </w:r>
      <w:r w:rsidR="001E6E7F" w:rsidRPr="00A833D2">
        <w:rPr>
          <w:rFonts w:ascii="Times New Roman" w:hAnsi="Times New Roman" w:cs="Times New Roman"/>
          <w:sz w:val="24"/>
          <w:szCs w:val="24"/>
        </w:rPr>
        <w:t>) Groundwater Deficient Area. Appellant claims that the EIR improperly locates the Project outside the MST and thus inadequately analyzes groundwater supply and recharge rates. The EIR claims there is no hydraulic connection between the Project site and the MST study area, but USGS studies show that at least the southwest third of the project site is in the MST basin and the four proposed wells are located in the MST basin. Therefore, the conclusions in the EIR relating to groundwater supply are not based on the correct assumptions.</w:t>
      </w:r>
    </w:p>
    <w:p w14:paraId="69B2FFB1"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71910769" w14:textId="0C878588" w:rsidR="00BF5B59"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tenth ground of appeal (see Resolution No. 2016</w:t>
      </w:r>
      <w:r w:rsidR="00446411" w:rsidRPr="00A833D2">
        <w:rPr>
          <w:rFonts w:ascii="Times New Roman" w:hAnsi="Times New Roman" w:cs="Times New Roman"/>
          <w:sz w:val="24"/>
          <w:szCs w:val="24"/>
          <w:highlight w:val="yellow"/>
        </w:rPr>
        <w:t>-____)</w:t>
      </w:r>
      <w:r w:rsidR="00446411"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regarding the lack of connection between the Sonoma Volcanics on the project site to the MST </w:t>
      </w:r>
      <w:r w:rsidRPr="00A833D2">
        <w:rPr>
          <w:rFonts w:ascii="Times New Roman" w:hAnsi="Times New Roman" w:cs="Times New Roman"/>
          <w:sz w:val="24"/>
          <w:szCs w:val="24"/>
        </w:rPr>
        <w:lastRenderedPageBreak/>
        <w:t>groundwater deficient area. The southwest third of the Walt Ranch property is located within the Milliken Creek watershed (surface water drainage area), not the MST groundwater area.</w:t>
      </w:r>
    </w:p>
    <w:p w14:paraId="36C91E1A" w14:textId="00E27CD3" w:rsidR="003920FA" w:rsidRPr="00A833D2" w:rsidRDefault="00BF5B59"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3920FA" w:rsidRPr="00A833D2">
        <w:rPr>
          <w:rFonts w:ascii="Times New Roman" w:hAnsi="Times New Roman" w:cs="Times New Roman"/>
          <w:b/>
          <w:sz w:val="24"/>
          <w:szCs w:val="24"/>
          <w:u w:val="single"/>
        </w:rPr>
        <w:t>Citations</w:t>
      </w:r>
      <w:r w:rsidR="003920FA"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tenth ground of appeal (see Resolution No. 2016</w:t>
      </w:r>
      <w:r w:rsidR="00446411" w:rsidRPr="00A833D2">
        <w:rPr>
          <w:rFonts w:ascii="Times New Roman" w:hAnsi="Times New Roman" w:cs="Times New Roman"/>
          <w:sz w:val="24"/>
          <w:szCs w:val="24"/>
          <w:highlight w:val="yellow"/>
        </w:rPr>
        <w:t>-____)</w:t>
      </w:r>
    </w:p>
    <w:p w14:paraId="5C94A4E9" w14:textId="7A6EE16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D8753D6"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4.</w:t>
      </w:r>
      <w:r w:rsidRPr="00A833D2">
        <w:rPr>
          <w:rFonts w:ascii="Times New Roman" w:hAnsi="Times New Roman" w:cs="Times New Roman"/>
          <w:b/>
          <w:sz w:val="24"/>
          <w:szCs w:val="24"/>
        </w:rPr>
        <w:tab/>
        <w:t>Fourth Ground of Appeal.</w:t>
      </w:r>
    </w:p>
    <w:p w14:paraId="5BA826BC" w14:textId="6900237B"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EIR mischaracterizes the direction of groundwater flow.</w:t>
      </w:r>
    </w:p>
    <w:p w14:paraId="5CE2ED03"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08AB6974" w14:textId="453CC587"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eleventh ground of appeal (see Resolution No. 2016</w:t>
      </w:r>
      <w:r w:rsidR="00446411" w:rsidRPr="00A833D2">
        <w:rPr>
          <w:rFonts w:ascii="Times New Roman" w:hAnsi="Times New Roman" w:cs="Times New Roman"/>
          <w:sz w:val="24"/>
          <w:szCs w:val="24"/>
          <w:highlight w:val="yellow"/>
        </w:rPr>
        <w:t>-____).</w:t>
      </w:r>
    </w:p>
    <w:p w14:paraId="32F9470E" w14:textId="15A8B16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eleventh ground of appeal (see Resolution No. 2016</w:t>
      </w:r>
      <w:r w:rsidR="00446411" w:rsidRPr="00A833D2">
        <w:rPr>
          <w:rFonts w:ascii="Times New Roman" w:hAnsi="Times New Roman" w:cs="Times New Roman"/>
          <w:sz w:val="24"/>
          <w:szCs w:val="24"/>
          <w:highlight w:val="yellow"/>
        </w:rPr>
        <w:t>-____).</w:t>
      </w:r>
    </w:p>
    <w:p w14:paraId="2027BB9B" w14:textId="26C2512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fourth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F54E2C8"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5.</w:t>
      </w:r>
      <w:r w:rsidRPr="00A833D2">
        <w:rPr>
          <w:rFonts w:ascii="Times New Roman" w:hAnsi="Times New Roman" w:cs="Times New Roman"/>
          <w:b/>
          <w:sz w:val="24"/>
          <w:szCs w:val="24"/>
        </w:rPr>
        <w:tab/>
        <w:t>Fifth Ground of Appeal.</w:t>
      </w:r>
    </w:p>
    <w:p w14:paraId="668CD258" w14:textId="7D769918"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adequately analyze and account for impacts to increased stream sedimentation in the Napa River drainage or provide for adequate mitigation. Appellant claims the EIR fails to adequately consider the potential for stormwater runoff to contribute pesticides, nutrients and trace metals (boron and mercury) during operation of the Project. There is no substantiation of the claim that the mitigation measures would filter sediments, agricultural chemicals, and nutrients to a less-than-significant level.</w:t>
      </w:r>
    </w:p>
    <w:p w14:paraId="436E62F2"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3AA2DFAD" w14:textId="18568D3E" w:rsidR="001E6E7F"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Baseline water quality is discussed in Section 4.6.1-2 (page 4.6-8 through 4.6-11) of the EIR, which provides a detailed description of the following water quality constituents</w:t>
      </w:r>
      <w:r w:rsidR="00446411" w:rsidRPr="00A833D2">
        <w:rPr>
          <w:rFonts w:ascii="Times New Roman" w:hAnsi="Times New Roman" w:cs="Times New Roman"/>
          <w:sz w:val="24"/>
          <w:szCs w:val="24"/>
        </w:rPr>
        <w:t xml:space="preserve"> </w:t>
      </w:r>
      <w:r w:rsidRPr="00A833D2">
        <w:rPr>
          <w:rFonts w:ascii="Times New Roman" w:hAnsi="Times New Roman" w:cs="Times New Roman"/>
          <w:sz w:val="24"/>
          <w:szCs w:val="24"/>
        </w:rPr>
        <w:t>relevant to the Walt Ranch property and downstream watersheds:</w:t>
      </w:r>
    </w:p>
    <w:p w14:paraId="156BD41B"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Sediment Loading. </w:t>
      </w:r>
      <w:r w:rsidRPr="00A833D2">
        <w:rPr>
          <w:rFonts w:ascii="Times New Roman" w:hAnsi="Times New Roman" w:cs="Times New Roman"/>
          <w:sz w:val="24"/>
          <w:szCs w:val="24"/>
        </w:rPr>
        <w:t>The Napa River watershed is listed for sediment loading and a Total Maximum Daily Load (TMDL) has been developed by the San Francisco Bay Regional Water Quality Control Board (RWQCB). The Capell Creek watershed is not listed for sediment loading;</w:t>
      </w:r>
    </w:p>
    <w:p w14:paraId="64B4C4A2"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Temperature. </w:t>
      </w:r>
      <w:r w:rsidRPr="00A833D2">
        <w:rPr>
          <w:rFonts w:ascii="Times New Roman" w:hAnsi="Times New Roman" w:cs="Times New Roman"/>
          <w:sz w:val="24"/>
          <w:szCs w:val="24"/>
        </w:rPr>
        <w:t>The Napa River watershed is listed for temperature constraints because it provides habitat for cold-water listed fishes. The Capell Creek watershed is not listed for temperature;</w:t>
      </w:r>
    </w:p>
    <w:p w14:paraId="05E856DE"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Nutrients. </w:t>
      </w:r>
      <w:r w:rsidRPr="00A833D2">
        <w:rPr>
          <w:rFonts w:ascii="Times New Roman" w:hAnsi="Times New Roman" w:cs="Times New Roman"/>
          <w:sz w:val="24"/>
          <w:szCs w:val="24"/>
        </w:rPr>
        <w:t xml:space="preserve">The Napa River watershed is listed for nutrient pollution such as phosphorus and nitrogen. However, given improving water quality in the non-tidal portions of the Napa River, the San Francisco Bay RWQCB adopted Resolution No. R2-2014-0006 on </w:t>
      </w:r>
      <w:r w:rsidRPr="00A833D2">
        <w:rPr>
          <w:rFonts w:ascii="Times New Roman" w:hAnsi="Times New Roman" w:cs="Times New Roman"/>
          <w:sz w:val="24"/>
          <w:szCs w:val="24"/>
        </w:rPr>
        <w:lastRenderedPageBreak/>
        <w:t>February 12, 2014 to delist the non-tidal Napa River for nutrients. The Capell Creek watershed is not listed for nutrients;</w:t>
      </w:r>
    </w:p>
    <w:p w14:paraId="3D593839"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Pathogens. </w:t>
      </w:r>
      <w:r w:rsidRPr="00A833D2">
        <w:rPr>
          <w:rFonts w:ascii="Times New Roman" w:hAnsi="Times New Roman" w:cs="Times New Roman"/>
          <w:sz w:val="24"/>
          <w:szCs w:val="24"/>
        </w:rPr>
        <w:t>The Napa River watershed is listed for pathogens and a TMDL has been developed by the RWQCB. Onsite waters have a low potential for increased levels of pathogens due to the halting of livestock grazing on the property. The Capell Creek watershed is not listed for pathogens; and</w:t>
      </w:r>
    </w:p>
    <w:p w14:paraId="6F6940EF" w14:textId="4FE57038"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Metals/Metalloids. </w:t>
      </w:r>
      <w:r w:rsidRPr="00A833D2">
        <w:rPr>
          <w:rFonts w:ascii="Times New Roman" w:hAnsi="Times New Roman" w:cs="Times New Roman"/>
          <w:sz w:val="24"/>
          <w:szCs w:val="24"/>
        </w:rPr>
        <w:t>The Putah Creek and Lake Berryessa watersheds are listed for metals/metalloids, specifically mercury and boron. The Milliken Creek/Napa River watershed are not listed for metals.</w:t>
      </w:r>
    </w:p>
    <w:p w14:paraId="33ED0FE7" w14:textId="77777777" w:rsidR="001E6E7F"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Numerous mitigation measures throughout the EIR are designed to be protective of water quality in order to ensure the Walt Ranch Project does not result in increases in sediment, temperature, or nutrient loading (Milliken Creek watershed) or metals/metalloid loading (Capell Creek watershed). As clarified in the Final EIR, the following mitigation measures will be protective of water quality:</w:t>
      </w:r>
      <w:r w:rsidR="003920FA" w:rsidRPr="00A833D2">
        <w:rPr>
          <w:rFonts w:ascii="Times New Roman" w:hAnsi="Times New Roman" w:cs="Times New Roman"/>
          <w:sz w:val="24"/>
          <w:szCs w:val="24"/>
        </w:rPr>
        <w:tab/>
      </w:r>
    </w:p>
    <w:p w14:paraId="2887ED28"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4.2-4: Maintain appropriate stream and wetland buffers</w:t>
      </w:r>
    </w:p>
    <w:p w14:paraId="01A1E204"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4.4-1: No net increase in sedimentation</w:t>
      </w:r>
    </w:p>
    <w:p w14:paraId="3A6855B2"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4.5-1: Create and follow a Hazardous Materials Business Plan (HMBP)</w:t>
      </w:r>
    </w:p>
    <w:p w14:paraId="4FAC67E1"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4.5-2: Follow all Standard Operating Procedures (SOPs) for vineyard equipment</w:t>
      </w:r>
    </w:p>
    <w:p w14:paraId="2419FC5B"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4.5-3: Restrictions on chemical mixing and mix water</w:t>
      </w:r>
    </w:p>
    <w:p w14:paraId="13F2EBD4"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4.5-4: Restrictions on application of agrichemicals</w:t>
      </w:r>
    </w:p>
    <w:p w14:paraId="694DE367"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4.5-5: Restrictions on use and storage of oils</w:t>
      </w:r>
    </w:p>
    <w:p w14:paraId="6C19D9E1"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4.6-2: Upgrade rocked water crossings prior to use</w:t>
      </w:r>
    </w:p>
    <w:p w14:paraId="36C8896B" w14:textId="1ED1E8CC" w:rsidR="001E6E7F"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sz w:val="24"/>
          <w:szCs w:val="24"/>
        </w:rPr>
        <w:t>Furthermore, in addition to these protective measures for water quality that mitigate potential impacts to less than significant levels, the Applicant has been working with the City of Napa, independently of the EIR process, to voluntarily develop a surface water monitoring plan to address the City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concerns regarding potential water quality impacts. A Condition of Approval requiring the implementation of the Water Quality Monitoring Plan was added to the Updated MMRP and as Condition of Approval No. 10.</w:t>
      </w:r>
    </w:p>
    <w:p w14:paraId="464CB14D" w14:textId="5A719644" w:rsidR="003920FA"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003920FA" w:rsidRPr="00A833D2">
        <w:rPr>
          <w:rFonts w:ascii="Times New Roman" w:hAnsi="Times New Roman" w:cs="Times New Roman"/>
          <w:b/>
          <w:sz w:val="24"/>
          <w:szCs w:val="24"/>
          <w:u w:val="single"/>
        </w:rPr>
        <w:t>Citations</w:t>
      </w:r>
      <w:r w:rsidR="003920FA"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EIR, Section 4.6.1-2; Mitigation Measures 4.2-4, 4.4-1, 4.5-1, 4.5-2, 4.5-3</w:t>
      </w:r>
      <w:r w:rsidR="008E4480" w:rsidRPr="00A833D2">
        <w:rPr>
          <w:rFonts w:ascii="Times New Roman" w:hAnsi="Times New Roman" w:cs="Times New Roman"/>
          <w:sz w:val="24"/>
          <w:szCs w:val="24"/>
        </w:rPr>
        <w:t xml:space="preserve">, 4.5-4, 4.5-5, 4.6-2; County Staff Presentations, Board of Supervisors </w:t>
      </w:r>
      <w:r w:rsidR="00B26259" w:rsidRPr="00A833D2">
        <w:rPr>
          <w:rFonts w:ascii="Times New Roman" w:hAnsi="Times New Roman" w:cs="Times New Roman"/>
          <w:sz w:val="24"/>
          <w:szCs w:val="24"/>
        </w:rPr>
        <w:t xml:space="preserve">November 18 and December 6, 2016, </w:t>
      </w:r>
      <w:r w:rsidR="008E4480" w:rsidRPr="00A833D2">
        <w:rPr>
          <w:rFonts w:ascii="Times New Roman" w:hAnsi="Times New Roman" w:cs="Times New Roman"/>
          <w:sz w:val="24"/>
          <w:szCs w:val="24"/>
        </w:rPr>
        <w:t>Meetings.</w:t>
      </w:r>
    </w:p>
    <w:p w14:paraId="073AB23D" w14:textId="2AF9909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fifth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1D48AC6"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6.</w:t>
      </w:r>
      <w:r w:rsidRPr="00A833D2">
        <w:rPr>
          <w:rFonts w:ascii="Times New Roman" w:hAnsi="Times New Roman" w:cs="Times New Roman"/>
          <w:b/>
          <w:sz w:val="24"/>
          <w:szCs w:val="24"/>
        </w:rPr>
        <w:tab/>
        <w:t>Sixth Ground of Appeal.</w:t>
      </w:r>
    </w:p>
    <w:p w14:paraId="01DCCC1D" w14:textId="3923DFA4"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analyze the significance of increased channel erosion and sediment production caused by increases in peak runoff caused by installing engineered drainage structures. Appellant argues that the EIR inadequately analyzes the runoff rates caused by the drainage elements incorporated into the Erosion Control Plan. The surface drains, subdrains and utility corridors proposed by the Project </w:t>
      </w:r>
      <w:r w:rsidR="001E6E7F" w:rsidRPr="00A833D2">
        <w:rPr>
          <w:rFonts w:ascii="Times New Roman" w:hAnsi="Times New Roman" w:cs="Times New Roman"/>
          <w:sz w:val="24"/>
          <w:szCs w:val="24"/>
        </w:rPr>
        <w:lastRenderedPageBreak/>
        <w:t>will intentionally and unintentionally concentrate and accelerate runoff off and through proposed vineyard blocks. The potential future impacts from changes in stormwater runoff have not been fully evaluated and presented in the EIR.</w:t>
      </w:r>
    </w:p>
    <w:p w14:paraId="0E8F2385"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24525487" w14:textId="3F490F33"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twenty-fourth ground of appeal (see Resolution No. 2016</w:t>
      </w:r>
      <w:r w:rsidR="00446411" w:rsidRPr="00A833D2">
        <w:rPr>
          <w:rFonts w:ascii="Times New Roman" w:hAnsi="Times New Roman" w:cs="Times New Roman"/>
          <w:sz w:val="24"/>
          <w:szCs w:val="24"/>
          <w:highlight w:val="yellow"/>
        </w:rPr>
        <w:t>-____).</w:t>
      </w:r>
    </w:p>
    <w:p w14:paraId="058173CC" w14:textId="4CDBBE64"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to response to 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twenty-fourth ground of appeal (see Resolution No. 2016</w:t>
      </w:r>
      <w:r w:rsidR="00446411" w:rsidRPr="00A833D2">
        <w:rPr>
          <w:rFonts w:ascii="Times New Roman" w:hAnsi="Times New Roman" w:cs="Times New Roman"/>
          <w:sz w:val="24"/>
          <w:szCs w:val="24"/>
          <w:highlight w:val="yellow"/>
        </w:rPr>
        <w:t>-____).</w:t>
      </w:r>
    </w:p>
    <w:p w14:paraId="524407CA" w14:textId="6B66336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sixth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6EBB072"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7.</w:t>
      </w:r>
      <w:r w:rsidRPr="00A833D2">
        <w:rPr>
          <w:rFonts w:ascii="Times New Roman" w:hAnsi="Times New Roman" w:cs="Times New Roman"/>
          <w:b/>
          <w:sz w:val="24"/>
          <w:szCs w:val="24"/>
        </w:rPr>
        <w:tab/>
        <w:t>Seventh Ground of Appeal.</w:t>
      </w:r>
    </w:p>
    <w:p w14:paraId="6ADCB3A4" w14:textId="25C91A07"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adequately analyze and provide mitigation for impacts related to groundwater resources.</w:t>
      </w:r>
    </w:p>
    <w:p w14:paraId="2FE49D8E"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707D178A" w14:textId="06F669B4"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fifth and eighteenth grounds of appeal (see Resolution No. 2016</w:t>
      </w:r>
      <w:r w:rsidR="00446411"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p>
    <w:p w14:paraId="09FD09DD" w14:textId="13FDBBC4"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fifth and eighteenth grounds of appeal (see Resolution No. 2016</w:t>
      </w:r>
      <w:r w:rsidR="00446411" w:rsidRPr="00A833D2">
        <w:rPr>
          <w:rFonts w:ascii="Times New Roman" w:hAnsi="Times New Roman" w:cs="Times New Roman"/>
          <w:sz w:val="24"/>
          <w:szCs w:val="24"/>
          <w:highlight w:val="yellow"/>
        </w:rPr>
        <w:t>-____).</w:t>
      </w:r>
    </w:p>
    <w:p w14:paraId="4B701929" w14:textId="440E8E9D"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6820460"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8.</w:t>
      </w:r>
      <w:r w:rsidRPr="00A833D2">
        <w:rPr>
          <w:rFonts w:ascii="Times New Roman" w:hAnsi="Times New Roman" w:cs="Times New Roman"/>
          <w:b/>
          <w:sz w:val="24"/>
          <w:szCs w:val="24"/>
        </w:rPr>
        <w:tab/>
        <w:t>Eighth Ground of Appeal.</w:t>
      </w:r>
    </w:p>
    <w:p w14:paraId="64EE9F7B" w14:textId="7DCEE23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analyze the significance of pumping more groundwater than is recharged on-site on local groundwater supplies.</w:t>
      </w:r>
    </w:p>
    <w:p w14:paraId="31690BE6"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25FA44B5" w14:textId="2F8A1C19"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thirteenth ground of appeal (see Resolution No. 2016</w:t>
      </w:r>
      <w:r w:rsidR="00446411"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p>
    <w:p w14:paraId="0D2A988B" w14:textId="12346251"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thirteenth ground of appeal (see Resolution No. 2016</w:t>
      </w:r>
      <w:r w:rsidR="00446411" w:rsidRPr="00A833D2">
        <w:rPr>
          <w:rFonts w:ascii="Times New Roman" w:hAnsi="Times New Roman" w:cs="Times New Roman"/>
          <w:sz w:val="24"/>
          <w:szCs w:val="24"/>
          <w:highlight w:val="yellow"/>
        </w:rPr>
        <w:t>-____).</w:t>
      </w:r>
    </w:p>
    <w:p w14:paraId="362AB63B" w14:textId="3C4293C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eighth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F9DD5F2"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9.</w:t>
      </w:r>
      <w:r w:rsidRPr="00A833D2">
        <w:rPr>
          <w:rFonts w:ascii="Times New Roman" w:hAnsi="Times New Roman" w:cs="Times New Roman"/>
          <w:b/>
          <w:sz w:val="24"/>
          <w:szCs w:val="24"/>
        </w:rPr>
        <w:tab/>
        <w:t>Ninth Ground of Appeal.</w:t>
      </w:r>
    </w:p>
    <w:p w14:paraId="05255698" w14:textId="4835FCB8"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Mitigation Measure 4.6-4 concerning impacts to groundwater resources is vague and unenforceable and unlawfully defers </w:t>
      </w:r>
      <w:r w:rsidR="001E6E7F" w:rsidRPr="00A833D2">
        <w:rPr>
          <w:rFonts w:ascii="Times New Roman" w:hAnsi="Times New Roman" w:cs="Times New Roman"/>
          <w:sz w:val="24"/>
          <w:szCs w:val="24"/>
        </w:rPr>
        <w:lastRenderedPageBreak/>
        <w:t>the analysis and development of further mitigation measures until after Project approval. Relative to the impact analysis concerning the Circle Oaks wells, the sufficiency of the annual water supply is not determinative, rather the issue concerns whether there is sufficient availability of water for Walt Ranch, together with the adjacent well use, during the months when Walt Ranch proposes its heaviest demand. Appellant claims the analysis conducted for the drawdown of COCWD wells was not conducted over a long enough period to accurately determine the total effect, given the slow rate of water transfer in the existing cracked volcanic rock, and testing was not conducted to determine the effects vineyard ground seepage and/or runoff would have on the water COCWD receives from the horizontal piping.</w:t>
      </w:r>
    </w:p>
    <w:p w14:paraId="0477C91C"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610039" w:rsidRPr="00A833D2">
        <w:rPr>
          <w:rFonts w:ascii="Times New Roman" w:hAnsi="Times New Roman" w:cs="Times New Roman"/>
          <w:sz w:val="24"/>
          <w:szCs w:val="24"/>
        </w:rPr>
        <w:t xml:space="preserve"> Board finds and determines as follows:</w:t>
      </w:r>
    </w:p>
    <w:p w14:paraId="026ADA05" w14:textId="1594F932" w:rsidR="00610039" w:rsidRPr="00A833D2" w:rsidRDefault="0061003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response to </w:t>
      </w:r>
      <w:r w:rsidR="00446411"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theoretical monitoring points that coincided with the estimated locations of the COCWD vertical and horizontal wells were included in the pumping test analysis. The inclusion of these monitoring points by RCS was specifically to address a lack of response from COCWD to RCS inquiries in advance of the pumping tests. Further, once the actual locations of the COCWD wells were provided to RCS, the theoretical modeling was revised as described on page 29 of the 2015 RCS Report.</w:t>
      </w:r>
      <w:r w:rsidR="00446411" w:rsidRPr="00A833D2">
        <w:rPr>
          <w:rFonts w:ascii="Times New Roman" w:hAnsi="Times New Roman" w:cs="Times New Roman"/>
          <w:sz w:val="24"/>
          <w:szCs w:val="24"/>
        </w:rPr>
        <w:t xml:space="preserve"> R</w:t>
      </w:r>
      <w:r w:rsidRPr="00A833D2">
        <w:rPr>
          <w:rFonts w:ascii="Times New Roman" w:hAnsi="Times New Roman" w:cs="Times New Roman"/>
          <w:sz w:val="24"/>
          <w:szCs w:val="24"/>
        </w:rPr>
        <w:t xml:space="preserve">efer to response to </w:t>
      </w:r>
      <w:r w:rsidR="00BA3067"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3067" w:rsidRPr="00A833D2">
        <w:rPr>
          <w:rFonts w:ascii="Times New Roman" w:hAnsi="Times New Roman" w:cs="Times New Roman"/>
          <w:sz w:val="24"/>
          <w:szCs w:val="24"/>
        </w:rPr>
        <w:t>s eighteenth ground of appeal</w:t>
      </w:r>
      <w:r w:rsidRPr="00A833D2">
        <w:rPr>
          <w:rFonts w:ascii="Times New Roman" w:hAnsi="Times New Roman" w:cs="Times New Roman"/>
          <w:sz w:val="24"/>
          <w:szCs w:val="24"/>
        </w:rPr>
        <w:t xml:space="preserve"> </w:t>
      </w:r>
      <w:r w:rsidR="00BA3067" w:rsidRPr="00A833D2">
        <w:rPr>
          <w:rFonts w:ascii="Times New Roman" w:hAnsi="Times New Roman" w:cs="Times New Roman"/>
          <w:sz w:val="24"/>
          <w:szCs w:val="24"/>
        </w:rPr>
        <w:t>(see Resolution No. 2016</w:t>
      </w:r>
      <w:r w:rsidR="00BA3067" w:rsidRPr="00A833D2">
        <w:rPr>
          <w:rFonts w:ascii="Times New Roman" w:hAnsi="Times New Roman" w:cs="Times New Roman"/>
          <w:sz w:val="24"/>
          <w:szCs w:val="24"/>
          <w:highlight w:val="yellow"/>
        </w:rPr>
        <w:t>-____)</w:t>
      </w:r>
      <w:r w:rsidR="00BA3067" w:rsidRPr="00A833D2">
        <w:rPr>
          <w:rFonts w:ascii="Times New Roman" w:hAnsi="Times New Roman" w:cs="Times New Roman"/>
          <w:sz w:val="24"/>
          <w:szCs w:val="24"/>
        </w:rPr>
        <w:t xml:space="preserve"> </w:t>
      </w:r>
      <w:r w:rsidRPr="00A833D2">
        <w:rPr>
          <w:rFonts w:ascii="Times New Roman" w:hAnsi="Times New Roman" w:cs="Times New Roman"/>
          <w:sz w:val="24"/>
          <w:szCs w:val="24"/>
        </w:rPr>
        <w:t>regarding the GWMMP.</w:t>
      </w:r>
    </w:p>
    <w:p w14:paraId="034EE56B" w14:textId="4B580BDE" w:rsidR="00BA3067" w:rsidRPr="00A833D2" w:rsidRDefault="00BA306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In addition, 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583A90B0" w14:textId="28A70F8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610039" w:rsidRPr="00A833D2">
        <w:rPr>
          <w:rFonts w:ascii="Times New Roman" w:hAnsi="Times New Roman" w:cs="Times New Roman"/>
          <w:sz w:val="24"/>
          <w:szCs w:val="24"/>
        </w:rPr>
        <w:t xml:space="preserve"> RCS, 2015, Technical Memorandum Re: Response to Comments on the Walt Ranch Draft EIR, August 13, 2015, included</w:t>
      </w:r>
      <w:r w:rsidR="00BA3067" w:rsidRPr="00A833D2">
        <w:rPr>
          <w:rFonts w:ascii="Times New Roman" w:hAnsi="Times New Roman" w:cs="Times New Roman"/>
          <w:sz w:val="24"/>
          <w:szCs w:val="24"/>
        </w:rPr>
        <w:t xml:space="preserve"> as Appendix Q to the Final EIR; refer to citations for LRC</w:t>
      </w:r>
      <w:r w:rsidR="00E20849" w:rsidRPr="00A833D2">
        <w:rPr>
          <w:rFonts w:ascii="Times New Roman" w:hAnsi="Times New Roman" w:cs="Times New Roman"/>
          <w:sz w:val="24"/>
          <w:szCs w:val="24"/>
        </w:rPr>
        <w:t>’</w:t>
      </w:r>
      <w:r w:rsidR="00BA3067" w:rsidRPr="00A833D2">
        <w:rPr>
          <w:rFonts w:ascii="Times New Roman" w:hAnsi="Times New Roman" w:cs="Times New Roman"/>
          <w:sz w:val="24"/>
          <w:szCs w:val="24"/>
        </w:rPr>
        <w:t>s eighteenth ground of appeal (see Resolution No. 2016</w:t>
      </w:r>
      <w:r w:rsidR="00BA3067" w:rsidRPr="00A833D2">
        <w:rPr>
          <w:rFonts w:ascii="Times New Roman" w:hAnsi="Times New Roman" w:cs="Times New Roman"/>
          <w:sz w:val="24"/>
          <w:szCs w:val="24"/>
          <w:highlight w:val="yellow"/>
        </w:rPr>
        <w:t xml:space="preserve">-____); </w:t>
      </w:r>
      <w:r w:rsidR="00BA3067"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BA3067" w:rsidRPr="00A833D2">
        <w:rPr>
          <w:rFonts w:ascii="Times New Roman" w:hAnsi="Times New Roman" w:cs="Times New Roman"/>
          <w:sz w:val="24"/>
          <w:szCs w:val="24"/>
        </w:rPr>
        <w:t>Meetings; Memorandum from David Morrison and Brian Bordona to Chair Pedroza and Board Members, December 5, 2016.</w:t>
      </w:r>
    </w:p>
    <w:p w14:paraId="59CD837C" w14:textId="7B9B14C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ninth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C3A0AD5"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10.</w:t>
      </w:r>
      <w:r w:rsidRPr="00A833D2">
        <w:rPr>
          <w:rFonts w:ascii="Times New Roman" w:hAnsi="Times New Roman" w:cs="Times New Roman"/>
          <w:b/>
          <w:sz w:val="24"/>
          <w:szCs w:val="24"/>
        </w:rPr>
        <w:tab/>
        <w:t>Tenth Ground of Appeal.</w:t>
      </w:r>
    </w:p>
    <w:p w14:paraId="19BE5E9B" w14:textId="3616CD16"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610039" w:rsidRPr="00A833D2">
        <w:rPr>
          <w:rFonts w:ascii="Times New Roman" w:hAnsi="Times New Roman" w:cs="Times New Roman"/>
          <w:sz w:val="24"/>
          <w:szCs w:val="24"/>
        </w:rPr>
        <w:t xml:space="preserve"> the EIR improperly used the mitigation as a device to avoid disclosing impacts. (</w:t>
      </w:r>
      <w:r w:rsidR="00610039" w:rsidRPr="00A833D2">
        <w:rPr>
          <w:rFonts w:ascii="Times New Roman" w:hAnsi="Times New Roman" w:cs="Times New Roman"/>
          <w:i/>
          <w:iCs/>
          <w:sz w:val="24"/>
          <w:szCs w:val="24"/>
        </w:rPr>
        <w:t>Stanislaus Natural Heritage Project v. County of</w:t>
      </w:r>
      <w:r w:rsidR="00610039" w:rsidRPr="00A833D2">
        <w:rPr>
          <w:rFonts w:ascii="Times New Roman" w:hAnsi="Times New Roman" w:cs="Times New Roman"/>
          <w:sz w:val="24"/>
          <w:szCs w:val="24"/>
        </w:rPr>
        <w:t xml:space="preserve"> </w:t>
      </w:r>
      <w:r w:rsidR="00610039" w:rsidRPr="00A833D2">
        <w:rPr>
          <w:rFonts w:ascii="Times New Roman" w:hAnsi="Times New Roman" w:cs="Times New Roman"/>
          <w:i/>
          <w:iCs/>
          <w:sz w:val="24"/>
          <w:szCs w:val="24"/>
        </w:rPr>
        <w:t xml:space="preserve">Stanislaus </w:t>
      </w:r>
      <w:r w:rsidR="00610039" w:rsidRPr="00A833D2">
        <w:rPr>
          <w:rFonts w:ascii="Times New Roman" w:hAnsi="Times New Roman" w:cs="Times New Roman"/>
          <w:sz w:val="24"/>
          <w:szCs w:val="24"/>
        </w:rPr>
        <w:t>(1996) 48 Cal.App.</w:t>
      </w:r>
      <w:r w:rsidR="00BA3067" w:rsidRPr="00A833D2">
        <w:rPr>
          <w:rFonts w:ascii="Times New Roman" w:hAnsi="Times New Roman" w:cs="Times New Roman"/>
          <w:sz w:val="24"/>
          <w:szCs w:val="24"/>
        </w:rPr>
        <w:t xml:space="preserve">4th </w:t>
      </w:r>
      <w:r w:rsidR="00610039" w:rsidRPr="00A833D2">
        <w:rPr>
          <w:rFonts w:ascii="Times New Roman" w:hAnsi="Times New Roman" w:cs="Times New Roman"/>
          <w:sz w:val="24"/>
          <w:szCs w:val="24"/>
        </w:rPr>
        <w:t>182, 195-196.)</w:t>
      </w:r>
    </w:p>
    <w:p w14:paraId="37400FE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610039" w:rsidRPr="00A833D2">
        <w:rPr>
          <w:rFonts w:ascii="Times New Roman" w:hAnsi="Times New Roman" w:cs="Times New Roman"/>
          <w:sz w:val="24"/>
          <w:szCs w:val="24"/>
        </w:rPr>
        <w:t xml:space="preserve"> Board finds and determines as follows:</w:t>
      </w:r>
    </w:p>
    <w:p w14:paraId="2FAE5E6B" w14:textId="0F8E5D57" w:rsidR="00610039" w:rsidRPr="00A833D2" w:rsidRDefault="0061003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4F2023" w:rsidRPr="00A833D2">
        <w:rPr>
          <w:rFonts w:ascii="Times New Roman" w:hAnsi="Times New Roman" w:cs="Times New Roman"/>
          <w:sz w:val="24"/>
          <w:szCs w:val="24"/>
        </w:rPr>
        <w:t xml:space="preserve">As discussed further in the response to </w:t>
      </w:r>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 thirteenth ground of appeal (see Resolution No. 2016</w:t>
      </w:r>
      <w:r w:rsidR="00BA2A76" w:rsidRPr="00A833D2">
        <w:rPr>
          <w:rFonts w:ascii="Times New Roman" w:hAnsi="Times New Roman" w:cs="Times New Roman"/>
          <w:sz w:val="24"/>
          <w:szCs w:val="24"/>
          <w:highlight w:val="yellow"/>
        </w:rPr>
        <w:t>-____)</w:t>
      </w:r>
      <w:r w:rsidR="004F2023" w:rsidRPr="00A833D2">
        <w:rPr>
          <w:rFonts w:ascii="Times New Roman" w:hAnsi="Times New Roman" w:cs="Times New Roman"/>
          <w:sz w:val="24"/>
          <w:szCs w:val="24"/>
          <w:highlight w:val="yellow"/>
        </w:rPr>
        <w:t>,</w:t>
      </w:r>
      <w:r w:rsidR="004F2023" w:rsidRPr="00A833D2">
        <w:rPr>
          <w:rFonts w:ascii="Times New Roman" w:hAnsi="Times New Roman" w:cs="Times New Roman"/>
          <w:sz w:val="24"/>
          <w:szCs w:val="24"/>
        </w:rPr>
        <w:t xml:space="preserve"> the EIR did not attempt to ignore potentially significant impacts due to groundwater pumping. Impact 4.6-4 of the EIR clearly states that the </w:t>
      </w:r>
      <w:r w:rsidR="00E20849" w:rsidRPr="00A833D2">
        <w:rPr>
          <w:rFonts w:ascii="Times New Roman" w:hAnsi="Times New Roman" w:cs="Times New Roman"/>
          <w:sz w:val="24"/>
          <w:szCs w:val="24"/>
        </w:rPr>
        <w:t>“</w:t>
      </w:r>
      <w:r w:rsidR="004F2023" w:rsidRPr="00A833D2">
        <w:rPr>
          <w:rFonts w:ascii="Times New Roman" w:hAnsi="Times New Roman" w:cs="Times New Roman"/>
          <w:sz w:val="24"/>
          <w:szCs w:val="24"/>
        </w:rPr>
        <w:t xml:space="preserve">effects to groundwater levels could cause drawdown in offsite wells, and if this drawdown interference were to be </w:t>
      </w:r>
      <w:r w:rsidR="004F2023" w:rsidRPr="00A833D2">
        <w:rPr>
          <w:rFonts w:ascii="Times New Roman" w:hAnsi="Times New Roman" w:cs="Times New Roman"/>
          <w:sz w:val="24"/>
          <w:szCs w:val="24"/>
        </w:rPr>
        <w:lastRenderedPageBreak/>
        <w:t xml:space="preserve">substantial, the existing pump in the impacted well might become less efficient; if this were to occur, the existing pump might not be able to maintain its normal operational pumping rate. </w:t>
      </w:r>
      <w:r w:rsidR="004F2023" w:rsidRPr="00A833D2">
        <w:rPr>
          <w:rFonts w:ascii="Times New Roman" w:hAnsi="Times New Roman" w:cs="Times New Roman"/>
          <w:i/>
          <w:iCs/>
          <w:sz w:val="24"/>
          <w:szCs w:val="24"/>
        </w:rPr>
        <w:t>This would be a significant impact</w:t>
      </w:r>
      <w:r w:rsidR="00E20849" w:rsidRPr="00A833D2">
        <w:rPr>
          <w:rFonts w:ascii="Times New Roman" w:hAnsi="Times New Roman" w:cs="Times New Roman"/>
          <w:sz w:val="24"/>
          <w:szCs w:val="24"/>
        </w:rPr>
        <w:t>”</w:t>
      </w:r>
      <w:r w:rsidR="004F2023" w:rsidRPr="00A833D2">
        <w:rPr>
          <w:rFonts w:ascii="Times New Roman" w:hAnsi="Times New Roman" w:cs="Times New Roman"/>
          <w:sz w:val="24"/>
          <w:szCs w:val="24"/>
        </w:rPr>
        <w:t xml:space="preserve"> (EIR at p. 4.6-43; emphasis added). As such, Mitigation Measure 4.6-4 was required to protect offsite wells from significant impacts due to project-related groundwater pumping. The GWMMP that was developed in accordance with Mitigation Measure 4.6-4 is discussed in more detail in response to </w:t>
      </w:r>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 fifth ground of appeal (see Resolution No. 2016</w:t>
      </w:r>
      <w:r w:rsidR="00BA2A76" w:rsidRPr="00A833D2">
        <w:rPr>
          <w:rFonts w:ascii="Times New Roman" w:hAnsi="Times New Roman" w:cs="Times New Roman"/>
          <w:sz w:val="24"/>
          <w:szCs w:val="24"/>
          <w:highlight w:val="yellow"/>
        </w:rPr>
        <w:t>-____)</w:t>
      </w:r>
      <w:r w:rsidR="004F2023" w:rsidRPr="00A833D2">
        <w:rPr>
          <w:rFonts w:ascii="Times New Roman" w:hAnsi="Times New Roman" w:cs="Times New Roman"/>
          <w:sz w:val="24"/>
          <w:szCs w:val="24"/>
          <w:highlight w:val="yellow"/>
        </w:rPr>
        <w:t>.</w:t>
      </w:r>
    </w:p>
    <w:p w14:paraId="4F68F860" w14:textId="7A4C40C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See citations for responses to 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 fifth and thirteenth grounds of appeal (see Resolution No. 2016</w:t>
      </w:r>
      <w:r w:rsidR="00BA2A76" w:rsidRPr="00A833D2">
        <w:rPr>
          <w:rFonts w:ascii="Times New Roman" w:hAnsi="Times New Roman" w:cs="Times New Roman"/>
          <w:sz w:val="24"/>
          <w:szCs w:val="24"/>
          <w:highlight w:val="yellow"/>
        </w:rPr>
        <w:t>-____);</w:t>
      </w:r>
      <w:r w:rsidR="00BA2A76" w:rsidRPr="00A833D2">
        <w:rPr>
          <w:rFonts w:ascii="Times New Roman" w:hAnsi="Times New Roman" w:cs="Times New Roman"/>
          <w:sz w:val="24"/>
          <w:szCs w:val="24"/>
        </w:rPr>
        <w:t xml:space="preserve"> EIR, Impact </w:t>
      </w:r>
      <w:r w:rsidR="00BA3067" w:rsidRPr="00A833D2">
        <w:rPr>
          <w:rFonts w:ascii="Times New Roman" w:hAnsi="Times New Roman" w:cs="Times New Roman"/>
          <w:sz w:val="24"/>
          <w:szCs w:val="24"/>
        </w:rPr>
        <w:t xml:space="preserve">4.6-4; Mitigation Measure 4.6-4; County Staff Presentations, Board of Supervisors </w:t>
      </w:r>
      <w:r w:rsidR="00B26259" w:rsidRPr="00A833D2">
        <w:rPr>
          <w:rFonts w:ascii="Times New Roman" w:hAnsi="Times New Roman" w:cs="Times New Roman"/>
          <w:sz w:val="24"/>
          <w:szCs w:val="24"/>
        </w:rPr>
        <w:t xml:space="preserve">November 18 and December 6, 2016, </w:t>
      </w:r>
      <w:r w:rsidR="00BA3067" w:rsidRPr="00A833D2">
        <w:rPr>
          <w:rFonts w:ascii="Times New Roman" w:hAnsi="Times New Roman" w:cs="Times New Roman"/>
          <w:sz w:val="24"/>
          <w:szCs w:val="24"/>
        </w:rPr>
        <w:t>Meetings.</w:t>
      </w:r>
    </w:p>
    <w:p w14:paraId="090D5BFC" w14:textId="5BC9391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08E959B"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11.</w:t>
      </w:r>
      <w:r w:rsidRPr="00A833D2">
        <w:rPr>
          <w:rFonts w:ascii="Times New Roman" w:hAnsi="Times New Roman" w:cs="Times New Roman"/>
          <w:b/>
          <w:sz w:val="24"/>
          <w:szCs w:val="24"/>
        </w:rPr>
        <w:tab/>
        <w:t>Eleventh Ground of Appeal.</w:t>
      </w:r>
    </w:p>
    <w:p w14:paraId="590E4AF3" w14:textId="1BC3A82D"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F2023" w:rsidRPr="00A833D2">
        <w:rPr>
          <w:rFonts w:ascii="Times New Roman" w:hAnsi="Times New Roman" w:cs="Times New Roman"/>
          <w:sz w:val="24"/>
          <w:szCs w:val="24"/>
        </w:rPr>
        <w:t xml:space="preserve"> the EIR fails to adequately analyze and provide mitigation for impacts to roads, including road failure, due to Walt Ranch operations. </w:t>
      </w:r>
      <w:r w:rsidR="007A3C4B" w:rsidRPr="00A833D2">
        <w:rPr>
          <w:rFonts w:ascii="Times New Roman" w:hAnsi="Times New Roman" w:cs="Times New Roman"/>
          <w:sz w:val="24"/>
          <w:szCs w:val="24"/>
        </w:rPr>
        <w:t xml:space="preserve">Appellant asserts that </w:t>
      </w:r>
      <w:r w:rsidR="004F2023" w:rsidRPr="00A833D2">
        <w:rPr>
          <w:rFonts w:ascii="Times New Roman" w:hAnsi="Times New Roman" w:cs="Times New Roman"/>
          <w:sz w:val="24"/>
          <w:szCs w:val="24"/>
        </w:rPr>
        <w:t>Mitigation Measure 4.7-4 provides for repaving and damage to sub-surface infrastructure during the construction phase only, it does not address mitigation for road damage to continuing operations of the Project.</w:t>
      </w:r>
    </w:p>
    <w:p w14:paraId="145E3ED8"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F2023" w:rsidRPr="00A833D2">
        <w:rPr>
          <w:rFonts w:ascii="Times New Roman" w:hAnsi="Times New Roman" w:cs="Times New Roman"/>
          <w:sz w:val="24"/>
          <w:szCs w:val="24"/>
        </w:rPr>
        <w:t xml:space="preserve"> Board finds and determines as follows:</w:t>
      </w:r>
    </w:p>
    <w:p w14:paraId="2EAFEC05" w14:textId="6B0B4C6F" w:rsidR="00BA3067"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analyzes impacts to roads in Impact 4.7-4 and Response to Comment O21-091. As discussed therein, the construction period represents the most intensive period of heavy equipment entering and exiting the project site, which is what exacerbates road wear-and-tear. There are significantly fewer large trucks that will be required during the ongoing operations of the Walt Ranch Project when compared to the construction period. Further, the project will not require the same type of heavy equipment deliveries as during the construction phase. The ongoing operation of the project is an agricultural land use that is allowable under the property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AW zoning designation and is in keeping with the rural nature of the area. The use of the County-maintained roads for agricultural transport is consistent with the goals and policies of the Napa County General Plan, and is not significantly different from the existing vineyards in the area. The property owner will pay a fair-share payment for any future wear-and-tear of roads from this typical and expected agricultural use via the ongoing payment of property taxes.</w:t>
      </w:r>
    </w:p>
    <w:p w14:paraId="030B205A" w14:textId="2E846A8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EIR, Impact 4.7-4; Response to Comment O21-091.</w:t>
      </w:r>
    </w:p>
    <w:p w14:paraId="5CE4CD2C" w14:textId="715339B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eleventh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09FFED5"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12.</w:t>
      </w:r>
      <w:r w:rsidRPr="00A833D2">
        <w:rPr>
          <w:rFonts w:ascii="Times New Roman" w:hAnsi="Times New Roman" w:cs="Times New Roman"/>
          <w:b/>
          <w:sz w:val="24"/>
          <w:szCs w:val="24"/>
        </w:rPr>
        <w:tab/>
        <w:t>Twelfth Ground of Appeal.</w:t>
      </w:r>
    </w:p>
    <w:p w14:paraId="0D119CA6" w14:textId="6B8D256B" w:rsidR="00A83A35"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F2023" w:rsidRPr="00A833D2">
        <w:rPr>
          <w:rFonts w:ascii="Times New Roman" w:hAnsi="Times New Roman" w:cs="Times New Roman"/>
          <w:sz w:val="24"/>
          <w:szCs w:val="24"/>
        </w:rPr>
        <w:t xml:space="preserve"> the EIR fails to include review of alternative access ways to the Project; given that the Project may seriously impact the </w:t>
      </w:r>
      <w:r w:rsidR="004F2023" w:rsidRPr="00A833D2">
        <w:rPr>
          <w:rFonts w:ascii="Times New Roman" w:hAnsi="Times New Roman" w:cs="Times New Roman"/>
          <w:sz w:val="24"/>
          <w:szCs w:val="24"/>
        </w:rPr>
        <w:lastRenderedPageBreak/>
        <w:t>roadway and the water and sewer systems of the Circle Oaks community, the EIR must consider ways to avoid or substantially lessen these impacts.</w:t>
      </w:r>
    </w:p>
    <w:p w14:paraId="77B34C4A" w14:textId="77777777" w:rsidR="003920FA" w:rsidRPr="00A833D2" w:rsidRDefault="00A83A35"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3920FA" w:rsidRPr="00A833D2">
        <w:rPr>
          <w:rFonts w:ascii="Times New Roman" w:hAnsi="Times New Roman" w:cs="Times New Roman"/>
          <w:b/>
          <w:sz w:val="24"/>
          <w:szCs w:val="24"/>
          <w:u w:val="single"/>
        </w:rPr>
        <w:t>Findings and Decision</w:t>
      </w:r>
      <w:r w:rsidR="003920FA" w:rsidRPr="00A833D2">
        <w:rPr>
          <w:rFonts w:ascii="Times New Roman" w:hAnsi="Times New Roman" w:cs="Times New Roman"/>
          <w:sz w:val="24"/>
          <w:szCs w:val="24"/>
        </w:rPr>
        <w:t>: The</w:t>
      </w:r>
      <w:r w:rsidR="004F2023" w:rsidRPr="00A833D2">
        <w:rPr>
          <w:rFonts w:ascii="Times New Roman" w:hAnsi="Times New Roman" w:cs="Times New Roman"/>
          <w:sz w:val="24"/>
          <w:szCs w:val="24"/>
        </w:rPr>
        <w:t xml:space="preserve"> Board finds and determines as follows:</w:t>
      </w:r>
    </w:p>
    <w:p w14:paraId="3482B7BB" w14:textId="0465A49E" w:rsidR="004F2023"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To address Circle Oaks residents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concerns, the project added a condition of approval to require that construction equipment be delivered via an alternative access point. Condition of Approval No. 2</w:t>
      </w:r>
      <w:r w:rsidR="00974D5A" w:rsidRPr="00A833D2">
        <w:rPr>
          <w:rFonts w:ascii="Times New Roman" w:hAnsi="Times New Roman" w:cs="Times New Roman"/>
          <w:sz w:val="24"/>
          <w:szCs w:val="24"/>
        </w:rPr>
        <w:t>(a)</w:t>
      </w:r>
      <w:r w:rsidRPr="00A833D2">
        <w:rPr>
          <w:rFonts w:ascii="Times New Roman" w:hAnsi="Times New Roman" w:cs="Times New Roman"/>
          <w:sz w:val="24"/>
          <w:szCs w:val="24"/>
        </w:rPr>
        <w:t xml:space="preserve"> was imposed </w:t>
      </w:r>
      <w:r w:rsidR="00974D5A" w:rsidRPr="00A833D2">
        <w:rPr>
          <w:rFonts w:ascii="Times New Roman" w:hAnsi="Times New Roman" w:cs="Times New Roman"/>
          <w:sz w:val="24"/>
          <w:szCs w:val="24"/>
        </w:rPr>
        <w:t>which adds</w:t>
      </w:r>
      <w:r w:rsidRPr="00A833D2">
        <w:rPr>
          <w:rFonts w:ascii="Times New Roman" w:hAnsi="Times New Roman" w:cs="Times New Roman"/>
          <w:sz w:val="24"/>
          <w:szCs w:val="24"/>
        </w:rPr>
        <w:t xml:space="preserve"> additional traffic restrictions requiring that all construction equipment be routed away from Circle Oaks Drive and through the northernmost access driveway directly off of State Route 121. </w:t>
      </w:r>
      <w:r w:rsidR="00974D5A" w:rsidRPr="00A833D2">
        <w:rPr>
          <w:rFonts w:ascii="Times New Roman" w:hAnsi="Times New Roman" w:cs="Times New Roman"/>
          <w:sz w:val="24"/>
          <w:szCs w:val="24"/>
        </w:rPr>
        <w:t>In addition</w:t>
      </w:r>
      <w:r w:rsidRPr="00A833D2">
        <w:rPr>
          <w:rFonts w:ascii="Times New Roman" w:hAnsi="Times New Roman" w:cs="Times New Roman"/>
          <w:sz w:val="24"/>
          <w:szCs w:val="24"/>
        </w:rPr>
        <w:t xml:space="preserve">, </w:t>
      </w:r>
      <w:r w:rsidR="00974D5A" w:rsidRPr="00A833D2">
        <w:rPr>
          <w:rFonts w:ascii="Times New Roman" w:hAnsi="Times New Roman" w:cs="Times New Roman"/>
          <w:sz w:val="24"/>
          <w:szCs w:val="24"/>
        </w:rPr>
        <w:t>no construction equipment or vehicles weighing greater than 64,000 pounds shall use Circle Oaks Drive</w:t>
      </w:r>
      <w:r w:rsidRPr="00A833D2">
        <w:rPr>
          <w:rFonts w:ascii="Times New Roman" w:hAnsi="Times New Roman" w:cs="Times New Roman"/>
          <w:sz w:val="24"/>
          <w:szCs w:val="24"/>
        </w:rPr>
        <w:t>. This additional Condition of Approval significantly minimizes any potential traffic disruption to the Circle Oaks community or damage to infrastructure.</w:t>
      </w:r>
    </w:p>
    <w:p w14:paraId="15CF5CB9" w14:textId="77777777" w:rsidR="004F2023"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Final EIR correctly identified that developing a new access point may cause new environmental impacts not previously disclosed (see Final EIR General Response 17 at page 4- 32); fortunately, use of the existing access road would not require significant improvements or cause safety hazards. The Applicant would use an existing access road directly off of SR 121 for the delivery of construction equipment; this road may also be utilized for materials deliveries. This existing driveway is the northern-most driveway located on the eastern property boundary, directly adjacent to SR 121 and approximately 1.5 miles southwest of the intersection of SR 121 and SR 128. The existing road network would then be utilized to provide access to the remainder of the Walt Ranch property. The EIR already reviewed the existing and proposed road network and provided mitigation measures to substantially lessen impacts caused by the use of roads on the Walt Ranch property.</w:t>
      </w:r>
    </w:p>
    <w:p w14:paraId="5687C17E" w14:textId="4163CAFA" w:rsidR="00974D5A"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the Walt Ranch Alternative Access Proposed by Applicant memorandum,</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the alternative access route would be upgraded consistent with the Long-Term Road Management Plan provided in Appendix C of the Draft EIR. Commenters pointed out that the EIR was vague in its discussion of why this access point was eliminated; this is because cultural resources locations are not allowed to be disclosed in public CEQA documentation in accordance with Section 304 of the National Historic Preservation Act (16 USC 470w-3) and the Archaeological Resources Protection Act (16 U.S.C. Section 470h). However, the County is able to acknowledge that the resources present in the vicinity of that existing access point would be protected by mitigation measures that are already in place within the EIR (see Mitigation Measures 4.2-1, 4.2-2, 4.2-9, 4.2-10, 4.3-1, and 4.6-2). As such, there are no new significant environmental impacts that would require revision or recirculation of the Draft EIR consistent with CEQA </w:t>
      </w:r>
      <w:r w:rsidRPr="00A833D2">
        <w:rPr>
          <w:rFonts w:ascii="Times New Roman" w:hAnsi="Times New Roman" w:cs="Times New Roman"/>
          <w:iCs/>
          <w:sz w:val="24"/>
          <w:szCs w:val="24"/>
        </w:rPr>
        <w:t>Guidelines</w:t>
      </w:r>
      <w:r w:rsidR="00375789" w:rsidRPr="00A833D2">
        <w:rPr>
          <w:rFonts w:ascii="Times New Roman" w:hAnsi="Times New Roman" w:cs="Times New Roman"/>
          <w:iCs/>
          <w:sz w:val="24"/>
          <w:szCs w:val="24"/>
        </w:rPr>
        <w:t>,</w:t>
      </w:r>
      <w:r w:rsidRPr="00A833D2">
        <w:rPr>
          <w:rFonts w:ascii="Times New Roman" w:hAnsi="Times New Roman" w:cs="Times New Roman"/>
          <w:i/>
          <w:iCs/>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15088.5. Conditions of approval requiring the use of this alternative access for construction equipment delivery and the specific recommendations discussed </w:t>
      </w:r>
      <w:r w:rsidR="00974D5A" w:rsidRPr="00A833D2">
        <w:rPr>
          <w:rFonts w:ascii="Times New Roman" w:hAnsi="Times New Roman" w:cs="Times New Roman"/>
          <w:sz w:val="24"/>
          <w:szCs w:val="24"/>
        </w:rPr>
        <w:t>in Table 2 of the Updated MMRP.</w:t>
      </w:r>
    </w:p>
    <w:p w14:paraId="3116D6BE" w14:textId="288A119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DB3519" w:rsidRPr="00A833D2">
        <w:rPr>
          <w:rFonts w:ascii="Times New Roman" w:hAnsi="Times New Roman" w:cs="Times New Roman"/>
          <w:sz w:val="24"/>
          <w:szCs w:val="24"/>
        </w:rPr>
        <w:t xml:space="preserve"> </w:t>
      </w:r>
      <w:r w:rsidR="00BA2A76" w:rsidRPr="00A833D2">
        <w:rPr>
          <w:rFonts w:ascii="Times New Roman" w:hAnsi="Times New Roman" w:cs="Times New Roman"/>
          <w:sz w:val="24"/>
          <w:szCs w:val="24"/>
        </w:rPr>
        <w:t xml:space="preserve">Final EIR, General Response 17; Mitigation Measures 4.2-1, 4.2-2, 4.2-9, 4.2-10, 4.3-1, and 4.6-2; </w:t>
      </w:r>
      <w:r w:rsidR="00DB3519" w:rsidRPr="00A833D2">
        <w:rPr>
          <w:rFonts w:ascii="Times New Roman" w:hAnsi="Times New Roman" w:cs="Times New Roman"/>
          <w:sz w:val="24"/>
          <w:szCs w:val="24"/>
        </w:rPr>
        <w:t>AES, 2016, Memorandum Re: Walt Ranch Alternative Access Proposed by Applicant, July 7, 2016</w:t>
      </w:r>
      <w:r w:rsidR="00A83A35" w:rsidRPr="00A833D2">
        <w:rPr>
          <w:rFonts w:ascii="Times New Roman" w:hAnsi="Times New Roman" w:cs="Times New Roman"/>
          <w:sz w:val="24"/>
          <w:szCs w:val="24"/>
        </w:rPr>
        <w:t>, i</w:t>
      </w:r>
      <w:r w:rsidR="00DB3519" w:rsidRPr="00A833D2">
        <w:rPr>
          <w:rFonts w:ascii="Times New Roman" w:hAnsi="Times New Roman" w:cs="Times New Roman"/>
          <w:sz w:val="24"/>
          <w:szCs w:val="24"/>
        </w:rPr>
        <w:t>ncluded as Attachment B to Responses to Final EIR Comments Memorandum</w:t>
      </w:r>
      <w:r w:rsidR="00974D5A" w:rsidRPr="00A833D2">
        <w:rPr>
          <w:rFonts w:ascii="Times New Roman" w:hAnsi="Times New Roman" w:cs="Times New Roman"/>
          <w:sz w:val="24"/>
          <w:szCs w:val="24"/>
        </w:rPr>
        <w:t>; Memorandum from David Morrison and Brian Bordona to Chair Pedroza and Board Members, December 5, 2016</w:t>
      </w:r>
      <w:r w:rsidR="001C3491" w:rsidRPr="00A833D2">
        <w:rPr>
          <w:rFonts w:ascii="Times New Roman" w:hAnsi="Times New Roman" w:cs="Times New Roman"/>
          <w:sz w:val="24"/>
          <w:szCs w:val="24"/>
        </w:rPr>
        <w:t xml:space="preserve">; Memorandum from Lou Gilpin to Brian Bordona Re: Rebuttal Response to Comments—Circle Oaks </w:t>
      </w:r>
      <w:r w:rsidR="001257EF" w:rsidRPr="00A833D2">
        <w:rPr>
          <w:rFonts w:ascii="Times New Roman" w:hAnsi="Times New Roman" w:cs="Times New Roman"/>
          <w:sz w:val="24"/>
          <w:szCs w:val="24"/>
        </w:rPr>
        <w:t xml:space="preserve">Road Distress, December 1, 2016;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r w:rsidR="00387EBA">
        <w:rPr>
          <w:rFonts w:ascii="Times New Roman" w:hAnsi="Times New Roman" w:cs="Times New Roman"/>
          <w:sz w:val="24"/>
          <w:szCs w:val="24"/>
        </w:rPr>
        <w:t xml:space="preserve">. </w:t>
      </w:r>
    </w:p>
    <w:p w14:paraId="5438F3F0" w14:textId="36FA2D6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twelfth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7F331E1"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13.</w:t>
      </w:r>
      <w:r w:rsidRPr="00A833D2">
        <w:rPr>
          <w:rFonts w:ascii="Times New Roman" w:hAnsi="Times New Roman" w:cs="Times New Roman"/>
          <w:b/>
          <w:sz w:val="24"/>
          <w:szCs w:val="24"/>
        </w:rPr>
        <w:tab/>
        <w:t>Thirteenth Ground of Appeal.</w:t>
      </w:r>
    </w:p>
    <w:p w14:paraId="37CD4999" w14:textId="7C8DAA09"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F2023" w:rsidRPr="00A833D2">
        <w:rPr>
          <w:rFonts w:ascii="Times New Roman" w:hAnsi="Times New Roman" w:cs="Times New Roman"/>
          <w:sz w:val="24"/>
          <w:szCs w:val="24"/>
        </w:rPr>
        <w:t xml:space="preserve"> </w:t>
      </w:r>
      <w:r w:rsidR="00DB3519" w:rsidRPr="00A833D2">
        <w:rPr>
          <w:rFonts w:ascii="Times New Roman" w:hAnsi="Times New Roman" w:cs="Times New Roman"/>
          <w:sz w:val="24"/>
          <w:szCs w:val="24"/>
        </w:rPr>
        <w:t>the EIR fails to consider the potential impacts due to landslide. Appellant argues that the EIR inadequately considered the impacts of drainage discharge onto mapped landslides. The drainage discharge will increase the local infiltration and soil water content of the receiving landslide areas over existing levels.</w:t>
      </w:r>
    </w:p>
    <w:p w14:paraId="598D49A6"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1C4F41B2" w14:textId="49085A1D" w:rsidR="00DB3519" w:rsidRPr="00A833D2" w:rsidRDefault="00DB3519"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See response to </w:t>
      </w:r>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 twenty-fifth ground of appeal (see Resolution No. 2016</w:t>
      </w:r>
      <w:r w:rsidR="00BA2A76"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p>
    <w:p w14:paraId="2797FBB8" w14:textId="26AA1E5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See citations for response to 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 twenty-fifth ground of appeal (see Resolution No. 2016</w:t>
      </w:r>
      <w:r w:rsidR="00BA2A76" w:rsidRPr="00A833D2">
        <w:rPr>
          <w:rFonts w:ascii="Times New Roman" w:hAnsi="Times New Roman" w:cs="Times New Roman"/>
          <w:sz w:val="24"/>
          <w:szCs w:val="24"/>
          <w:highlight w:val="yellow"/>
        </w:rPr>
        <w:t>-____).</w:t>
      </w:r>
    </w:p>
    <w:p w14:paraId="0CA08236" w14:textId="1292717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4B00639"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14.</w:t>
      </w:r>
      <w:r w:rsidRPr="00A833D2">
        <w:rPr>
          <w:rFonts w:ascii="Times New Roman" w:hAnsi="Times New Roman" w:cs="Times New Roman"/>
          <w:b/>
          <w:sz w:val="24"/>
          <w:szCs w:val="24"/>
        </w:rPr>
        <w:tab/>
        <w:t>Fourteenth Ground of Appeal.</w:t>
      </w:r>
    </w:p>
    <w:p w14:paraId="6FEB5973" w14:textId="4CA00F1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EIR does not adequately apply significance criteria for noise impacts. Appellant contends the EIR failed to compare construction and project-generated noise with existing ambient noise levels. </w:t>
      </w:r>
      <w:r w:rsidR="007A3C4B" w:rsidRPr="00A833D2">
        <w:rPr>
          <w:rFonts w:ascii="Times New Roman" w:hAnsi="Times New Roman" w:cs="Times New Roman"/>
          <w:sz w:val="24"/>
          <w:szCs w:val="24"/>
        </w:rPr>
        <w:t>Appellant states t</w:t>
      </w:r>
      <w:r w:rsidR="00A833D2">
        <w:rPr>
          <w:rFonts w:ascii="Times New Roman" w:hAnsi="Times New Roman" w:cs="Times New Roman"/>
          <w:sz w:val="24"/>
          <w:szCs w:val="24"/>
        </w:rPr>
        <w:t>h</w:t>
      </w:r>
      <w:r w:rsidR="007A3C4B" w:rsidRPr="00A833D2">
        <w:rPr>
          <w:rFonts w:ascii="Times New Roman" w:hAnsi="Times New Roman" w:cs="Times New Roman"/>
          <w:sz w:val="24"/>
          <w:szCs w:val="24"/>
        </w:rPr>
        <w:t>at t</w:t>
      </w:r>
      <w:r w:rsidR="00DB3519" w:rsidRPr="00A833D2">
        <w:rPr>
          <w:rFonts w:ascii="Times New Roman" w:hAnsi="Times New Roman" w:cs="Times New Roman"/>
          <w:sz w:val="24"/>
          <w:szCs w:val="24"/>
        </w:rPr>
        <w:t>he EIR discussed construction noise only in terms of absolute noise levels</w:t>
      </w:r>
      <w:r w:rsidR="007A3C4B" w:rsidRPr="00A833D2">
        <w:rPr>
          <w:rFonts w:ascii="Times New Roman" w:hAnsi="Times New Roman" w:cs="Times New Roman"/>
          <w:sz w:val="24"/>
          <w:szCs w:val="24"/>
        </w:rPr>
        <w:t>, and t</w:t>
      </w:r>
      <w:r w:rsidR="00DB3519" w:rsidRPr="00A833D2">
        <w:rPr>
          <w:rFonts w:ascii="Times New Roman" w:hAnsi="Times New Roman" w:cs="Times New Roman"/>
          <w:sz w:val="24"/>
          <w:szCs w:val="24"/>
        </w:rPr>
        <w:t xml:space="preserve">he projected 74 dBA is 40 decibels louder than the measured ambient level. </w:t>
      </w:r>
      <w:r w:rsidR="007A3C4B" w:rsidRPr="00A833D2">
        <w:rPr>
          <w:rFonts w:ascii="Times New Roman" w:hAnsi="Times New Roman" w:cs="Times New Roman"/>
          <w:sz w:val="24"/>
          <w:szCs w:val="24"/>
        </w:rPr>
        <w:t>Appellant asserts that t</w:t>
      </w:r>
      <w:r w:rsidR="00DB3519" w:rsidRPr="00A833D2">
        <w:rPr>
          <w:rFonts w:ascii="Times New Roman" w:hAnsi="Times New Roman" w:cs="Times New Roman"/>
          <w:sz w:val="24"/>
          <w:szCs w:val="24"/>
        </w:rPr>
        <w:t>he EIR also incorrectly compares project-generated noise to the highway noise, rather than the noise measured at or near neighboring residences, which are significantly shielded from highway noise.</w:t>
      </w:r>
    </w:p>
    <w:p w14:paraId="32D3791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75D8C81C" w14:textId="5EEBE634"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Similar to other environmental resource areas, a noise analysis must first determine the existing ambient noise level, estimate the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potential impacts, and then assess whether that would exceed an established criteria or significance threshold. In the case of a noise analysis, the level of significance of an impact is typically measured at the nearest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sensitive receptor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or in this case the closest residence that would hear project-related noise.</w:t>
      </w:r>
    </w:p>
    <w:p w14:paraId="1881BDD4" w14:textId="2C9DDC85"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noise analysis presented in the EIR utilized the Napa County Baseline Data Report (BDR) noise data provided in the Napa County General Plan to determine the existing noise level in the project vicinity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15150. The Napa County BDR is a document used to guide County planning efforts; the existing setting of each environmental resource area noted in the BDR was determined using a rigorous scientific approach. Construction of the Walt Ranch Project is temporary in nature, occurring during the dry season over four years. Therefore, the discussion of construction noise impacts presented in Section 4.8 of the EIR is a discussion of the temporary or periodic increase in ambient noise levels in the project vicinity.</w:t>
      </w:r>
    </w:p>
    <w:p w14:paraId="445C37F8" w14:textId="06352BD1"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15064.7 states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[e]ach public agency is encouraged to develop and publish thresholds of significance that the agency uses in the determination of the significance of environmental effects…Thresholds of significance to be adopted for general use as part of the lead agency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environmental review process must be adopted by ordinance, resolution, rule, or regulation.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Use of the Napa County Construction Noise Ordinance 75 dBA noise limit for construction across a residential property line as a significance threshold is appropriate under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w:t>
      </w:r>
    </w:p>
    <w:p w14:paraId="20DC09A6" w14:textId="43C2C9B9"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Section 4.8 of the EIR, construction noise associated with the construction of the Walt Ranch Project would generate noise at 30 feet (the distance to the nearest sensitive receptor) in excess of the Napa County threshold of 75 dBA and is a potentially significant impact. As a result, the project required implementation of Mitigation Measure 4.8-1 to reduce this impact to a less than significant level. However, it is important to note that this distance is based on the original Proposed Project and not the adoption of the final 209 net acre project. Based on the reduction in clearing limits resulting from mitigation measures and the adoption of the Reduced Intensity Alternative, the nearest sensitive receptors are approximately 475 feet from the nearest vineyard blocks (Blocks 27 and 37). At 475 feet distance, the loudest construction equipment would generate noise of approximately 65 dBA, Leq. Not only is this noise level 10 dBA less than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significance threshold, it is only 10 dBA more than the estimated ambient noise level of the neighborhood. Because noise attenuates (lessens) farther from the source, other residents would experience even less disruption.</w:t>
      </w:r>
    </w:p>
    <w:p w14:paraId="346AF601" w14:textId="79238852"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Furthermore, as discussed in the response to </w:t>
      </w:r>
      <w:r w:rsidR="00974D5A" w:rsidRPr="00A833D2">
        <w:rPr>
          <w:rFonts w:ascii="Times New Roman" w:hAnsi="Times New Roman" w:cs="Times New Roman"/>
          <w:sz w:val="24"/>
          <w:szCs w:val="24"/>
        </w:rPr>
        <w:t>Circle Oaks</w:t>
      </w:r>
      <w:r w:rsidR="00E20849" w:rsidRPr="00A833D2">
        <w:rPr>
          <w:rFonts w:ascii="Times New Roman" w:hAnsi="Times New Roman" w:cs="Times New Roman"/>
          <w:sz w:val="24"/>
          <w:szCs w:val="24"/>
        </w:rPr>
        <w:t>’</w:t>
      </w:r>
      <w:r w:rsidR="00974D5A" w:rsidRPr="00A833D2">
        <w:rPr>
          <w:rFonts w:ascii="Times New Roman" w:hAnsi="Times New Roman" w:cs="Times New Roman"/>
          <w:sz w:val="24"/>
          <w:szCs w:val="24"/>
        </w:rPr>
        <w:t xml:space="preserve"> twelfth ground of appeal</w:t>
      </w:r>
      <w:r w:rsidRPr="00A833D2">
        <w:rPr>
          <w:rFonts w:ascii="Times New Roman" w:hAnsi="Times New Roman" w:cs="Times New Roman"/>
          <w:sz w:val="24"/>
          <w:szCs w:val="24"/>
        </w:rPr>
        <w:t>, the County has adopted a condition of approval requiring that all heavy equipment deliveries be routed away from the Circle Oaks neighborhood and enter the Walt Ranch property from the northern-most access point off SR 121. Accordingly, there would be no large trucks driving up Circle Oaks Drive to deliver equipment, which was another source of noise accounted for in the original EIR analysis.</w:t>
      </w:r>
    </w:p>
    <w:p w14:paraId="066C4FE5"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such, the noise analysis presented in Impact 4.8-1 of the EIR significantly overstates the potential for noise impacts due to the project, and therefore presents a conservative analysis. In spite of this, Mitigation Measure 4.8-1 is still required to minimize noise impacts, and includes limiting construction times and providing sound barriers in accordance with Napa County regulations. Additional noise reducing measures provided in Mitigation Measure 4.8-1 include the use of sound walls, measures to reduce vehicle and equipment generated noise, and siting of stationary sources as far as practical from sensitive receptors. The courts have upheld mitigation measures to address construction noise that are comparable to those set forth in Mitigation Measure 4.8-1. (See </w:t>
      </w:r>
      <w:r w:rsidRPr="00A833D2">
        <w:rPr>
          <w:rFonts w:ascii="Times New Roman" w:hAnsi="Times New Roman" w:cs="Times New Roman"/>
          <w:i/>
          <w:iCs/>
          <w:sz w:val="24"/>
          <w:szCs w:val="24"/>
        </w:rPr>
        <w:t xml:space="preserve">Sierra Club v. Tahoe Regional Planning Agency </w:t>
      </w:r>
      <w:r w:rsidRPr="00A833D2">
        <w:rPr>
          <w:rFonts w:ascii="Times New Roman" w:hAnsi="Times New Roman" w:cs="Times New Roman"/>
          <w:sz w:val="24"/>
          <w:szCs w:val="24"/>
        </w:rPr>
        <w:t>(2013) 916 F.Supp.2d 1098.)</w:t>
      </w:r>
    </w:p>
    <w:p w14:paraId="0441BB45"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Although construction of the Proposed Project would generate noise typical of any construction project, with mitigation, construction of the Proposed Project would not expose persons to noise in excess of standards established in the County General Plan or County Ordinance.</w:t>
      </w:r>
    </w:p>
    <w:p w14:paraId="68B9E695" w14:textId="06FD93F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Napa County Baseline Data Report; EIR, Section 4.8; EIR, Impact </w:t>
      </w:r>
      <w:r w:rsidR="001257EF" w:rsidRPr="00A833D2">
        <w:rPr>
          <w:rFonts w:ascii="Times New Roman" w:hAnsi="Times New Roman" w:cs="Times New Roman"/>
          <w:sz w:val="24"/>
          <w:szCs w:val="24"/>
        </w:rPr>
        <w:t xml:space="preserve">4.8-1; Mitigation Measure 4.8-1;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p>
    <w:p w14:paraId="3ECFDBE3" w14:textId="023BC968"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fourteenth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73373AC"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15.</w:t>
      </w:r>
      <w:r w:rsidRPr="00A833D2">
        <w:rPr>
          <w:rFonts w:ascii="Times New Roman" w:hAnsi="Times New Roman" w:cs="Times New Roman"/>
          <w:b/>
          <w:sz w:val="24"/>
          <w:szCs w:val="24"/>
        </w:rPr>
        <w:tab/>
        <w:t>Fifteenth Ground of Appeal.</w:t>
      </w:r>
    </w:p>
    <w:p w14:paraId="1BE97005" w14:textId="024E43E9"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EIR used the incorrect baseline to judge noise impacts. </w:t>
      </w:r>
      <w:r w:rsidR="007A3C4B" w:rsidRPr="00A833D2">
        <w:rPr>
          <w:rFonts w:ascii="Times New Roman" w:hAnsi="Times New Roman" w:cs="Times New Roman"/>
          <w:sz w:val="24"/>
          <w:szCs w:val="24"/>
        </w:rPr>
        <w:t>Appellant states that t</w:t>
      </w:r>
      <w:r w:rsidR="00DB3519" w:rsidRPr="00A833D2">
        <w:rPr>
          <w:rFonts w:ascii="Times New Roman" w:hAnsi="Times New Roman" w:cs="Times New Roman"/>
          <w:sz w:val="24"/>
          <w:szCs w:val="24"/>
        </w:rPr>
        <w:t>he EIR utilized estimates based on modeling rather than actual data gathered near the project site</w:t>
      </w:r>
      <w:r w:rsidR="007A3C4B" w:rsidRPr="00A833D2">
        <w:rPr>
          <w:rFonts w:ascii="Times New Roman" w:hAnsi="Times New Roman" w:cs="Times New Roman"/>
          <w:sz w:val="24"/>
          <w:szCs w:val="24"/>
        </w:rPr>
        <w:t>, and b</w:t>
      </w:r>
      <w:r w:rsidR="00DB3519" w:rsidRPr="00A833D2">
        <w:rPr>
          <w:rFonts w:ascii="Times New Roman" w:hAnsi="Times New Roman" w:cs="Times New Roman"/>
          <w:sz w:val="24"/>
          <w:szCs w:val="24"/>
        </w:rPr>
        <w:t>ased on four days of noise measurements conducted by Eric Yee, the daytime noise levels in the Circle Oaks residential community were between 32 dBA and 53 dBA, compared to the EIR</w:t>
      </w:r>
      <w:r w:rsidR="00E20849" w:rsidRPr="00A833D2">
        <w:rPr>
          <w:rFonts w:ascii="Times New Roman" w:hAnsi="Times New Roman" w:cs="Times New Roman"/>
          <w:sz w:val="24"/>
          <w:szCs w:val="24"/>
        </w:rPr>
        <w:t>’</w:t>
      </w:r>
      <w:r w:rsidR="00DB3519" w:rsidRPr="00A833D2">
        <w:rPr>
          <w:rFonts w:ascii="Times New Roman" w:hAnsi="Times New Roman" w:cs="Times New Roman"/>
          <w:sz w:val="24"/>
          <w:szCs w:val="24"/>
        </w:rPr>
        <w:t>s estimate of 57 dBA. Appellant claims the EIR does not accurately represent the existing noi</w:t>
      </w:r>
      <w:r w:rsidR="007A3C4B" w:rsidRPr="00A833D2">
        <w:rPr>
          <w:rFonts w:ascii="Times New Roman" w:hAnsi="Times New Roman" w:cs="Times New Roman"/>
          <w:sz w:val="24"/>
          <w:szCs w:val="24"/>
        </w:rPr>
        <w:t>se levels on the Project site and t</w:t>
      </w:r>
      <w:r w:rsidR="00DB3519" w:rsidRPr="00A833D2">
        <w:rPr>
          <w:rFonts w:ascii="Times New Roman" w:hAnsi="Times New Roman" w:cs="Times New Roman"/>
          <w:sz w:val="24"/>
          <w:szCs w:val="24"/>
        </w:rPr>
        <w:t>he EIR does not include actual noise measurements around the project site.</w:t>
      </w:r>
    </w:p>
    <w:p w14:paraId="657B1DD2"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3F33EF5C" w14:textId="395E4931"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EIR utilized the Napa County BDR noise data provided in the Napa County General Plan to determine the existing noise level in the project vicinity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15150. The Napa County BDR is a document used to guide County planning efforts; the existing setting of each environmental resource area was determined using a rigorous scientific approach. The noise measurements from the Napa County BDR that were used in the Draft EIR were determined through the following methodology:</w:t>
      </w:r>
    </w:p>
    <w:p w14:paraId="46726FBE" w14:textId="51C02476" w:rsidR="00DB3519" w:rsidRPr="00A833D2" w:rsidRDefault="00DB351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Noise levels produced by traffic on state highways and county roads with more than 3,000 vehicles per day were calculated using the [Federal Highway Administration] FHWA Traffic Noise Prediction Model. Noise from construction, agricultural, commercial, and industrial facilities was also quantified, based on information from short and long-term noise monitoring locations. The County, in consultation with consulting experts, identified all short- and long-term monitoring locations. The noise metric used is day-night noise level (Ldn) and equivalent sound level (Leq). Contours for existing noise conditions were mapped based on results from the monitoring study described above, as well as on noise modeling and information from previous studies.</w:t>
      </w:r>
    </w:p>
    <w:p w14:paraId="2F35A544"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No substantial change to land use, such as new residential or roadway construction, has occurred that would significantly alter ambient noise levels in comparison to levels stated in the EIR. Although several commenters requested that site-specific noise monitoring be conducted at Circle Oaks to provide the environmental baseline, the existing noise setting was determined using best available scientific information adopted by the County, as discussed above. The conditions in the project site and vicinity have not substantially changed since the adoption of the Napa County BDR, and as such the use of the analysis presented therein was reasonable and supported by available science.</w:t>
      </w:r>
    </w:p>
    <w:p w14:paraId="3811E1FE" w14:textId="227EC3A2"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Appellant provides site-specific noise measurements in the Circle Oaks community that range from 32 dBA to 53 dBA, although it is unclear where or when those measurements were taken. In order to utilize site-specific noise measurements, the exact locations of where noise measurements were taken, when the measurements were taken, and how the data was analyzed should have been provided. Without being able to verify the methodology used to obtain that data, it is more appropriate to utilize the best available scientific information provided in the Napa County BDR. It should be noted that the Appellant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measured daytime noise level </w:t>
      </w:r>
      <w:r w:rsidRPr="00A833D2">
        <w:rPr>
          <w:rFonts w:ascii="Times New Roman" w:hAnsi="Times New Roman" w:cs="Times New Roman"/>
          <w:sz w:val="24"/>
          <w:szCs w:val="24"/>
        </w:rPr>
        <w:lastRenderedPageBreak/>
        <w:t xml:space="preserve">apparently ranged up to 53 dBA, and the EIR assumed the ambient noise level was 57 dBA. As stated on page 4.8-4 of the EIR,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it is widely accepted that the average healthy ear, however, can barely perceive noise level changes of 3 dBA.</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 change in level of 5 dBA is a perceptible increase. The difference between the 53 dBA measured by the Appellant and the 57 dBA assumed by the EIR may or may not be a perceptible difference to the healthy human ear.</w:t>
      </w:r>
    </w:p>
    <w:p w14:paraId="2117A145" w14:textId="55F7D7C0"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15143, noise impacts were discussed with emphasis in proportion to their severity and probability of occurrence. Given that noise impacts of the Walt Ranch Project are temporary and that all impacts are reduced to less-than-significant levels with mitigation, the Draft EIR presented an appropriate level of scientific detail in accordance with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 xml:space="preserve">. Ambient noise levels provided in the Napa County General Plan are appropriate to provide decision makers with information to enable them to make an intelligent decision that takes into account all environmental consequences, per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15151.</w:t>
      </w:r>
    </w:p>
    <w:p w14:paraId="22929F4C" w14:textId="4B28775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Napa County </w:t>
      </w:r>
      <w:r w:rsidR="001257EF" w:rsidRPr="00A833D2">
        <w:rPr>
          <w:rFonts w:ascii="Times New Roman" w:hAnsi="Times New Roman" w:cs="Times New Roman"/>
          <w:sz w:val="24"/>
          <w:szCs w:val="24"/>
        </w:rPr>
        <w:t xml:space="preserve">Baseline Data Report;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p>
    <w:p w14:paraId="6DF5E82B" w14:textId="2149E55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fifteenth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DD8B75B"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16.</w:t>
      </w:r>
      <w:r w:rsidRPr="00A833D2">
        <w:rPr>
          <w:rFonts w:ascii="Times New Roman" w:hAnsi="Times New Roman" w:cs="Times New Roman"/>
          <w:b/>
          <w:sz w:val="24"/>
          <w:szCs w:val="24"/>
        </w:rPr>
        <w:tab/>
        <w:t>Sixteenth Ground of Appeal.</w:t>
      </w:r>
    </w:p>
    <w:p w14:paraId="4DFEC9BE" w14:textId="52F1DD4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EIR fails to address noise impacts due to truck traffic, rock demolition and removal, and vibration.</w:t>
      </w:r>
    </w:p>
    <w:p w14:paraId="428E53E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693531CF" w14:textId="6F23232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did address noise impacts due to truck traffic, rock demolition and removal, and vibration. The EIR determined the vibration noise levels for the construction of the Walt Ranch Project using the Caltrans Transportation- and Construction- Induced Vibration Guidance Manual</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(Manual) guidelines and estimates for standard construction equipment.</w:t>
      </w:r>
    </w:p>
    <w:p w14:paraId="38C4C630" w14:textId="1B755C7D"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vibration analysis was consistent with the Manual</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adopted methodology for assessing construction related vibration impacts. It compared the vibration noise levels to the Caltrans vibration significance thresholds as stated in the Manual. Under those thresholds, an impact is considered potentially significant if construction or operation of the Walt Ranch Project would result in an increase of 0.5 peak particle velocity (PPV) at the nearest nonresidential structure, or 0.1 PPV at the nearest residence, consistent with State and local guidance.</w:t>
      </w:r>
    </w:p>
    <w:p w14:paraId="7EB75E90" w14:textId="42EF1A99"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Impact 4.8-1 provides an analysis of the increase in noise during construction and operation of the Walt Ranch Project, while Impact 4.8-2 provides an analysis of the increase in groundborne vibration during the construction and operational phases. Traffic noise impacts were not evaluated separately from other noise attributed to the Walt Ranch Project in these impact analyses. Mitigation Measure 4.8-1 and 4.8-2 will redu</w:t>
      </w:r>
      <w:r w:rsidR="007A3C4B" w:rsidRPr="00A833D2">
        <w:rPr>
          <w:rFonts w:ascii="Times New Roman" w:hAnsi="Times New Roman" w:cs="Times New Roman"/>
          <w:sz w:val="24"/>
          <w:szCs w:val="24"/>
        </w:rPr>
        <w:t xml:space="preserve">ce the impacts due to noise and </w:t>
      </w:r>
      <w:r w:rsidRPr="00A833D2">
        <w:rPr>
          <w:rFonts w:ascii="Times New Roman" w:hAnsi="Times New Roman" w:cs="Times New Roman"/>
          <w:sz w:val="24"/>
          <w:szCs w:val="24"/>
        </w:rPr>
        <w:t>groundborne vibration, respectively, to less-than-significant levels.</w:t>
      </w:r>
    </w:p>
    <w:p w14:paraId="5BB3BEB6" w14:textId="7760EF3F"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Furthermore, as discussed in the response to </w:t>
      </w:r>
      <w:r w:rsidR="00974D5A" w:rsidRPr="00A833D2">
        <w:rPr>
          <w:rFonts w:ascii="Times New Roman" w:hAnsi="Times New Roman" w:cs="Times New Roman"/>
          <w:sz w:val="24"/>
          <w:szCs w:val="24"/>
        </w:rPr>
        <w:t>Circle Oaks</w:t>
      </w:r>
      <w:r w:rsidR="00E20849" w:rsidRPr="00A833D2">
        <w:rPr>
          <w:rFonts w:ascii="Times New Roman" w:hAnsi="Times New Roman" w:cs="Times New Roman"/>
          <w:sz w:val="24"/>
          <w:szCs w:val="24"/>
        </w:rPr>
        <w:t>’</w:t>
      </w:r>
      <w:r w:rsidR="00974D5A" w:rsidRPr="00A833D2">
        <w:rPr>
          <w:rFonts w:ascii="Times New Roman" w:hAnsi="Times New Roman" w:cs="Times New Roman"/>
          <w:sz w:val="24"/>
          <w:szCs w:val="24"/>
        </w:rPr>
        <w:t xml:space="preserve"> fourteenth ground of appeal</w:t>
      </w:r>
      <w:r w:rsidRPr="00A833D2">
        <w:rPr>
          <w:rFonts w:ascii="Times New Roman" w:hAnsi="Times New Roman" w:cs="Times New Roman"/>
          <w:sz w:val="24"/>
          <w:szCs w:val="24"/>
        </w:rPr>
        <w:t xml:space="preserve">, the County has adopted a condition of approval requiring that all heavy equipment deliveries be </w:t>
      </w:r>
      <w:r w:rsidRPr="00A833D2">
        <w:rPr>
          <w:rFonts w:ascii="Times New Roman" w:hAnsi="Times New Roman" w:cs="Times New Roman"/>
          <w:sz w:val="24"/>
          <w:szCs w:val="24"/>
        </w:rPr>
        <w:lastRenderedPageBreak/>
        <w:t>routed away from the Circle Oaks neighborhood and enter the Walt Ranch property from the northern-most access point off SR 121. Accordingly, there would be no large trucks driving up Circle Oaks Drive to deliver equipment, which was another source of noise and vibration accounted for in the original EIR analysis, which results in a more conservative analysis.</w:t>
      </w:r>
    </w:p>
    <w:p w14:paraId="19A82476"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Impact 4.8-2 of the EIR finds that 775 feet is the safe distance for blasting. As discussed on page 4.8-13 of the Draft EIR:</w:t>
      </w:r>
    </w:p>
    <w:p w14:paraId="628B7C43" w14:textId="5343B282" w:rsidR="00DB3519" w:rsidRPr="00A833D2" w:rsidRDefault="00DB351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At 775 feet from a residential sensitive receptor, blasting would generate 0.1 PPV groundborne vibration, which does not exceed the Caltrans threshold of 0.1 PPV for residences. Therefore, blasting that occurs greater than 775 feet from an existing residence requires no additional mitigation.</w:t>
      </w:r>
    </w:p>
    <w:p w14:paraId="1C2AF56D" w14:textId="672417CA" w:rsidR="00DB3519" w:rsidRPr="00A833D2" w:rsidRDefault="00DB351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The only rock formation that may require blasting is the Sonoma Volcanics formation. Blocks 15, 16, and 68 are the only blocks within 775 feet of the Circle Oaks neighborhood that are underlain by Sonoma Volcanics. The ECP was revised to include a condition prohibiting blasting in these blocks. In addition, this limitation is required in Mitigation Measure 4.8-2: Blasting within 775 feet of a residence exceeds Caltrans significance thresholds for vibration. Therefore, no blasting shall occur within vineyard blocks 15, 16, and 68.</w:t>
      </w:r>
    </w:p>
    <w:p w14:paraId="37161D55"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It should be noted that Block 68 has been removed from the Project through adoption of the Reduced Intensity Alternative.</w:t>
      </w:r>
    </w:p>
    <w:p w14:paraId="66700B56" w14:textId="62F3AD44" w:rsidR="00DB3519" w:rsidRPr="00A833D2" w:rsidRDefault="00DB3519"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the response to </w:t>
      </w:r>
      <w:r w:rsidR="00974D5A" w:rsidRPr="00A833D2">
        <w:rPr>
          <w:rFonts w:ascii="Times New Roman" w:hAnsi="Times New Roman" w:cs="Times New Roman"/>
          <w:sz w:val="24"/>
          <w:szCs w:val="24"/>
        </w:rPr>
        <w:t>Sierra Club</w:t>
      </w:r>
      <w:r w:rsidR="00E20849" w:rsidRPr="00A833D2">
        <w:rPr>
          <w:rFonts w:ascii="Times New Roman" w:hAnsi="Times New Roman" w:cs="Times New Roman"/>
          <w:sz w:val="24"/>
          <w:szCs w:val="24"/>
        </w:rPr>
        <w:t>’</w:t>
      </w:r>
      <w:r w:rsidR="00974D5A" w:rsidRPr="00A833D2">
        <w:rPr>
          <w:rFonts w:ascii="Times New Roman" w:hAnsi="Times New Roman" w:cs="Times New Roman"/>
          <w:sz w:val="24"/>
          <w:szCs w:val="24"/>
        </w:rPr>
        <w:t>s nineteenth ground of appeal (see Resolution No. 2016</w:t>
      </w:r>
      <w:r w:rsidR="00974D5A" w:rsidRPr="00A833D2">
        <w:rPr>
          <w:rFonts w:ascii="Times New Roman" w:hAnsi="Times New Roman" w:cs="Times New Roman"/>
          <w:sz w:val="24"/>
          <w:szCs w:val="24"/>
          <w:highlight w:val="yellow"/>
        </w:rPr>
        <w:t>-____)</w:t>
      </w:r>
      <w:r w:rsidRPr="00A833D2">
        <w:rPr>
          <w:rFonts w:ascii="Times New Roman" w:hAnsi="Times New Roman" w:cs="Times New Roman"/>
          <w:sz w:val="24"/>
          <w:szCs w:val="24"/>
        </w:rPr>
        <w:t xml:space="preserve"> regarding rock crushing operations.</w:t>
      </w:r>
    </w:p>
    <w:p w14:paraId="736FCAB0" w14:textId="0C3B585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Caltrans Transportation- and Construction- Induced Vibration Guidance Manual; </w:t>
      </w:r>
      <w:r w:rsidR="003E3FC5" w:rsidRPr="00A833D2">
        <w:rPr>
          <w:rFonts w:ascii="Times New Roman" w:hAnsi="Times New Roman" w:cs="Times New Roman"/>
          <w:sz w:val="24"/>
          <w:szCs w:val="24"/>
        </w:rPr>
        <w:t>EIR, Impacts 4.8-1 and 4.8-2; Mitig</w:t>
      </w:r>
      <w:r w:rsidR="001257EF" w:rsidRPr="00A833D2">
        <w:rPr>
          <w:rFonts w:ascii="Times New Roman" w:hAnsi="Times New Roman" w:cs="Times New Roman"/>
          <w:sz w:val="24"/>
          <w:szCs w:val="24"/>
        </w:rPr>
        <w:t xml:space="preserve">ation Measures 4.8-1 and 4.8-2;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r w:rsidR="007A3C4B" w:rsidRPr="00A833D2">
        <w:rPr>
          <w:rFonts w:ascii="Times New Roman" w:hAnsi="Times New Roman" w:cs="Times New Roman"/>
          <w:sz w:val="24"/>
          <w:szCs w:val="24"/>
        </w:rPr>
        <w:t>; refer to citations to the response to Sierra Club</w:t>
      </w:r>
      <w:r w:rsidR="00E20849" w:rsidRPr="00A833D2">
        <w:rPr>
          <w:rFonts w:ascii="Times New Roman" w:hAnsi="Times New Roman" w:cs="Times New Roman"/>
          <w:sz w:val="24"/>
          <w:szCs w:val="24"/>
        </w:rPr>
        <w:t>’</w:t>
      </w:r>
      <w:r w:rsidR="007A3C4B" w:rsidRPr="00A833D2">
        <w:rPr>
          <w:rFonts w:ascii="Times New Roman" w:hAnsi="Times New Roman" w:cs="Times New Roman"/>
          <w:sz w:val="24"/>
          <w:szCs w:val="24"/>
        </w:rPr>
        <w:t>s nineteenth ground of appeal (see Resolution No. 2016</w:t>
      </w:r>
      <w:r w:rsidR="007A3C4B" w:rsidRPr="00A833D2">
        <w:rPr>
          <w:rFonts w:ascii="Times New Roman" w:hAnsi="Times New Roman" w:cs="Times New Roman"/>
          <w:sz w:val="24"/>
          <w:szCs w:val="24"/>
          <w:highlight w:val="yellow"/>
        </w:rPr>
        <w:t>-____)</w:t>
      </w:r>
    </w:p>
    <w:p w14:paraId="22BFCA16" w14:textId="31EE8F1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sixteenth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2B8631E"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17.</w:t>
      </w:r>
      <w:r w:rsidRPr="00A833D2">
        <w:rPr>
          <w:rFonts w:ascii="Times New Roman" w:hAnsi="Times New Roman" w:cs="Times New Roman"/>
          <w:b/>
          <w:sz w:val="24"/>
          <w:szCs w:val="24"/>
        </w:rPr>
        <w:tab/>
        <w:t>Seventeenth Ground of Appeal.</w:t>
      </w:r>
    </w:p>
    <w:p w14:paraId="66BF476B" w14:textId="741D2D0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w:t>
      </w:r>
      <w:r w:rsidR="009A164F" w:rsidRPr="00A833D2">
        <w:rPr>
          <w:rFonts w:ascii="Times New Roman" w:hAnsi="Times New Roman" w:cs="Times New Roman"/>
          <w:sz w:val="24"/>
          <w:szCs w:val="24"/>
        </w:rPr>
        <w:t xml:space="preserve">EIR overestimates the degree of </w:t>
      </w:r>
      <w:r w:rsidR="00DB3519" w:rsidRPr="00A833D2">
        <w:rPr>
          <w:rFonts w:ascii="Times New Roman" w:hAnsi="Times New Roman" w:cs="Times New Roman"/>
          <w:sz w:val="24"/>
          <w:szCs w:val="24"/>
        </w:rPr>
        <w:t>mitigation provided by the proposed sound barriers; noise impa</w:t>
      </w:r>
      <w:r w:rsidR="009A164F" w:rsidRPr="00A833D2">
        <w:rPr>
          <w:rFonts w:ascii="Times New Roman" w:hAnsi="Times New Roman" w:cs="Times New Roman"/>
          <w:sz w:val="24"/>
          <w:szCs w:val="24"/>
        </w:rPr>
        <w:t xml:space="preserve">cts remain significant. The EIR </w:t>
      </w:r>
      <w:r w:rsidR="00DB3519" w:rsidRPr="00A833D2">
        <w:rPr>
          <w:rFonts w:ascii="Times New Roman" w:hAnsi="Times New Roman" w:cs="Times New Roman"/>
          <w:sz w:val="24"/>
          <w:szCs w:val="24"/>
        </w:rPr>
        <w:t>concludes that a noise barrier will reduce noise a mi</w:t>
      </w:r>
      <w:r w:rsidR="009A164F" w:rsidRPr="00A833D2">
        <w:rPr>
          <w:rFonts w:ascii="Times New Roman" w:hAnsi="Times New Roman" w:cs="Times New Roman"/>
          <w:sz w:val="24"/>
          <w:szCs w:val="24"/>
        </w:rPr>
        <w:t xml:space="preserve">nimum of 15 dBA, resulting in a reduction to </w:t>
      </w:r>
      <w:r w:rsidR="00DB3519" w:rsidRPr="00A833D2">
        <w:rPr>
          <w:rFonts w:ascii="Times New Roman" w:hAnsi="Times New Roman" w:cs="Times New Roman"/>
          <w:sz w:val="24"/>
          <w:szCs w:val="24"/>
        </w:rPr>
        <w:t>74 dBA. Appellant claims that the most a noise barrier can pr</w:t>
      </w:r>
      <w:r w:rsidR="009A164F" w:rsidRPr="00A833D2">
        <w:rPr>
          <w:rFonts w:ascii="Times New Roman" w:hAnsi="Times New Roman" w:cs="Times New Roman"/>
          <w:sz w:val="24"/>
          <w:szCs w:val="24"/>
        </w:rPr>
        <w:t xml:space="preserve">actically reduce noise is by 15 </w:t>
      </w:r>
      <w:r w:rsidR="00DB3519" w:rsidRPr="00A833D2">
        <w:rPr>
          <w:rFonts w:ascii="Times New Roman" w:hAnsi="Times New Roman" w:cs="Times New Roman"/>
          <w:sz w:val="24"/>
          <w:szCs w:val="24"/>
        </w:rPr>
        <w:t>dBA, but is more likely to provide only 6 to 8 decibels of shield</w:t>
      </w:r>
      <w:r w:rsidR="009A164F" w:rsidRPr="00A833D2">
        <w:rPr>
          <w:rFonts w:ascii="Times New Roman" w:hAnsi="Times New Roman" w:cs="Times New Roman"/>
          <w:sz w:val="24"/>
          <w:szCs w:val="24"/>
        </w:rPr>
        <w:t xml:space="preserve">ing, depending on the height of </w:t>
      </w:r>
      <w:r w:rsidR="00DB3519" w:rsidRPr="00A833D2">
        <w:rPr>
          <w:rFonts w:ascii="Times New Roman" w:hAnsi="Times New Roman" w:cs="Times New Roman"/>
          <w:sz w:val="24"/>
          <w:szCs w:val="24"/>
        </w:rPr>
        <w:t>the source noise in relation to the height of the receiver and the height and location of the barrier.</w:t>
      </w:r>
    </w:p>
    <w:p w14:paraId="5323C5B0" w14:textId="77777777" w:rsidR="003920FA" w:rsidRPr="00A833D2" w:rsidRDefault="003920FA" w:rsidP="00085362">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1E63C768" w14:textId="4240400B"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Final EIR Response to Comment O9-52, noise barriers that block line-of-sight between a noise source and noise receiver typically provide a 5 dBA reduction. Sound walls taller than noise sources may be necessary. However, Mitigation Measure 4.8-1 only </w:t>
      </w:r>
      <w:r w:rsidRPr="00A833D2">
        <w:rPr>
          <w:rFonts w:ascii="Times New Roman" w:hAnsi="Times New Roman" w:cs="Times New Roman"/>
          <w:sz w:val="24"/>
          <w:szCs w:val="24"/>
        </w:rPr>
        <w:lastRenderedPageBreak/>
        <w:t xml:space="preserve">requires these sound walls for construction that occurs within 150 feet of a sensitive receptor, as that is the distance the EIR found would cause a significant noise impact. As discussed in the response to </w:t>
      </w:r>
      <w:r w:rsidR="00A07A95"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A07A95" w:rsidRPr="00A833D2">
        <w:rPr>
          <w:rFonts w:ascii="Times New Roman" w:hAnsi="Times New Roman" w:cs="Times New Roman"/>
          <w:sz w:val="24"/>
          <w:szCs w:val="24"/>
        </w:rPr>
        <w:t>s fourteenth ground of appeal</w:t>
      </w:r>
      <w:r w:rsidRPr="00A833D2">
        <w:rPr>
          <w:rFonts w:ascii="Times New Roman" w:hAnsi="Times New Roman" w:cs="Times New Roman"/>
          <w:sz w:val="24"/>
          <w:szCs w:val="24"/>
        </w:rPr>
        <w:t>, the distance between the closest vineyard block in the final 209-acre project and the nearest sensitive receptor has increased to 475 feet. At 475 feet distance, the loudest construction equipment would generate noise of approximately 65 dBA, Leq. Therefore, sound walls will not be required during construction of the Walt Ranch Project as currently approved because no sensitive receptors are within 150 feet of project construction activities.</w:t>
      </w:r>
    </w:p>
    <w:p w14:paraId="74E5ABC8" w14:textId="2A427D2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3E3FC5" w:rsidRPr="00A833D2">
        <w:rPr>
          <w:rFonts w:ascii="Times New Roman" w:hAnsi="Times New Roman" w:cs="Times New Roman"/>
          <w:sz w:val="24"/>
          <w:szCs w:val="24"/>
        </w:rPr>
        <w:t xml:space="preserve"> Final EIR, Response to Comment O9-52; Mitigation Measure 4.8-1</w:t>
      </w:r>
      <w:r w:rsidR="001257EF" w:rsidRPr="00A833D2">
        <w:rPr>
          <w:rFonts w:ascii="Times New Roman" w:hAnsi="Times New Roman" w:cs="Times New Roman"/>
          <w:sz w:val="24"/>
          <w:szCs w:val="24"/>
        </w:rPr>
        <w:t xml:space="preserve">;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p>
    <w:p w14:paraId="29FC110B" w14:textId="49426ED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seventeenth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626905D"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18.</w:t>
      </w:r>
      <w:r w:rsidRPr="00A833D2">
        <w:rPr>
          <w:rFonts w:ascii="Times New Roman" w:hAnsi="Times New Roman" w:cs="Times New Roman"/>
          <w:b/>
          <w:sz w:val="24"/>
          <w:szCs w:val="24"/>
        </w:rPr>
        <w:tab/>
        <w:t>Eighteenth Ground of Appeal.</w:t>
      </w:r>
    </w:p>
    <w:p w14:paraId="507D108F" w14:textId="308ACD9A"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Final EIR fails to adequately respond to comments regarding road access, noise impacts, and potential road failure.</w:t>
      </w:r>
    </w:p>
    <w:p w14:paraId="68F11071"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0310BEBC" w14:textId="0D1197C9"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County has made a good faith effort to adequately respond to all comments as evidenced by the Final EIR, Response to Final EIR Comments memo, and the staff reports provided to the Board. Responses to comments need not be exhaustive; they only need to demonstrate a good faith, reasoned analysis.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00375789" w:rsidRPr="00A833D2">
        <w:rPr>
          <w:rFonts w:ascii="Times New Roman" w:hAnsi="Times New Roman" w:cs="Times New Roman"/>
          <w:sz w:val="24"/>
          <w:szCs w:val="24"/>
        </w:rPr>
        <w:t xml:space="preserve"> </w:t>
      </w:r>
      <w:r w:rsidRPr="00A833D2">
        <w:rPr>
          <w:rFonts w:ascii="Times New Roman" w:hAnsi="Times New Roman" w:cs="Times New Roman"/>
          <w:sz w:val="24"/>
          <w:szCs w:val="24"/>
        </w:rPr>
        <w:t>15088</w:t>
      </w:r>
      <w:r w:rsidR="00375789" w:rsidRPr="00A833D2">
        <w:rPr>
          <w:rFonts w:ascii="Times New Roman" w:hAnsi="Times New Roman" w:cs="Times New Roman"/>
          <w:sz w:val="24"/>
          <w:szCs w:val="24"/>
        </w:rPr>
        <w:t xml:space="preserve">, subd. </w:t>
      </w:r>
      <w:r w:rsidRPr="00A833D2">
        <w:rPr>
          <w:rFonts w:ascii="Times New Roman" w:hAnsi="Times New Roman" w:cs="Times New Roman"/>
          <w:sz w:val="24"/>
          <w:szCs w:val="24"/>
        </w:rPr>
        <w:t xml:space="preserve">(c); </w:t>
      </w:r>
      <w:r w:rsidRPr="00A833D2">
        <w:rPr>
          <w:rFonts w:ascii="Times New Roman" w:hAnsi="Times New Roman" w:cs="Times New Roman"/>
          <w:i/>
          <w:iCs/>
          <w:sz w:val="24"/>
          <w:szCs w:val="24"/>
        </w:rPr>
        <w:t>Towards</w:t>
      </w:r>
      <w:r w:rsidRPr="00A833D2">
        <w:rPr>
          <w:rFonts w:ascii="Times New Roman" w:hAnsi="Times New Roman" w:cs="Times New Roman"/>
          <w:sz w:val="24"/>
          <w:szCs w:val="24"/>
        </w:rPr>
        <w:t xml:space="preserve"> </w:t>
      </w:r>
      <w:r w:rsidRPr="00A833D2">
        <w:rPr>
          <w:rFonts w:ascii="Times New Roman" w:hAnsi="Times New Roman" w:cs="Times New Roman"/>
          <w:i/>
          <w:iCs/>
          <w:sz w:val="24"/>
          <w:szCs w:val="24"/>
        </w:rPr>
        <w:t xml:space="preserve">Responsibility in Planning v. City Council </w:t>
      </w:r>
      <w:r w:rsidRPr="00A833D2">
        <w:rPr>
          <w:rFonts w:ascii="Times New Roman" w:hAnsi="Times New Roman" w:cs="Times New Roman"/>
          <w:sz w:val="24"/>
          <w:szCs w:val="24"/>
        </w:rPr>
        <w:t>(1988) 200 Cal.App.3d 671.) A general response to a general comment is sufficient. (</w:t>
      </w:r>
      <w:r w:rsidRPr="00A833D2">
        <w:rPr>
          <w:rFonts w:ascii="Times New Roman" w:hAnsi="Times New Roman" w:cs="Times New Roman"/>
          <w:i/>
          <w:iCs/>
          <w:sz w:val="24"/>
          <w:szCs w:val="24"/>
        </w:rPr>
        <w:t xml:space="preserve">Paulek v. Department of Water Resources </w:t>
      </w:r>
      <w:r w:rsidRPr="00A833D2">
        <w:rPr>
          <w:rFonts w:ascii="Times New Roman" w:hAnsi="Times New Roman" w:cs="Times New Roman"/>
          <w:sz w:val="24"/>
          <w:szCs w:val="24"/>
        </w:rPr>
        <w:t>(2014) 231 Cal.App.4th 35.) Please refer to Final EIR General Response 19 and Responses to Comments O9-9, O9-51, O9-58, O11-7, O11-8, and O11-9 regarding impacts to roads and noise.</w:t>
      </w:r>
    </w:p>
    <w:p w14:paraId="3471D331" w14:textId="2C0B101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07A95" w:rsidRPr="00A833D2">
        <w:rPr>
          <w:rFonts w:ascii="Times New Roman" w:hAnsi="Times New Roman" w:cs="Times New Roman"/>
          <w:sz w:val="24"/>
          <w:szCs w:val="24"/>
        </w:rPr>
        <w:t xml:space="preserve"> Final EIR, General Response 19; Responses to Comments O9-9, O9-51, O9-58, O11-7, O11-8, and O11-9.</w:t>
      </w:r>
    </w:p>
    <w:p w14:paraId="0DBFCEAE" w14:textId="536CB934"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eighteenth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268A575"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19.</w:t>
      </w:r>
      <w:r w:rsidRPr="00A833D2">
        <w:rPr>
          <w:rFonts w:ascii="Times New Roman" w:hAnsi="Times New Roman" w:cs="Times New Roman"/>
          <w:b/>
          <w:sz w:val="24"/>
          <w:szCs w:val="24"/>
        </w:rPr>
        <w:tab/>
        <w:t>Nineteenth Ground of Appeal.</w:t>
      </w:r>
    </w:p>
    <w:p w14:paraId="53A02E7A" w14:textId="0FF5348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alternatives analysis failed to provide sufficient data to enable the comparison of the alternatives</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 xml:space="preserve"> water demand, sedimentation, and runoff, to that of the Project, </w:t>
      </w:r>
      <w:r w:rsidR="007A3C4B" w:rsidRPr="00A833D2">
        <w:rPr>
          <w:rFonts w:ascii="Times New Roman" w:hAnsi="Times New Roman" w:cs="Times New Roman"/>
          <w:sz w:val="24"/>
          <w:szCs w:val="24"/>
        </w:rPr>
        <w:t xml:space="preserve">and </w:t>
      </w:r>
      <w:r w:rsidR="009A164F" w:rsidRPr="00A833D2">
        <w:rPr>
          <w:rFonts w:ascii="Times New Roman" w:hAnsi="Times New Roman" w:cs="Times New Roman"/>
          <w:sz w:val="24"/>
          <w:szCs w:val="24"/>
        </w:rPr>
        <w:t xml:space="preserve">therefore it is impossible to compare the alternatives to the Project on these issues. (Guideline </w:t>
      </w:r>
      <w:r w:rsidR="00341491">
        <w:rPr>
          <w:rFonts w:ascii="Times New Roman" w:hAnsi="Times New Roman" w:cs="Times New Roman"/>
          <w:sz w:val="24"/>
          <w:szCs w:val="24"/>
        </w:rPr>
        <w:t xml:space="preserve">section </w:t>
      </w:r>
      <w:r w:rsidR="00341491" w:rsidRPr="00A833D2">
        <w:rPr>
          <w:rFonts w:ascii="Times New Roman" w:hAnsi="Times New Roman" w:cs="Times New Roman"/>
          <w:sz w:val="24"/>
          <w:szCs w:val="24"/>
        </w:rPr>
        <w:t>15126.6</w:t>
      </w:r>
      <w:r w:rsidR="009A164F" w:rsidRPr="00A833D2">
        <w:rPr>
          <w:rFonts w:ascii="Times New Roman" w:hAnsi="Times New Roman" w:cs="Times New Roman"/>
          <w:sz w:val="24"/>
          <w:szCs w:val="24"/>
        </w:rPr>
        <w:t xml:space="preserve">(d); </w:t>
      </w:r>
      <w:r w:rsidR="009A164F" w:rsidRPr="00A833D2">
        <w:rPr>
          <w:rFonts w:ascii="Times New Roman" w:hAnsi="Times New Roman" w:cs="Times New Roman"/>
          <w:i/>
          <w:iCs/>
          <w:sz w:val="24"/>
          <w:szCs w:val="24"/>
        </w:rPr>
        <w:t>Laurel Heights Improvement</w:t>
      </w:r>
      <w:r w:rsidR="009A164F" w:rsidRPr="00A833D2">
        <w:rPr>
          <w:rFonts w:ascii="Times New Roman" w:hAnsi="Times New Roman" w:cs="Times New Roman"/>
          <w:sz w:val="24"/>
          <w:szCs w:val="24"/>
        </w:rPr>
        <w:t xml:space="preserve"> </w:t>
      </w:r>
      <w:r w:rsidR="007A3C4B" w:rsidRPr="00A833D2">
        <w:rPr>
          <w:rFonts w:ascii="Times New Roman" w:hAnsi="Times New Roman" w:cs="Times New Roman"/>
          <w:i/>
          <w:iCs/>
          <w:sz w:val="24"/>
          <w:szCs w:val="24"/>
        </w:rPr>
        <w:t>Association v. UC Regents</w:t>
      </w:r>
      <w:r w:rsidR="009A164F" w:rsidRPr="00A833D2">
        <w:rPr>
          <w:rFonts w:ascii="Times New Roman" w:hAnsi="Times New Roman" w:cs="Times New Roman"/>
          <w:sz w:val="24"/>
          <w:szCs w:val="24"/>
        </w:rPr>
        <w:t xml:space="preserve"> (1988) 47 Cal.3d 376, 404.)</w:t>
      </w:r>
    </w:p>
    <w:p w14:paraId="4323E845" w14:textId="77777777" w:rsidR="003920FA" w:rsidRPr="00A833D2" w:rsidRDefault="003920FA" w:rsidP="00085362">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539272C3" w14:textId="759E6F63"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addressed in General Response 20 in the Final EIR,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 requires that an EIR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describe a range of reasonable alternatives to the project, or to the </w:t>
      </w:r>
      <w:r w:rsidRPr="00A833D2">
        <w:rPr>
          <w:rFonts w:ascii="Times New Roman" w:hAnsi="Times New Roman" w:cs="Times New Roman"/>
          <w:sz w:val="24"/>
          <w:szCs w:val="24"/>
        </w:rPr>
        <w:lastRenderedPageBreak/>
        <w:t>location of the project, which would feasibly attain most of the basic objectives of the project but would avoid or substantially lessen any of the significant effects of the project, and evaluate the comparative merits of the alternatives.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The Lead Agency determined a reasonable range of alternatives to be evaluated in an EIR and, consistent with CEQA, considered these alternatives within the context of achieving project objectives. Additionally,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w:t>
      </w:r>
      <w:r w:rsidR="00375789" w:rsidRPr="00A833D2">
        <w:rPr>
          <w:rFonts w:ascii="Times New Roman" w:hAnsi="Times New Roman" w:cs="Times New Roman"/>
          <w:sz w:val="24"/>
          <w:szCs w:val="24"/>
        </w:rPr>
        <w:t>, subd.</w:t>
      </w:r>
      <w:r w:rsidRPr="00A833D2">
        <w:rPr>
          <w:rFonts w:ascii="Times New Roman" w:hAnsi="Times New Roman" w:cs="Times New Roman"/>
          <w:sz w:val="24"/>
          <w:szCs w:val="24"/>
        </w:rPr>
        <w:t xml:space="preserve"> (b)</w:t>
      </w:r>
      <w:r w:rsidR="00D17B04">
        <w:rPr>
          <w:rFonts w:ascii="Times New Roman" w:hAnsi="Times New Roman" w:cs="Times New Roman"/>
          <w:sz w:val="24"/>
          <w:szCs w:val="24"/>
        </w:rPr>
        <w:t>,</w:t>
      </w:r>
      <w:r w:rsidRPr="00A833D2">
        <w:rPr>
          <w:rFonts w:ascii="Times New Roman" w:hAnsi="Times New Roman" w:cs="Times New Roman"/>
          <w:sz w:val="24"/>
          <w:szCs w:val="24"/>
        </w:rPr>
        <w:t xml:space="preserve"> requires consideration of alternatives that could reduce to a less-than-significant level or eliminate any significant adverse environmental effects of a proposed project, including alternatives that may be more costly or could otherwise impede the proposed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objectives. The range of alternatives evaluated in an EIR is governed by a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rule of reason,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which requires the evaluation of alternatives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necessary to permit a reasoned choice.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Alternatives considered must include those that offer substantial environmental advantages over the proposed project and may be feasibly accomplished in a successful manner considering economic, environmental, social, technological, and legal factors. An EIR does not need to consider every possible alternative, but must consider alternatives that will foster informed decision-making and public participation.</w:t>
      </w:r>
    </w:p>
    <w:p w14:paraId="3449788F" w14:textId="76BE74E5"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Section 5.0 of the EIR presents three different alternatives to the Proposed Project: the No Project Alternative, Reduced Intensity Alternative, and the Multiple Resource Protection Alternative. Two additional alternatives, the Full Development Alternative and the Off-Site Alternative, were eliminated from further consideration because they either did not reduce significant environmental effects of the Proposed Project or were not considered feasible, consistent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w:t>
      </w:r>
    </w:p>
    <w:p w14:paraId="01A2D800" w14:textId="6445F806"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appropriately considered a reasonable range of alternatives that were determined with a consideration for each alternative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ability to meet the purpose and need while also reducing environmental impacts. The discussion in Section 5.3 of the EIR provides the reasoning as to why some alternatives were not further considered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w:t>
      </w:r>
      <w:r w:rsidR="00375789" w:rsidRPr="00A833D2">
        <w:rPr>
          <w:rFonts w:ascii="Times New Roman" w:hAnsi="Times New Roman" w:cs="Times New Roman"/>
          <w:sz w:val="24"/>
          <w:szCs w:val="24"/>
        </w:rPr>
        <w:t xml:space="preserve">, subd. </w:t>
      </w:r>
      <w:r w:rsidRPr="00A833D2">
        <w:rPr>
          <w:rFonts w:ascii="Times New Roman" w:hAnsi="Times New Roman" w:cs="Times New Roman"/>
          <w:sz w:val="24"/>
          <w:szCs w:val="24"/>
        </w:rPr>
        <w:t xml:space="preserve">(b), which states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discussion of alternatives shall focus on alternatives to the project or its location which are capable of avoiding or substantially lessening any significant effects of the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The only reasonable alternatives to the Proposed Project are to take no action, develop less vineyard acreage than the Mitigated Project in order to avoid a majority of sensitive natural plant communities, wildlife corridors, springs, streams, seeps, and wetland, or develop less vineyard acreage than the Proposed Project in order to avoid areas where two or more resources overlap and can be avoided in order to provide the most environmental benefits per acre of vineyard removed.</w:t>
      </w:r>
    </w:p>
    <w:p w14:paraId="5F452781" w14:textId="39164C9F"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 requires that a Draft EIR contain only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sufficient information about each alternative to allow meaningful evaluation, analysis, and comparison with the proposed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 full quantitative analysis for each environmental impact area for each proposed alternative is not required under CEQA or the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 xml:space="preserve">. A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matrix displaying the major characteristics and significant environmental effects of each alternative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is presented in Table 5-3 of the Draft EIR, pursuant to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 The comparative analysis that compares the levels of impact of each alternative with the Proposed Project provided in the EIR is sufficient under CEQA to allow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informed decision making and public participation.</w:t>
      </w:r>
      <w:r w:rsidR="00E20849" w:rsidRPr="00A833D2">
        <w:rPr>
          <w:rFonts w:ascii="Times New Roman" w:hAnsi="Times New Roman" w:cs="Times New Roman"/>
          <w:sz w:val="24"/>
          <w:szCs w:val="24"/>
        </w:rPr>
        <w:t>”</w:t>
      </w:r>
    </w:p>
    <w:p w14:paraId="7B095FD8"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Although some habitat fragmentation is inevitable should vineyards be constructed on the property, concentrating all vineyard development in one section of the project site is infeasible. Proposed vineyard blocks have been chosen based on multiple factors, including soils, </w:t>
      </w:r>
      <w:r w:rsidRPr="00A833D2">
        <w:rPr>
          <w:rFonts w:ascii="Times New Roman" w:hAnsi="Times New Roman" w:cs="Times New Roman"/>
          <w:sz w:val="24"/>
          <w:szCs w:val="24"/>
        </w:rPr>
        <w:lastRenderedPageBreak/>
        <w:t xml:space="preserve">topography, and farmability. Areas that are suitable for vineyards are not located in one particular area; rather, such areas are located at various sites across the property. The application focuses on those areas that are considered suitable vineyard areas. Additionally, the vineyard blocks as proposed are located in areas that can be developed with minimal environmental effects, including impacts to sensitive biological resources, erosion, and slope stability. Mitigation measures and development alternatives presented in the EIR will further reduce these environmental impacts in accordance with CEQA. While consolidating vineyard development in one section of the project site may increase the size of wildlife corridors, an impact that was already reduced to less-than-significant levels through incorporation of Mitigation Measure 4.2- 6, it would likely increase other environmental impacts due to placement of vineyard blocks in sensitive plant habitat or unstable slopes. Although some habitat fragmentation may occur, it has been reduced to less-than-significant levels in accordance with CEQA and the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 xml:space="preserve"> through the implementation of measures to maintain wildlife corridors and protect sensitive habitats and woodlands.</w:t>
      </w:r>
    </w:p>
    <w:p w14:paraId="31AEE0EC" w14:textId="0E4BFB3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07A95" w:rsidRPr="00A833D2">
        <w:rPr>
          <w:rFonts w:ascii="Times New Roman" w:hAnsi="Times New Roman" w:cs="Times New Roman"/>
          <w:sz w:val="24"/>
          <w:szCs w:val="24"/>
        </w:rPr>
        <w:t xml:space="preserve"> Final EIR, General Response 20; EIR, Section 5.3.</w:t>
      </w:r>
    </w:p>
    <w:p w14:paraId="1CF79687" w14:textId="661ABB4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nineteenth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15675E2"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20.</w:t>
      </w:r>
      <w:r w:rsidRPr="00A833D2">
        <w:rPr>
          <w:rFonts w:ascii="Times New Roman" w:hAnsi="Times New Roman" w:cs="Times New Roman"/>
          <w:b/>
          <w:sz w:val="24"/>
          <w:szCs w:val="24"/>
        </w:rPr>
        <w:tab/>
        <w:t>Twentieth Ground of Appeal.</w:t>
      </w:r>
    </w:p>
    <w:p w14:paraId="4CF54BD2" w14:textId="7DBD7897"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EIR fails to adequately analyze the potential impact of the Project on COCWD</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s infrastructure underneath Circle Oaks Drive. These face potential disruption from prolonged traffic by heavy vehicles and by land slippage exacerbated by the massive vegetation changes proposed by this project.</w:t>
      </w:r>
    </w:p>
    <w:p w14:paraId="2EEECE7E" w14:textId="77777777" w:rsidR="00387EBA" w:rsidRPr="00A833D2" w:rsidRDefault="009A164F" w:rsidP="00387EBA">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387EBA" w:rsidRPr="00A833D2">
        <w:rPr>
          <w:rFonts w:ascii="Times New Roman" w:hAnsi="Times New Roman" w:cs="Times New Roman"/>
          <w:b/>
          <w:sz w:val="24"/>
          <w:szCs w:val="24"/>
          <w:u w:val="single"/>
        </w:rPr>
        <w:t>Findings and Decision</w:t>
      </w:r>
      <w:r w:rsidR="00387EBA" w:rsidRPr="00A833D2">
        <w:rPr>
          <w:rFonts w:ascii="Times New Roman" w:hAnsi="Times New Roman" w:cs="Times New Roman"/>
          <w:sz w:val="24"/>
          <w:szCs w:val="24"/>
        </w:rPr>
        <w:t>: The Board finds and determines as follows:</w:t>
      </w:r>
    </w:p>
    <w:p w14:paraId="1A748E3E" w14:textId="6A822F61" w:rsidR="00387EBA" w:rsidRPr="00A833D2" w:rsidRDefault="00387EBA" w:rsidP="00387EBA">
      <w:pPr>
        <w:autoSpaceDE w:val="0"/>
        <w:autoSpaceDN w:val="0"/>
        <w:adjustRightInd w:val="0"/>
        <w:spacing w:after="120" w:line="240" w:lineRule="auto"/>
        <w:ind w:firstLine="720"/>
        <w:rPr>
          <w:rFonts w:ascii="Times New Roman" w:hAnsi="Times New Roman" w:cs="Times New Roman"/>
          <w:sz w:val="24"/>
          <w:szCs w:val="24"/>
        </w:rPr>
      </w:pPr>
      <w:r w:rsidRPr="00A833D2">
        <w:rPr>
          <w:rFonts w:ascii="Times New Roman" w:hAnsi="Times New Roman" w:cs="Times New Roman"/>
          <w:sz w:val="24"/>
          <w:szCs w:val="24"/>
        </w:rPr>
        <w:t xml:space="preserve">See responses to Circle Oaks’ </w:t>
      </w:r>
      <w:r>
        <w:rPr>
          <w:rFonts w:ascii="Times New Roman" w:hAnsi="Times New Roman" w:cs="Times New Roman"/>
          <w:sz w:val="24"/>
          <w:szCs w:val="24"/>
        </w:rPr>
        <w:t xml:space="preserve">twelfth </w:t>
      </w:r>
      <w:r w:rsidRPr="00A833D2">
        <w:rPr>
          <w:rFonts w:ascii="Times New Roman" w:hAnsi="Times New Roman" w:cs="Times New Roman"/>
          <w:sz w:val="24"/>
          <w:szCs w:val="24"/>
        </w:rPr>
        <w:t>ground of appeal and Sierra Club’s thirtieth ground of appeal (see Resolution No. 2016</w:t>
      </w:r>
      <w:r w:rsidRPr="00A833D2">
        <w:rPr>
          <w:rFonts w:ascii="Times New Roman" w:hAnsi="Times New Roman" w:cs="Times New Roman"/>
          <w:sz w:val="24"/>
          <w:szCs w:val="24"/>
          <w:highlight w:val="yellow"/>
        </w:rPr>
        <w:t>-____)</w:t>
      </w:r>
      <w:r w:rsidRPr="00A833D2">
        <w:rPr>
          <w:rFonts w:ascii="Times New Roman" w:hAnsi="Times New Roman" w:cs="Times New Roman"/>
          <w:sz w:val="24"/>
          <w:szCs w:val="24"/>
        </w:rPr>
        <w:t xml:space="preserve"> regarding potential impacts to COCWD infrastructure. </w:t>
      </w:r>
      <w:r>
        <w:rPr>
          <w:rFonts w:ascii="Times New Roman" w:hAnsi="Times New Roman" w:cs="Times New Roman"/>
          <w:sz w:val="24"/>
          <w:szCs w:val="24"/>
        </w:rPr>
        <w:t xml:space="preserve">As discussed in the twelfth ground of appeal, </w:t>
      </w:r>
      <w:r w:rsidRPr="00A833D2">
        <w:rPr>
          <w:rFonts w:ascii="Times New Roman" w:hAnsi="Times New Roman" w:cs="Times New Roman"/>
          <w:sz w:val="24"/>
          <w:szCs w:val="24"/>
        </w:rPr>
        <w:t xml:space="preserve">the project added a condition of approval to require that construction equipment be delivered via an alternative access point. Condition of Approval No. 2(a) was imposed which adds additional traffic restrictions requiring that all construction equipment be routed away from Circle Oaks Drive and through the northernmost access driveway directly off of State Route 121. In addition, no construction equipment or vehicles weighing greater than 64,000 pounds shall use Circle Oaks Drive. This additional Condition of Approval significantly minimizes any potential traffic disruption to the Circle Oaks community or damage to </w:t>
      </w:r>
      <w:r w:rsidR="00D17B04" w:rsidRPr="00A833D2">
        <w:rPr>
          <w:rFonts w:ascii="Times New Roman" w:hAnsi="Times New Roman" w:cs="Times New Roman"/>
          <w:sz w:val="24"/>
          <w:szCs w:val="24"/>
        </w:rPr>
        <w:t>infrastructure. Regarding</w:t>
      </w:r>
      <w:r w:rsidRPr="00A833D2">
        <w:rPr>
          <w:rFonts w:ascii="Times New Roman" w:hAnsi="Times New Roman" w:cs="Times New Roman"/>
          <w:sz w:val="24"/>
          <w:szCs w:val="24"/>
        </w:rPr>
        <w:t xml:space="preserve"> vegetation changes as they relate to stability, the EIR’s Geologic Investigation discussed the potential impact of tree removal on deep-seated landslide stability. Based on the latest research, up to an approximately 20 percent reduction of tree canopy cover of any given watershed has no observable effect on the groundwater volume. Therefore, 20 percent is a conservative threshold for predicting significant changes to the groundwater volume and therefore the reduction in slope stability of deep-seated slides.</w:t>
      </w:r>
    </w:p>
    <w:p w14:paraId="6535937A"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Since most of the watersheds extend beyond the site boundaries, the percentage of tree coverage area lost within the property boundaries is a conservative estimate when compared to the total watershed. The sub-watersheds that have the greatest tree coverage removed are those </w:t>
      </w:r>
      <w:r w:rsidRPr="00A833D2">
        <w:rPr>
          <w:rFonts w:ascii="Times New Roman" w:hAnsi="Times New Roman" w:cs="Times New Roman"/>
          <w:sz w:val="24"/>
          <w:szCs w:val="24"/>
        </w:rPr>
        <w:lastRenderedPageBreak/>
        <w:t>on Sonoma Volcanic bedrock within the Milliken Reservoir watershed area. Removal of trees over the stable Sonoma Volcanic bedrock would range from a 22 to 33 percent reduction in tree canopy. These volcanic upland areas of the site tend to have less dense tree cover and are more stable than the Franciscan Complex bedrock areas, which is what underlies Circle Oaks. More importantly, they are located in areas that do not pose a threat to Circle Oaks.</w:t>
      </w:r>
    </w:p>
    <w:p w14:paraId="5367A34F"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tree cover removal on the largest areas of the site, primarily within the Capell Creek watershed and underlain by Franciscan Complex sandstones and shales, range from 0 to 10 percent. Therefore, the removal of trees on the Franciscan Complex geologic units, which also underlie Circle Oaks, is not anticipated to have a significant effect on slope stability.</w:t>
      </w:r>
    </w:p>
    <w:p w14:paraId="23F1261C" w14:textId="3A0AB8D5" w:rsidR="009D3833"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9D3833" w:rsidRPr="00A833D2">
        <w:rPr>
          <w:rFonts w:ascii="Times New Roman" w:hAnsi="Times New Roman" w:cs="Times New Roman"/>
          <w:b/>
          <w:sz w:val="24"/>
          <w:szCs w:val="24"/>
          <w:u w:val="single"/>
        </w:rPr>
        <w:t>Citations</w:t>
      </w:r>
      <w:r w:rsidR="009D3833" w:rsidRPr="00A833D2">
        <w:rPr>
          <w:rFonts w:ascii="Times New Roman" w:hAnsi="Times New Roman" w:cs="Times New Roman"/>
          <w:sz w:val="24"/>
          <w:szCs w:val="24"/>
        </w:rPr>
        <w:t>: Refer to citations for responses to Circle Oaks’ eleventh</w:t>
      </w:r>
      <w:r w:rsidR="009D3833" w:rsidRPr="00F02D08">
        <w:rPr>
          <w:rFonts w:ascii="Times New Roman" w:hAnsi="Times New Roman" w:cs="Times New Roman"/>
          <w:sz w:val="24"/>
          <w:szCs w:val="24"/>
        </w:rPr>
        <w:t xml:space="preserve"> </w:t>
      </w:r>
      <w:r w:rsidR="009D3833">
        <w:rPr>
          <w:rFonts w:ascii="Times New Roman" w:hAnsi="Times New Roman" w:cs="Times New Roman"/>
          <w:sz w:val="24"/>
          <w:szCs w:val="24"/>
        </w:rPr>
        <w:t>and twelfth</w:t>
      </w:r>
      <w:r w:rsidR="009D3833" w:rsidRPr="00A833D2">
        <w:rPr>
          <w:rFonts w:ascii="Times New Roman" w:hAnsi="Times New Roman" w:cs="Times New Roman"/>
          <w:sz w:val="24"/>
          <w:szCs w:val="24"/>
        </w:rPr>
        <w:t xml:space="preserve"> ground of appeal and Sierra Club’s thirtieth ground of appeal (see Resolution No. 2016</w:t>
      </w:r>
      <w:r w:rsidR="009D3833">
        <w:rPr>
          <w:rFonts w:ascii="Times New Roman" w:hAnsi="Times New Roman" w:cs="Times New Roman"/>
          <w:sz w:val="24"/>
          <w:szCs w:val="24"/>
          <w:highlight w:val="yellow"/>
        </w:rPr>
        <w:t>-____</w:t>
      </w:r>
      <w:r w:rsidR="009D3833">
        <w:rPr>
          <w:rFonts w:ascii="Times New Roman" w:hAnsi="Times New Roman" w:cs="Times New Roman"/>
          <w:sz w:val="24"/>
          <w:szCs w:val="24"/>
        </w:rPr>
        <w:t>.)</w:t>
      </w:r>
    </w:p>
    <w:p w14:paraId="3AF7DEE8" w14:textId="7D2669C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twentieth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22F482A"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21.</w:t>
      </w:r>
      <w:r w:rsidRPr="00A833D2">
        <w:rPr>
          <w:rFonts w:ascii="Times New Roman" w:hAnsi="Times New Roman" w:cs="Times New Roman"/>
          <w:b/>
          <w:sz w:val="24"/>
          <w:szCs w:val="24"/>
        </w:rPr>
        <w:tab/>
        <w:t>Twenty-first Ground of Appeal.</w:t>
      </w:r>
    </w:p>
    <w:p w14:paraId="7AF063F2" w14:textId="74A5CFDB"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EIR fails to adequately evaluate the impacts of the Project groundwater pumping in combination with a prolonged drought. </w:t>
      </w:r>
      <w:r w:rsidR="007A3C4B" w:rsidRPr="00A833D2">
        <w:rPr>
          <w:rFonts w:ascii="Times New Roman" w:hAnsi="Times New Roman" w:cs="Times New Roman"/>
          <w:sz w:val="24"/>
          <w:szCs w:val="24"/>
        </w:rPr>
        <w:t>Appellant states that t</w:t>
      </w:r>
      <w:r w:rsidR="009A164F" w:rsidRPr="00A833D2">
        <w:rPr>
          <w:rFonts w:ascii="Times New Roman" w:hAnsi="Times New Roman" w:cs="Times New Roman"/>
          <w:sz w:val="24"/>
          <w:szCs w:val="24"/>
        </w:rPr>
        <w:t xml:space="preserve">he EIR only considered an </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average</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 xml:space="preserve"> drought year, not a severe drought scenario with extended periods of below average rainfall.</w:t>
      </w:r>
    </w:p>
    <w:p w14:paraId="7337424F"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29F7B33B" w14:textId="3576459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Possible effects of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prolonged drought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were discussed in the Final EIR Response to Comment O9-13, and as stated therein,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there is no universal definition of when a drought begins or ends, nor is there a state statutory process for defining or declaring drought.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Hence, historic drought periods were determined for the Walt Ranch analyses using data published by Department of Water Resource (DWR), which included five droughts going back as far as 1928. Contrary to the Appellant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claims, an analysis was conducted of a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prolonged drought period,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which was conservatively defined as six years, the longest drought period on record according to the DWR.</w:t>
      </w:r>
    </w:p>
    <w:p w14:paraId="1EA3B2E1" w14:textId="5828A2E1"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analysis then reviewed the hypothetical pumping scenario for six years of irrigation demand of the Walt Ranch vineyard in combination with the groundwater demands of COCWD Well No. 1. The analysis found that the cumulative pumping during a prolonged drought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may cause groundwater levels to lower slightly, but removal of such a small percentage of groundwater from storage over an assumed six-year drought period of time is not expected to significantly affect groundwater levels beneath the subject property. In periods of above-average rainfall, the excess groundwater that might have been removed from storage over the assumed six-year drought period would be recharged.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Further, the GWMMP requires ongoing monitoring and reporting of groundwater levels that insure that any impacts attributable to the project will be adequately mitigated, regardless of the impact of drought conditions.</w:t>
      </w:r>
    </w:p>
    <w:p w14:paraId="47A6FB2B" w14:textId="6FE79367" w:rsidR="004E5CF7" w:rsidRPr="00A833D2" w:rsidRDefault="004E5CF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w:t>
      </w:r>
      <w:r w:rsidRPr="00A833D2">
        <w:rPr>
          <w:rFonts w:ascii="Times New Roman" w:hAnsi="Times New Roman" w:cs="Times New Roman"/>
          <w:sz w:val="24"/>
          <w:szCs w:val="24"/>
        </w:rPr>
        <w:lastRenderedPageBreak/>
        <w:t>groundwater monitoring data to be collected and assessed by the County in consultation with a qualified hydrogeologist before the next phase of development may occur.</w:t>
      </w:r>
    </w:p>
    <w:p w14:paraId="05B67386" w14:textId="4D1842A1" w:rsidR="009D3833"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Final EIR Response to Comment O9-13.</w:t>
      </w:r>
    </w:p>
    <w:p w14:paraId="19D821B6" w14:textId="7F25322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twenty-first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decisions to certify the EIR, approve the Reduced Intensity Alternative with associated Mitigation Measures and Conditions of Approval, and approve Agricultural Erosion Control Plan </w:t>
      </w:r>
      <w:r w:rsidR="004E5CF7" w:rsidRPr="00A833D2">
        <w:rPr>
          <w:rFonts w:ascii="Times New Roman" w:hAnsi="Times New Roman" w:cs="Times New Roman"/>
          <w:sz w:val="24"/>
          <w:szCs w:val="24"/>
        </w:rPr>
        <w:t xml:space="preserve">No. P11-00205-ECPA (as revised); County Staff Presentations, Board of Supervisors </w:t>
      </w:r>
      <w:r w:rsidR="00B26259" w:rsidRPr="00A833D2">
        <w:rPr>
          <w:rFonts w:ascii="Times New Roman" w:hAnsi="Times New Roman" w:cs="Times New Roman"/>
          <w:sz w:val="24"/>
          <w:szCs w:val="24"/>
        </w:rPr>
        <w:t xml:space="preserve">November 18 and December 6, 2016, </w:t>
      </w:r>
      <w:r w:rsidR="004E5CF7" w:rsidRPr="00A833D2">
        <w:rPr>
          <w:rFonts w:ascii="Times New Roman" w:hAnsi="Times New Roman" w:cs="Times New Roman"/>
          <w:sz w:val="24"/>
          <w:szCs w:val="24"/>
        </w:rPr>
        <w:t>Meetings.</w:t>
      </w:r>
    </w:p>
    <w:p w14:paraId="1391F65F"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22.</w:t>
      </w:r>
      <w:r w:rsidRPr="00A833D2">
        <w:rPr>
          <w:rFonts w:ascii="Times New Roman" w:hAnsi="Times New Roman" w:cs="Times New Roman"/>
          <w:b/>
          <w:sz w:val="24"/>
          <w:szCs w:val="24"/>
        </w:rPr>
        <w:tab/>
        <w:t>Twenty-second Ground of Appeal.</w:t>
      </w:r>
    </w:p>
    <w:p w14:paraId="61A55747" w14:textId="56C2956E"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EIR used the wrong estimate for average rainfall, which should be consistent with the analyses in other projects, such as Napa State Hospital. </w:t>
      </w:r>
      <w:r w:rsidR="007A3C4B" w:rsidRPr="00A833D2">
        <w:rPr>
          <w:rFonts w:ascii="Times New Roman" w:hAnsi="Times New Roman" w:cs="Times New Roman"/>
          <w:sz w:val="24"/>
          <w:szCs w:val="24"/>
        </w:rPr>
        <w:t>Appellant asserts that t</w:t>
      </w:r>
      <w:r w:rsidR="009A164F" w:rsidRPr="00A833D2">
        <w:rPr>
          <w:rFonts w:ascii="Times New Roman" w:hAnsi="Times New Roman" w:cs="Times New Roman"/>
          <w:sz w:val="24"/>
          <w:szCs w:val="24"/>
        </w:rPr>
        <w:t>he EIR should be revised to use 35 inches of annual rainfall as a maximum, with the average rainfall of 24.78 inches presented in the Napa State Hospital EIR.</w:t>
      </w:r>
    </w:p>
    <w:p w14:paraId="1F12248C"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1610DBF7" w14:textId="4182B6FD"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Data from the Napa State Hospital raingage were presented in the report from RCS because of the long period of record available from that gage, and to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help define trends in rainfall</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by using those long-term data. However, as stated on page 8 in that RCS report,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Because this rainfall gage is located at a much lower elevation than the subject property, RCS also reviewed an isohyetal map of the County.</w:t>
      </w:r>
      <w:r w:rsidR="00E20849" w:rsidRPr="00A833D2">
        <w:rPr>
          <w:rFonts w:ascii="Times New Roman" w:hAnsi="Times New Roman" w:cs="Times New Roman"/>
          <w:sz w:val="24"/>
          <w:szCs w:val="24"/>
        </w:rPr>
        <w: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Rainfall varies with elevation in Napa County. For reference, the Napa State Hospital Gage is at an elevation of 58 ft above mean sea level (amsl). The elevations of the portion of the Walt Ranch property underlain by volcanic rocks range from 1,400 ft to 2,000 ft amsl.</w:t>
      </w:r>
    </w:p>
    <w:p w14:paraId="1FD342B0"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Appellant requests that groundwater recharge calculations for the Walt Ranch property should use the Napa State Hospital Raingage data, and not the isohyetal data. Due to the elevation differences between that gage and the Walt Ranch property, the use of such data would not be a realistic representation of the average rainfall that occurs at the Walt Ranch property, and would present a scientifically unsound analysis.</w:t>
      </w:r>
    </w:p>
    <w:p w14:paraId="06B21702"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Several additional sources of rainfall data were reviewed in the Final EIR to corroborate the fact that the average rainfall that occurs at the Walt Ranch property is much higher than the long-term average rainfall recorded at the Napa State Hospital Gage, and that the average rainfall value used in the analyses was a conservative estimate for the Walt Ranch property. Specific raingage data include: 1) Atlas Peak Raingage; 2) PRISM Data Set; and 3) Walt Ranch Onsite Raingage(s). After reviewing the aforementioned data sources, it was determined that the data presented in the EIR and associated technical studies represented the most accurate and appropriate baseline data. The use of these data is consistent with the groundwater analyses conducted for other projects in the vicinity, including the neighboring Circle S Ranch.</w:t>
      </w:r>
    </w:p>
    <w:p w14:paraId="79295C9F" w14:textId="56E67E9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w:t>
      </w:r>
      <w:r w:rsidR="00A60BC5">
        <w:rPr>
          <w:rFonts w:ascii="Times New Roman" w:hAnsi="Times New Roman" w:cs="Times New Roman"/>
          <w:sz w:val="24"/>
          <w:szCs w:val="24"/>
        </w:rPr>
        <w:t xml:space="preserve"> </w:t>
      </w:r>
      <w:r w:rsidR="00A60BC5" w:rsidRPr="00A833D2">
        <w:rPr>
          <w:rFonts w:ascii="Times New Roman" w:hAnsi="Times New Roman" w:cs="Times New Roman"/>
          <w:sz w:val="24"/>
          <w:szCs w:val="24"/>
        </w:rPr>
        <w:t>RCS, 2014, Second Updated Report on the Results and Analysis of 96-Hour Constant Rate Pumping Test, Irrigation-Supply Well No. 3 for Walt Ranch in Napa County, California, Prepared for Hall Wines, LLC, April 2014</w:t>
      </w:r>
      <w:r w:rsidR="00A60BC5">
        <w:rPr>
          <w:rFonts w:ascii="Times New Roman" w:hAnsi="Times New Roman" w:cs="Times New Roman"/>
          <w:sz w:val="24"/>
          <w:szCs w:val="24"/>
        </w:rPr>
        <w:t>, County Staff Presentations, Board of Supervisors November 18 and December 6, 2016, Meetings</w:t>
      </w:r>
      <w:r w:rsidR="00A60BC5" w:rsidRPr="00A833D2">
        <w:rPr>
          <w:rFonts w:ascii="Times New Roman" w:hAnsi="Times New Roman" w:cs="Times New Roman"/>
          <w:sz w:val="24"/>
          <w:szCs w:val="24"/>
        </w:rPr>
        <w:t>.</w:t>
      </w:r>
    </w:p>
    <w:p w14:paraId="42D3491B" w14:textId="4397ECD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twenty-second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EA868B3"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23.</w:t>
      </w:r>
      <w:r w:rsidRPr="00A833D2">
        <w:rPr>
          <w:rFonts w:ascii="Times New Roman" w:hAnsi="Times New Roman" w:cs="Times New Roman"/>
          <w:b/>
          <w:sz w:val="24"/>
          <w:szCs w:val="24"/>
        </w:rPr>
        <w:tab/>
        <w:t>Twenty-third Ground of Appeal.</w:t>
      </w:r>
    </w:p>
    <w:p w14:paraId="5DC57756" w14:textId="1373E76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w:t>
      </w:r>
      <w:r w:rsidR="00A10A87" w:rsidRPr="00A833D2">
        <w:rPr>
          <w:rFonts w:ascii="Times New Roman" w:hAnsi="Times New Roman" w:cs="Times New Roman"/>
          <w:sz w:val="24"/>
          <w:szCs w:val="24"/>
        </w:rPr>
        <w:t xml:space="preserve">EIR does not consider the water </w:t>
      </w:r>
      <w:r w:rsidR="009A164F" w:rsidRPr="00A833D2">
        <w:rPr>
          <w:rFonts w:ascii="Times New Roman" w:hAnsi="Times New Roman" w:cs="Times New Roman"/>
          <w:sz w:val="24"/>
          <w:szCs w:val="24"/>
        </w:rPr>
        <w:t xml:space="preserve">demand of neighboring wells during a </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worst case scenario.</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 xml:space="preserve"> </w:t>
      </w:r>
      <w:r w:rsidR="004E5CF7" w:rsidRPr="00A833D2">
        <w:rPr>
          <w:rFonts w:ascii="Times New Roman" w:hAnsi="Times New Roman" w:cs="Times New Roman"/>
          <w:sz w:val="24"/>
          <w:szCs w:val="24"/>
        </w:rPr>
        <w:t>Appellant states that t</w:t>
      </w:r>
      <w:r w:rsidR="009A164F" w:rsidRPr="00A833D2">
        <w:rPr>
          <w:rFonts w:ascii="Times New Roman" w:hAnsi="Times New Roman" w:cs="Times New Roman"/>
          <w:sz w:val="24"/>
          <w:szCs w:val="24"/>
        </w:rPr>
        <w:t>he EIR only considers four well</w:t>
      </w:r>
      <w:r w:rsidR="00A10A87" w:rsidRPr="00A833D2">
        <w:rPr>
          <w:rFonts w:ascii="Times New Roman" w:hAnsi="Times New Roman" w:cs="Times New Roman"/>
          <w:sz w:val="24"/>
          <w:szCs w:val="24"/>
        </w:rPr>
        <w:t xml:space="preserve">s, </w:t>
      </w:r>
      <w:r w:rsidR="009A164F" w:rsidRPr="00A833D2">
        <w:rPr>
          <w:rFonts w:ascii="Times New Roman" w:hAnsi="Times New Roman" w:cs="Times New Roman"/>
          <w:sz w:val="24"/>
          <w:szCs w:val="24"/>
        </w:rPr>
        <w:t>with the closest more than 4,000 feet away.</w:t>
      </w:r>
    </w:p>
    <w:p w14:paraId="7B80160D"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7BDADB91" w14:textId="3837FC48"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It appears that the Appellant assumes th</w:t>
      </w:r>
      <w:r w:rsidR="00A10A87" w:rsidRPr="00A833D2">
        <w:rPr>
          <w:rFonts w:ascii="Times New Roman" w:hAnsi="Times New Roman" w:cs="Times New Roman"/>
          <w:sz w:val="24"/>
          <w:szCs w:val="24"/>
        </w:rPr>
        <w:t xml:space="preserve">e EIR only considers four wells </w:t>
      </w:r>
      <w:r w:rsidRPr="00A833D2">
        <w:rPr>
          <w:rFonts w:ascii="Times New Roman" w:hAnsi="Times New Roman" w:cs="Times New Roman"/>
          <w:sz w:val="24"/>
          <w:szCs w:val="24"/>
        </w:rPr>
        <w:t>because four wells were monitored during the pumping test. As explain</w:t>
      </w:r>
      <w:r w:rsidR="00A10A87" w:rsidRPr="00A833D2">
        <w:rPr>
          <w:rFonts w:ascii="Times New Roman" w:hAnsi="Times New Roman" w:cs="Times New Roman"/>
          <w:sz w:val="24"/>
          <w:szCs w:val="24"/>
        </w:rPr>
        <w:t xml:space="preserve">ed in the Final EIR </w:t>
      </w:r>
      <w:r w:rsidRPr="00A833D2">
        <w:rPr>
          <w:rFonts w:ascii="Times New Roman" w:hAnsi="Times New Roman" w:cs="Times New Roman"/>
          <w:sz w:val="24"/>
          <w:szCs w:val="24"/>
        </w:rPr>
        <w:t>General Response 13 regarding the groundwater pumping te</w:t>
      </w:r>
      <w:r w:rsidR="00A10A87" w:rsidRPr="00A833D2">
        <w:rPr>
          <w:rFonts w:ascii="Times New Roman" w:hAnsi="Times New Roman" w:cs="Times New Roman"/>
          <w:sz w:val="24"/>
          <w:szCs w:val="24"/>
        </w:rPr>
        <w:t xml:space="preserve">st methodology, four wells were </w:t>
      </w:r>
      <w:r w:rsidRPr="00A833D2">
        <w:rPr>
          <w:rFonts w:ascii="Times New Roman" w:hAnsi="Times New Roman" w:cs="Times New Roman"/>
          <w:sz w:val="24"/>
          <w:szCs w:val="24"/>
        </w:rPr>
        <w:t xml:space="preserve">monitored during the 96-hour pump test of the onsite well </w:t>
      </w:r>
      <w:r w:rsidR="00A10A87" w:rsidRPr="00A833D2">
        <w:rPr>
          <w:rFonts w:ascii="Times New Roman" w:hAnsi="Times New Roman" w:cs="Times New Roman"/>
          <w:sz w:val="24"/>
          <w:szCs w:val="24"/>
        </w:rPr>
        <w:t xml:space="preserve">WR-3. These four wells were the </w:t>
      </w:r>
      <w:r w:rsidRPr="00A833D2">
        <w:rPr>
          <w:rFonts w:ascii="Times New Roman" w:hAnsi="Times New Roman" w:cs="Times New Roman"/>
          <w:sz w:val="24"/>
          <w:szCs w:val="24"/>
        </w:rPr>
        <w:t>closest wells that were available for monitoring, and it shou</w:t>
      </w:r>
      <w:r w:rsidR="00A10A87" w:rsidRPr="00A833D2">
        <w:rPr>
          <w:rFonts w:ascii="Times New Roman" w:hAnsi="Times New Roman" w:cs="Times New Roman"/>
          <w:sz w:val="24"/>
          <w:szCs w:val="24"/>
        </w:rPr>
        <w:t xml:space="preserve">ld be noted that no water level </w:t>
      </w:r>
      <w:r w:rsidRPr="00A833D2">
        <w:rPr>
          <w:rFonts w:ascii="Times New Roman" w:hAnsi="Times New Roman" w:cs="Times New Roman"/>
          <w:sz w:val="24"/>
          <w:szCs w:val="24"/>
        </w:rPr>
        <w:t xml:space="preserve">drawdown was observed in those wells during the testing. This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real-world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data was then used to create a model of the local aquifer and calibrate the g</w:t>
      </w:r>
      <w:r w:rsidR="00A10A87" w:rsidRPr="00A833D2">
        <w:rPr>
          <w:rFonts w:ascii="Times New Roman" w:hAnsi="Times New Roman" w:cs="Times New Roman"/>
          <w:sz w:val="24"/>
          <w:szCs w:val="24"/>
        </w:rPr>
        <w:t xml:space="preserve">roundwater software. The values </w:t>
      </w:r>
      <w:r w:rsidRPr="00A833D2">
        <w:rPr>
          <w:rFonts w:ascii="Times New Roman" w:hAnsi="Times New Roman" w:cs="Times New Roman"/>
          <w:sz w:val="24"/>
          <w:szCs w:val="24"/>
        </w:rPr>
        <w:t>generated by this software were used to analyze potential impact</w:t>
      </w:r>
      <w:r w:rsidR="00A10A87" w:rsidRPr="00A833D2">
        <w:rPr>
          <w:rFonts w:ascii="Times New Roman" w:hAnsi="Times New Roman" w:cs="Times New Roman"/>
          <w:sz w:val="24"/>
          <w:szCs w:val="24"/>
        </w:rPr>
        <w:t xml:space="preserve">s to other groundwater wells at </w:t>
      </w:r>
      <w:r w:rsidRPr="00A833D2">
        <w:rPr>
          <w:rFonts w:ascii="Times New Roman" w:hAnsi="Times New Roman" w:cs="Times New Roman"/>
          <w:sz w:val="24"/>
          <w:szCs w:val="24"/>
        </w:rPr>
        <w:t>v</w:t>
      </w:r>
      <w:r w:rsidR="00A10A87" w:rsidRPr="00A833D2">
        <w:rPr>
          <w:rFonts w:ascii="Times New Roman" w:hAnsi="Times New Roman" w:cs="Times New Roman"/>
          <w:sz w:val="24"/>
          <w:szCs w:val="24"/>
        </w:rPr>
        <w:t xml:space="preserve">arying distances, including the </w:t>
      </w:r>
      <w:r w:rsidRPr="00A833D2">
        <w:rPr>
          <w:rFonts w:ascii="Times New Roman" w:hAnsi="Times New Roman" w:cs="Times New Roman"/>
          <w:sz w:val="24"/>
          <w:szCs w:val="24"/>
        </w:rPr>
        <w:t>COCWD wells. As explained i</w:t>
      </w:r>
      <w:r w:rsidR="004158B2" w:rsidRPr="00A833D2">
        <w:rPr>
          <w:rFonts w:ascii="Times New Roman" w:hAnsi="Times New Roman" w:cs="Times New Roman"/>
          <w:sz w:val="24"/>
          <w:szCs w:val="24"/>
        </w:rPr>
        <w:t>n the response to 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assumed locations were used for the C</w:t>
      </w:r>
      <w:r w:rsidR="00A10A87" w:rsidRPr="00A833D2">
        <w:rPr>
          <w:rFonts w:ascii="Times New Roman" w:hAnsi="Times New Roman" w:cs="Times New Roman"/>
          <w:sz w:val="24"/>
          <w:szCs w:val="24"/>
        </w:rPr>
        <w:t xml:space="preserve">OCWD wells. As discussed in the </w:t>
      </w:r>
      <w:r w:rsidRPr="00A833D2">
        <w:rPr>
          <w:rFonts w:ascii="Times New Roman" w:hAnsi="Times New Roman" w:cs="Times New Roman"/>
          <w:sz w:val="24"/>
          <w:szCs w:val="24"/>
        </w:rPr>
        <w:t>Final EIR Response to Comment O2-1, COCWD was unrespo</w:t>
      </w:r>
      <w:r w:rsidR="00A10A87" w:rsidRPr="00A833D2">
        <w:rPr>
          <w:rFonts w:ascii="Times New Roman" w:hAnsi="Times New Roman" w:cs="Times New Roman"/>
          <w:sz w:val="24"/>
          <w:szCs w:val="24"/>
        </w:rPr>
        <w:t xml:space="preserve">nsive to attempted contact from </w:t>
      </w:r>
      <w:r w:rsidRPr="00A833D2">
        <w:rPr>
          <w:rFonts w:ascii="Times New Roman" w:hAnsi="Times New Roman" w:cs="Times New Roman"/>
          <w:sz w:val="24"/>
          <w:szCs w:val="24"/>
        </w:rPr>
        <w:t>RCS in advance of the pumping test. However, as discussed i</w:t>
      </w:r>
      <w:r w:rsidR="00A10A87" w:rsidRPr="00A833D2">
        <w:rPr>
          <w:rFonts w:ascii="Times New Roman" w:hAnsi="Times New Roman" w:cs="Times New Roman"/>
          <w:sz w:val="24"/>
          <w:szCs w:val="24"/>
        </w:rPr>
        <w:t xml:space="preserve">n response to </w:t>
      </w:r>
      <w:r w:rsidR="004158B2"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COCWD eventually provided data to RCS on</w:t>
      </w:r>
      <w:r w:rsidR="00A10A87" w:rsidRPr="00A833D2">
        <w:rPr>
          <w:rFonts w:ascii="Times New Roman" w:hAnsi="Times New Roman" w:cs="Times New Roman"/>
          <w:sz w:val="24"/>
          <w:szCs w:val="24"/>
        </w:rPr>
        <w:t xml:space="preserve"> its wells and these wells were </w:t>
      </w:r>
      <w:r w:rsidRPr="00A833D2">
        <w:rPr>
          <w:rFonts w:ascii="Times New Roman" w:hAnsi="Times New Roman" w:cs="Times New Roman"/>
          <w:sz w:val="24"/>
          <w:szCs w:val="24"/>
        </w:rPr>
        <w:t>ultimately included within the analysis.</w:t>
      </w:r>
    </w:p>
    <w:p w14:paraId="16264AC8" w14:textId="225ADE8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Final EIR General Response 13; Final EIR, Response to Comment O2-1.</w:t>
      </w:r>
    </w:p>
    <w:p w14:paraId="560F8CEF" w14:textId="6E3C068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twenty-third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D9E8218"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24.</w:t>
      </w:r>
      <w:r w:rsidRPr="00A833D2">
        <w:rPr>
          <w:rFonts w:ascii="Times New Roman" w:hAnsi="Times New Roman" w:cs="Times New Roman"/>
          <w:b/>
          <w:sz w:val="24"/>
          <w:szCs w:val="24"/>
        </w:rPr>
        <w:tab/>
        <w:t>Twenty-fourth Ground of Appeal.</w:t>
      </w:r>
    </w:p>
    <w:p w14:paraId="34F1A152" w14:textId="1377BFE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EIR does not identify the source of water to be used for construction activities, including fugitive dust suppression.</w:t>
      </w:r>
    </w:p>
    <w:p w14:paraId="34C68F05"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 Board find</w:t>
      </w:r>
      <w:r w:rsidR="00A10A87" w:rsidRPr="00A833D2">
        <w:rPr>
          <w:rFonts w:ascii="Times New Roman" w:hAnsi="Times New Roman" w:cs="Times New Roman"/>
          <w:sz w:val="24"/>
          <w:szCs w:val="24"/>
        </w:rPr>
        <w:t>s and determines as follows:</w:t>
      </w:r>
    </w:p>
    <w:p w14:paraId="4069908D" w14:textId="6412C73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stated on page 3-30 in the Draft EIR,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Proposed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water supply and infrastructure have been designed to utilize groundwater…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As addressed in Final EIR Response to Comment O9-17, any land grading generates dust. However, not all of these landclearing activities associated with the Walt Ranch Project would occur at one time. Rather, landclearing is expected to span a period of approximately four years, as stated in Section 3.4.6 of the Draft EIR. Mitigation Measure 4.1-1 requires the project applicant to implement a fugitive dust abatement program during construction. This program involves a variety of methods to reduce fugitive dust emissions including covering haul trucks and limiting traffic speeds, but none of the measures involves the use of water for dust suppression. While water may be used for dust </w:t>
      </w:r>
      <w:r w:rsidRPr="00A833D2">
        <w:rPr>
          <w:rFonts w:ascii="Times New Roman" w:hAnsi="Times New Roman" w:cs="Times New Roman"/>
          <w:sz w:val="24"/>
          <w:szCs w:val="24"/>
        </w:rPr>
        <w:lastRenderedPageBreak/>
        <w:t>suppression during construction, any assumption that significant quantities of water will be used for dust suppression during construction is incorrect.</w:t>
      </w:r>
    </w:p>
    <w:p w14:paraId="2CDB53FB"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project will occur over multiple phases so including water use for dust suppression in the estimate of overall groundwater demand would be inappropriate. Water demand is estimated based on full installation of vineyards. This water demand is estimated at 145 af per year, which encompasses water use for irrigation and frost control as discussed in Section 4.6.1-4 of the EIR. If water is used for dust control, it would not occur at the same time as water use for irrigation or frost control. Rather, water use for dust control would occur during construction; in subsequent years, after a vineyard block is planted, water use will occur for irrigation and frost control. Adding these numbers together assumes that all these water demands (dust suppression, irrigation, and frost control) will occur during the same calendar year for a given vineyard block.</w:t>
      </w:r>
    </w:p>
    <w:p w14:paraId="75318717" w14:textId="1316D6A7" w:rsidR="00A10A87" w:rsidRPr="00A833D2" w:rsidRDefault="004158B2"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A10A87" w:rsidRPr="00A833D2">
        <w:rPr>
          <w:rFonts w:ascii="Times New Roman" w:hAnsi="Times New Roman" w:cs="Times New Roman"/>
          <w:sz w:val="24"/>
          <w:szCs w:val="24"/>
        </w:rPr>
        <w:t>That assumption is incorrect.</w:t>
      </w:r>
    </w:p>
    <w:p w14:paraId="0818856E" w14:textId="1ECA0A6C"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Water use for dust control would be a fraction of the water used for irrigation and frost control. As noted above, water use for irrigation and frost control is estimated at 145 af per year for 209 acres of vineyards at build-out of the full Walt Ranch Project. Thus, irrigation and frost control demand is approximately 0.69 af per year per acre. Water use for dust suppression and vineyard construction is estimated at 0.04 af per year for each acre of disturbed area.</w:t>
      </w:r>
      <w:r w:rsidR="00A833D2">
        <w:rPr>
          <w:rFonts w:ascii="Times New Roman" w:hAnsi="Times New Roman" w:cs="Times New Roman"/>
          <w:sz w:val="24"/>
          <w:szCs w:val="24"/>
        </w:rPr>
        <w:t xml:space="preserve">  </w:t>
      </w:r>
      <w:r w:rsidRPr="00A833D2">
        <w:rPr>
          <w:rFonts w:ascii="Times New Roman" w:hAnsi="Times New Roman" w:cs="Times New Roman"/>
          <w:sz w:val="24"/>
          <w:szCs w:val="24"/>
        </w:rPr>
        <w:t>Therefore, water use for dust suppression that may occur during construction would be less than that required by the vineyard on the same acreage. Therefore, the analysis of water use in the EIR that uses peak vineyard demand is conservative for the years in which construction will occur.</w:t>
      </w:r>
    </w:p>
    <w:p w14:paraId="2FC37B0B" w14:textId="75D9864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Berndt Ackerstrom, North Counties Development, personal communication, April</w:t>
      </w:r>
      <w:r w:rsidR="004158B2" w:rsidRPr="00A833D2">
        <w:rPr>
          <w:rFonts w:ascii="Times New Roman" w:hAnsi="Times New Roman" w:cs="Times New Roman"/>
          <w:sz w:val="24"/>
          <w:szCs w:val="24"/>
        </w:rPr>
        <w:t xml:space="preserve"> 16, 2015; Final EIR, Response to Comment O9-17; Draft EIR, Sections 3.4.6, 4.6.1-4; Mitigation Measure 4.1-1.</w:t>
      </w:r>
    </w:p>
    <w:p w14:paraId="795423AB" w14:textId="0101E94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twenty-fourth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BE94CAF"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25.</w:t>
      </w:r>
      <w:r w:rsidRPr="00A833D2">
        <w:rPr>
          <w:rFonts w:ascii="Times New Roman" w:hAnsi="Times New Roman" w:cs="Times New Roman"/>
          <w:b/>
          <w:sz w:val="24"/>
          <w:szCs w:val="24"/>
        </w:rPr>
        <w:tab/>
        <w:t>Twenty-fifth Ground of Appeal.</w:t>
      </w:r>
    </w:p>
    <w:p w14:paraId="302FAF44" w14:textId="4D0475C2"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estimates of groundwater use for operation of the vineyard are inconsistent with estimates in similar vineyard projects. </w:t>
      </w:r>
      <w:r w:rsidR="007A3C4B"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he EIR estimates water demand at a rate of 68 gallons per vine per year, compared to the estimates used for the Upper Range Vineyard Project, which ranged from 104 gallons per vine per year to over 260 gallons per vine per year</w:t>
      </w:r>
      <w:r w:rsidR="007A3C4B" w:rsidRPr="00A833D2">
        <w:rPr>
          <w:rFonts w:ascii="Times New Roman" w:hAnsi="Times New Roman" w:cs="Times New Roman"/>
          <w:sz w:val="24"/>
          <w:szCs w:val="24"/>
        </w:rPr>
        <w:t>, and t</w:t>
      </w:r>
      <w:r w:rsidR="00A10A87" w:rsidRPr="00A833D2">
        <w:rPr>
          <w:rFonts w:ascii="Times New Roman" w:hAnsi="Times New Roman" w:cs="Times New Roman"/>
          <w:sz w:val="24"/>
          <w:szCs w:val="24"/>
        </w:rPr>
        <w:t>he estimates used in this project are unreasonably low.</w:t>
      </w:r>
    </w:p>
    <w:p w14:paraId="30638771"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 Board finds and d</w:t>
      </w:r>
      <w:r w:rsidR="00A10A87" w:rsidRPr="00A833D2">
        <w:rPr>
          <w:rFonts w:ascii="Times New Roman" w:hAnsi="Times New Roman" w:cs="Times New Roman"/>
          <w:sz w:val="24"/>
          <w:szCs w:val="24"/>
        </w:rPr>
        <w:t>etermines as follows:</w:t>
      </w:r>
    </w:p>
    <w:p w14:paraId="754FB551"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This was specifically addressed in Final EIR Response to Comment O9-18. Section 3.4.3 and 4.6.1-4 of the Draft EIR calculate the water demand of the Walt Ranch Project at 213.5 af per year, based on 347 acres of vineyard, a vine density of 2,420 vines per acre, and an irrigation rate of 68 gallons per vine. The estimated water demand for the Walt Ranch Project is consistent with the Water Availability Analysis (WAA) – Guidance Document approved by the County on May 12, 2015. Appendix B to the WAA provides estimated water demand for various land uses. The estimated water demand for vineyards is:</w:t>
      </w:r>
    </w:p>
    <w:p w14:paraId="0DEBD845" w14:textId="77777777" w:rsidR="00A10A87" w:rsidRPr="00A833D2" w:rsidRDefault="00A10A87" w:rsidP="00C3455B">
      <w:pPr>
        <w:autoSpaceDE w:val="0"/>
        <w:autoSpaceDN w:val="0"/>
        <w:adjustRightInd w:val="0"/>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lastRenderedPageBreak/>
        <w:t>Irrigation Only 0.2 to 0.5 acre-feet per acre per year</w:t>
      </w:r>
    </w:p>
    <w:p w14:paraId="2BD47BA6" w14:textId="77777777" w:rsidR="00A10A87" w:rsidRPr="00A833D2" w:rsidRDefault="00A10A87" w:rsidP="00C3455B">
      <w:pPr>
        <w:autoSpaceDE w:val="0"/>
        <w:autoSpaceDN w:val="0"/>
        <w:adjustRightInd w:val="0"/>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t>Heat Protection 0.25 acre-feet per acre per year</w:t>
      </w:r>
    </w:p>
    <w:p w14:paraId="11986C12" w14:textId="77777777" w:rsidR="00A10A87" w:rsidRPr="00A833D2" w:rsidRDefault="00A10A87" w:rsidP="00C3455B">
      <w:pPr>
        <w:autoSpaceDE w:val="0"/>
        <w:autoSpaceDN w:val="0"/>
        <w:adjustRightInd w:val="0"/>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t>Frost Protection 0.25 acre-feet per acre per year</w:t>
      </w:r>
    </w:p>
    <w:p w14:paraId="1F769D12" w14:textId="77777777" w:rsidR="00A10A87" w:rsidRPr="00A833D2" w:rsidRDefault="00A10A87" w:rsidP="00C3455B">
      <w:pPr>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t>(WAA, Appendix B, p. 19.)</w:t>
      </w:r>
    </w:p>
    <w:p w14:paraId="24748DAA"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estimated water demand uses the high end of the range for irrigation – 0.5 af per year. By assuming the high end of the range for irrigation water, the estimate is conservative and may overestimate actual irrigation demand. The estimated water demand also assumes 0.25 af per acre per year for frost protection for a limited number of acres, which is consistent with the WAA. The project does not propose to use water for heat protection.</w:t>
      </w:r>
    </w:p>
    <w:p w14:paraId="266B693C" w14:textId="7959FFF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estimated irrigation demand is consistent with data concerning irrigation demand for the Circle S property, which is immediately adjacent to the Walt Ranch property. The Final EIR for the Circle S project states: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property currently uses 13.5 acre-feet (af) of water to irrigate 27 acres of vineyard. For the irrigation of an additional 378 net acres, the project proposed to increase water use to a total of approximately 205.6 af per year for the first three years (approximately 0.5 af per acre) and decrease water use to about 130 af per year after the third year as the vines mature (approximately 0.3 af per acre).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(Circle S, Final EIR, p. 4-22.) The Circle S property is located adjacent to Walt Ranch, and is therefore considered a reasonable comparable vineyard for purposes of estimating water demand.</w:t>
      </w:r>
    </w:p>
    <w:p w14:paraId="01B0D84D"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Appellant states that estimated water demand is lower than the estimated water demand provided for other vineyard projects, and states water should be estimated on a per-vine basis. The estimate provided in the EIR is consistent with the WAA, provides a reliable basis for estimating demand, and is consistent with other projects in the vicinity. It is possible that other vineyard projects have used different metrics, and arrived at different estimates of irrigation demand. There may be reasons why differing metrics or estimates have been used at other times. These reasons may include irrigation methods, site constraints with respect to groundwater, viticultural philosophy with respect to irrigation, or evolving practices with respect to conserving groundwater. The issue here is not whether other approaches might be used, but whether the estimate provided in the EIR is considered reasonable.</w:t>
      </w:r>
    </w:p>
    <w:p w14:paraId="45308C89" w14:textId="6BBB8489" w:rsidR="004E5CF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County published the Draft EIR for the Upper Range project over ten years ago in December 2006. The Upper Range EIR estimated water demand at 122 af per year for 175 net acres of vineyards, which translates to approximately 0.69 af per year of demand. This estimate is somewhat lower than, and generally comparable to, the 0.75 af per year (0.5 af per year for irrigation and 0.25 af per year for partial frost protection) total estimate for the Walt Ranch Project. Thus, the comment that estimated consumption at the Upper Range project was much higher than the estimate at Walt Ranch is incorrect.</w:t>
      </w:r>
    </w:p>
    <w:p w14:paraId="1585A2E3" w14:textId="28C2A4A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Final EIR, Response to Comment O9-18; Draft EIR, Sections 3.4.3, 4.6.1-4; Water Availability Analysis, approved</w:t>
      </w:r>
      <w:r w:rsidR="004E5CF7" w:rsidRPr="00A833D2">
        <w:rPr>
          <w:rFonts w:ascii="Times New Roman" w:hAnsi="Times New Roman" w:cs="Times New Roman"/>
          <w:sz w:val="24"/>
          <w:szCs w:val="24"/>
        </w:rPr>
        <w:t xml:space="preserve"> by Napa County on May 12, 2015; County Staff Presentations, Board of Supervisors </w:t>
      </w:r>
      <w:r w:rsidR="00B26259" w:rsidRPr="00A833D2">
        <w:rPr>
          <w:rFonts w:ascii="Times New Roman" w:hAnsi="Times New Roman" w:cs="Times New Roman"/>
          <w:sz w:val="24"/>
          <w:szCs w:val="24"/>
        </w:rPr>
        <w:t xml:space="preserve">November 18 and December 6, 2016, </w:t>
      </w:r>
      <w:r w:rsidR="004E5CF7" w:rsidRPr="00A833D2">
        <w:rPr>
          <w:rFonts w:ascii="Times New Roman" w:hAnsi="Times New Roman" w:cs="Times New Roman"/>
          <w:sz w:val="24"/>
          <w:szCs w:val="24"/>
        </w:rPr>
        <w:t>Meetings.</w:t>
      </w:r>
    </w:p>
    <w:p w14:paraId="42C6A785" w14:textId="41B51D28"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twenty-fifth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A1576FA"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lastRenderedPageBreak/>
        <w:t>26.</w:t>
      </w:r>
      <w:r w:rsidRPr="00A833D2">
        <w:rPr>
          <w:rFonts w:ascii="Times New Roman" w:hAnsi="Times New Roman" w:cs="Times New Roman"/>
          <w:b/>
          <w:sz w:val="24"/>
          <w:szCs w:val="24"/>
        </w:rPr>
        <w:tab/>
        <w:t>Twenty-sixth Ground of Appeal.</w:t>
      </w:r>
    </w:p>
    <w:p w14:paraId="0482309D" w14:textId="2D24B0B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EIR does not adequately identify or mitigate the impacts of earth-disturbing activities on the water quality of the Napa River, Capell Creek, Putah Creek, and Lake Berryessa. </w:t>
      </w:r>
      <w:r w:rsidR="00AB52C9"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 xml:space="preserve">he mitigation measures included in the EIR do not adequately address sediment that will be generated during construction that may be subject to erosion via stormwater runoff. </w:t>
      </w:r>
      <w:r w:rsidR="00AB52C9" w:rsidRPr="00A833D2">
        <w:rPr>
          <w:rFonts w:ascii="Times New Roman" w:hAnsi="Times New Roman" w:cs="Times New Roman"/>
          <w:sz w:val="24"/>
          <w:szCs w:val="24"/>
        </w:rPr>
        <w:t>Appellant also asserts that t</w:t>
      </w:r>
      <w:r w:rsidR="00A10A87" w:rsidRPr="00A833D2">
        <w:rPr>
          <w:rFonts w:ascii="Times New Roman" w:hAnsi="Times New Roman" w:cs="Times New Roman"/>
          <w:sz w:val="24"/>
          <w:szCs w:val="24"/>
        </w:rPr>
        <w:t>he EIR fails to fully acknowledge the applicability of the California Construction General Permit, determining that the Permit does not apply to the project because it is agricultural in nature. Appellant claims that road construction and blasting operations make the Permit applicable.</w:t>
      </w:r>
    </w:p>
    <w:p w14:paraId="118F97B5"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 Board finds and determine</w:t>
      </w:r>
      <w:r w:rsidR="00A10A87" w:rsidRPr="00A833D2">
        <w:rPr>
          <w:rFonts w:ascii="Times New Roman" w:hAnsi="Times New Roman" w:cs="Times New Roman"/>
          <w:sz w:val="24"/>
          <w:szCs w:val="24"/>
        </w:rPr>
        <w:t>s as follows:</w:t>
      </w:r>
    </w:p>
    <w:p w14:paraId="4CBBB5B9" w14:textId="7698E1BC"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See response to </w:t>
      </w:r>
      <w:r w:rsidR="004158B2"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s fifth ground of appeal </w:t>
      </w:r>
      <w:r w:rsidRPr="00A833D2">
        <w:rPr>
          <w:rFonts w:ascii="Times New Roman" w:hAnsi="Times New Roman" w:cs="Times New Roman"/>
          <w:sz w:val="24"/>
          <w:szCs w:val="24"/>
        </w:rPr>
        <w:t>regarding water quality in the Napa River watershed (Milliken Creek subwatershed) and Putah Creek/Lake Berryessa watershed (Capell Creek subwatershed).</w:t>
      </w:r>
    </w:p>
    <w:p w14:paraId="5837522C"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Earth-disturbing activities may result in erosion during construction of the Walt Ranch Project, as acknowledged throughout the EIR and ECP. However, the project includes erosion control measures to provide for stormwater management requirements to ensure there are no significant impacts to erosion, sedimentation, or peak runoff increases (refer to Section 4.4 and 4.6 of the EIR, respectively). Temporary erosion control measures used during construction can include waterbars, straw wattles, straw mulching, and other practices as needed. The measures would be maintained in a functional condition throughout the rainy season. Waterbars would be constructed such that they direct surface flow off vineyard avenues into drop inlets or vegetated vineyard areas. Additionally, construction will not occur during the rainy season.</w:t>
      </w:r>
    </w:p>
    <w:p w14:paraId="5D584543"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Section 4.6.2-2 of the EIR and Response to Comment A2-01, agricultural projects, including the construction of the Walt Ranch Project, are exempt from the Construction Stormwater General Permit mentioned in this comment. As discussed in Section 3.4 of the EIR, the Walt Ranch Project will require the maintenance and improvements of some roads on the project site. These roads are an integral part of this agricultural project and the applicant could not access or operate the proposed vineyards without these roads. More importantly, the sole purpose and use of these roads is for agriculture. As a result, the construction and maintenance of these roads are not subject to the Construction Stormwater General Permit.</w:t>
      </w:r>
    </w:p>
    <w:p w14:paraId="1E660F08" w14:textId="5FC2C674"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EIR, Sections 3.4, 4.4,</w:t>
      </w:r>
      <w:r w:rsidR="00AB52C9" w:rsidRPr="00A833D2">
        <w:rPr>
          <w:rFonts w:ascii="Times New Roman" w:hAnsi="Times New Roman" w:cs="Times New Roman"/>
          <w:sz w:val="24"/>
          <w:szCs w:val="24"/>
        </w:rPr>
        <w:t xml:space="preserve"> 4.6; Response to Comment A2-01; County Staff Presentations, Board of Supervisors </w:t>
      </w:r>
      <w:r w:rsidR="00B26259" w:rsidRPr="00A833D2">
        <w:rPr>
          <w:rFonts w:ascii="Times New Roman" w:hAnsi="Times New Roman" w:cs="Times New Roman"/>
          <w:sz w:val="24"/>
          <w:szCs w:val="24"/>
        </w:rPr>
        <w:t xml:space="preserve">November 18 and December 6, 2016, </w:t>
      </w:r>
      <w:r w:rsidR="00AB52C9" w:rsidRPr="00A833D2">
        <w:rPr>
          <w:rFonts w:ascii="Times New Roman" w:hAnsi="Times New Roman" w:cs="Times New Roman"/>
          <w:sz w:val="24"/>
          <w:szCs w:val="24"/>
        </w:rPr>
        <w:t>Meetings.</w:t>
      </w:r>
    </w:p>
    <w:p w14:paraId="4C5B6AC4" w14:textId="6E5B80E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twenty-sixth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decisions to certify the EIR, approve the Reduced Intensity Alternative with associated Mitigation Measures and Conditions of Approval, and approve Agricultural Erosion Control Plan </w:t>
      </w:r>
      <w:r w:rsidR="00AB52C9" w:rsidRPr="00A833D2">
        <w:rPr>
          <w:rFonts w:ascii="Times New Roman" w:hAnsi="Times New Roman" w:cs="Times New Roman"/>
          <w:sz w:val="24"/>
          <w:szCs w:val="24"/>
        </w:rPr>
        <w:t>No. P11-00205-ECPA (as revised).</w:t>
      </w:r>
    </w:p>
    <w:p w14:paraId="6A1BB844"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27.</w:t>
      </w:r>
      <w:r w:rsidRPr="00A833D2">
        <w:rPr>
          <w:rFonts w:ascii="Times New Roman" w:hAnsi="Times New Roman" w:cs="Times New Roman"/>
          <w:b/>
          <w:sz w:val="24"/>
          <w:szCs w:val="24"/>
        </w:rPr>
        <w:tab/>
        <w:t>Twenty-seventh Ground of Appeal.</w:t>
      </w:r>
    </w:p>
    <w:p w14:paraId="44790B74" w14:textId="300B09E6"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EIR improperly overestimates the groundwater storage capacity of the Sonoma Volcanics underlying the site, which results in an inadequate analysis of the impacts of the Project on groundwater availability. Appellant claims that calculated values of aquifer transmissivity and storage coefficients by various models are discarded and inexplicably replaced with empirically derived values. </w:t>
      </w:r>
      <w:r w:rsidR="007A3C4B" w:rsidRPr="00A833D2">
        <w:rPr>
          <w:rFonts w:ascii="Times New Roman" w:hAnsi="Times New Roman" w:cs="Times New Roman"/>
          <w:sz w:val="24"/>
          <w:szCs w:val="24"/>
        </w:rPr>
        <w:t>Appellant states that c</w:t>
      </w:r>
      <w:r w:rsidR="00A10A87" w:rsidRPr="00A833D2">
        <w:rPr>
          <w:rFonts w:ascii="Times New Roman" w:hAnsi="Times New Roman" w:cs="Times New Roman"/>
          <w:sz w:val="24"/>
          <w:szCs w:val="24"/>
        </w:rPr>
        <w:t>ited values for hydraulic parameters in text don</w:t>
      </w:r>
      <w:r w:rsidR="00E20849"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t agree with values in </w:t>
      </w:r>
      <w:r w:rsidR="00A10A87" w:rsidRPr="00A833D2">
        <w:rPr>
          <w:rFonts w:ascii="Times New Roman" w:hAnsi="Times New Roman" w:cs="Times New Roman"/>
          <w:sz w:val="24"/>
          <w:szCs w:val="24"/>
        </w:rPr>
        <w:lastRenderedPageBreak/>
        <w:t>existing tables in the EIR and thus, do not provide realistic insight into the potential impacts of groundwater pumping.</w:t>
      </w:r>
    </w:p>
    <w:p w14:paraId="72B9398E" w14:textId="77777777" w:rsidR="003920FA" w:rsidRPr="00A833D2" w:rsidRDefault="003920FA" w:rsidP="00085362">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A10A87" w:rsidRPr="00A833D2">
        <w:rPr>
          <w:rFonts w:ascii="Times New Roman" w:hAnsi="Times New Roman" w:cs="Times New Roman"/>
          <w:sz w:val="24"/>
          <w:szCs w:val="24"/>
        </w:rPr>
        <w:t xml:space="preserve"> Board finds and determines as follows:</w:t>
      </w:r>
    </w:p>
    <w:p w14:paraId="46E1E350" w14:textId="589E3EAB"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Section 4.6.1-4 of the EIR defines the specific yield as the volume of groundwater that can potentially be extracted from the saturated portion of the fractured volcanic rocks beneath the subject property. Specific yield of the Sonoma Volcanics can vary greatly depending on many factors, including the degree of the fracturing, the size of the fracture openings, and the interconnection of the fractures within the rocks. A conservative estimate by Kunkel and Upson for the specific yield of the Sonoma Volcanics ranges from 3 percent to 5 percent.</w:t>
      </w:r>
      <w:r w:rsidR="00A833D2" w:rsidRPr="00A833D2">
        <w:rPr>
          <w:rFonts w:ascii="Times New Roman" w:hAnsi="Times New Roman" w:cs="Times New Roman"/>
          <w:sz w:val="24"/>
          <w:szCs w:val="24"/>
        </w:rPr>
        <w:t xml:space="preserve">  </w:t>
      </w:r>
      <w:r w:rsidRPr="00A833D2">
        <w:rPr>
          <w:rFonts w:ascii="Times New Roman" w:hAnsi="Times New Roman" w:cs="Times New Roman"/>
          <w:sz w:val="24"/>
          <w:szCs w:val="24"/>
        </w:rPr>
        <w:t>Based on studies prepared by RCS for other nearby properties underlain by Sonoma Volcanics, an estimate for specific yield of 2 percent was used, providing an even more conservative estimate than the 3 to 5 percent figure estimated by Kunkel and Upson.</w:t>
      </w:r>
    </w:p>
    <w:p w14:paraId="62DA4F19"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By using a specific yield of 2 percent to estimate the volume of groundwater in storage beneath the property, the investigation errs on the side of understating specific yield, and therefore reflects a conservative analysis.</w:t>
      </w:r>
    </w:p>
    <w:p w14:paraId="6C196685" w14:textId="6035C2B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USGS, 1960, Geology and Groundwater in Napa and Sonoma Valleys, Napa and Sonoma Counties, California, Kunkel, F. and J.E. Upson, 19</w:t>
      </w:r>
      <w:r w:rsidR="004158B2" w:rsidRPr="00A833D2">
        <w:rPr>
          <w:rFonts w:ascii="Times New Roman" w:hAnsi="Times New Roman" w:cs="Times New Roman"/>
          <w:sz w:val="24"/>
          <w:szCs w:val="24"/>
        </w:rPr>
        <w:t xml:space="preserve">60, USGS Water Supply </w:t>
      </w:r>
      <w:r w:rsidR="00AB52C9" w:rsidRPr="00A833D2">
        <w:rPr>
          <w:rFonts w:ascii="Times New Roman" w:hAnsi="Times New Roman" w:cs="Times New Roman"/>
          <w:sz w:val="24"/>
          <w:szCs w:val="24"/>
        </w:rPr>
        <w:t xml:space="preserve">Paper 149; EIR, Section 4.6.1-4; County Staff Presentations, Board of Supervisors </w:t>
      </w:r>
      <w:r w:rsidR="00B26259" w:rsidRPr="00A833D2">
        <w:rPr>
          <w:rFonts w:ascii="Times New Roman" w:hAnsi="Times New Roman" w:cs="Times New Roman"/>
          <w:sz w:val="24"/>
          <w:szCs w:val="24"/>
        </w:rPr>
        <w:t xml:space="preserve">November 18 and December 6, 2016, </w:t>
      </w:r>
      <w:r w:rsidR="00AB52C9" w:rsidRPr="00A833D2">
        <w:rPr>
          <w:rFonts w:ascii="Times New Roman" w:hAnsi="Times New Roman" w:cs="Times New Roman"/>
          <w:sz w:val="24"/>
          <w:szCs w:val="24"/>
        </w:rPr>
        <w:t>Meetings.</w:t>
      </w:r>
    </w:p>
    <w:p w14:paraId="257EE07F" w14:textId="1204078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twenty-seventh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F773C6F"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28.</w:t>
      </w:r>
      <w:r w:rsidRPr="00A833D2">
        <w:rPr>
          <w:rFonts w:ascii="Times New Roman" w:hAnsi="Times New Roman" w:cs="Times New Roman"/>
          <w:b/>
          <w:sz w:val="24"/>
          <w:szCs w:val="24"/>
        </w:rPr>
        <w:tab/>
        <w:t>Twenty-eighth Ground of Appeal.</w:t>
      </w:r>
    </w:p>
    <w:p w14:paraId="6C562F0F" w14:textId="260C503D"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w:t>
      </w:r>
      <w:r w:rsidR="00002EFA" w:rsidRPr="00A833D2">
        <w:rPr>
          <w:rFonts w:ascii="Times New Roman" w:hAnsi="Times New Roman" w:cs="Times New Roman"/>
          <w:sz w:val="24"/>
          <w:szCs w:val="24"/>
        </w:rPr>
        <w:t xml:space="preserve">e EIR inadequately analyzed the </w:t>
      </w:r>
      <w:r w:rsidR="00A10A87" w:rsidRPr="00A833D2">
        <w:rPr>
          <w:rFonts w:ascii="Times New Roman" w:hAnsi="Times New Roman" w:cs="Times New Roman"/>
          <w:sz w:val="24"/>
          <w:szCs w:val="24"/>
        </w:rPr>
        <w:t xml:space="preserve">availability of groundwater storage, using a </w:t>
      </w:r>
      <w:r w:rsidR="00E20849" w:rsidRPr="00A833D2">
        <w:rPr>
          <w:rFonts w:ascii="Times New Roman" w:hAnsi="Times New Roman" w:cs="Times New Roman"/>
          <w:sz w:val="24"/>
          <w:szCs w:val="24"/>
        </w:rPr>
        <w:t>“</w:t>
      </w:r>
      <w:r w:rsidR="00A10A87" w:rsidRPr="00A833D2">
        <w:rPr>
          <w:rFonts w:ascii="Times New Roman" w:hAnsi="Times New Roman" w:cs="Times New Roman"/>
          <w:sz w:val="24"/>
          <w:szCs w:val="24"/>
        </w:rPr>
        <w:t>conservative</w:t>
      </w:r>
      <w:r w:rsidR="00E20849"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estimate of total groun</w:t>
      </w:r>
      <w:r w:rsidR="00002EFA" w:rsidRPr="00A833D2">
        <w:rPr>
          <w:rFonts w:ascii="Times New Roman" w:hAnsi="Times New Roman" w:cs="Times New Roman"/>
          <w:sz w:val="24"/>
          <w:szCs w:val="24"/>
        </w:rPr>
        <w:t xml:space="preserve">dwater storage </w:t>
      </w:r>
      <w:r w:rsidR="00A10A87" w:rsidRPr="00A833D2">
        <w:rPr>
          <w:rFonts w:ascii="Times New Roman" w:hAnsi="Times New Roman" w:cs="Times New Roman"/>
          <w:sz w:val="24"/>
          <w:szCs w:val="24"/>
        </w:rPr>
        <w:t xml:space="preserve">that is very large. </w:t>
      </w:r>
      <w:r w:rsidR="003A46C9"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he EIR assumes that all of the water stored in t</w:t>
      </w:r>
      <w:r w:rsidR="00002EFA" w:rsidRPr="00A833D2">
        <w:rPr>
          <w:rFonts w:ascii="Times New Roman" w:hAnsi="Times New Roman" w:cs="Times New Roman"/>
          <w:sz w:val="24"/>
          <w:szCs w:val="24"/>
        </w:rPr>
        <w:t xml:space="preserve">he area can be accessed, but in </w:t>
      </w:r>
      <w:r w:rsidR="00A10A87" w:rsidRPr="00A833D2">
        <w:rPr>
          <w:rFonts w:ascii="Times New Roman" w:hAnsi="Times New Roman" w:cs="Times New Roman"/>
          <w:sz w:val="24"/>
          <w:szCs w:val="24"/>
        </w:rPr>
        <w:t xml:space="preserve">reality, only 10 percent of the Sonoma Volcanic groundwater storage capacity is useable. </w:t>
      </w:r>
      <w:r w:rsidR="003A46C9"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 xml:space="preserve">he current well spacing, presence of fault segregated aquifers, </w:t>
      </w:r>
      <w:r w:rsidR="00002EFA" w:rsidRPr="00A833D2">
        <w:rPr>
          <w:rFonts w:ascii="Times New Roman" w:hAnsi="Times New Roman" w:cs="Times New Roman"/>
          <w:sz w:val="24"/>
          <w:szCs w:val="24"/>
        </w:rPr>
        <w:t xml:space="preserve">and non-uniform distribution of </w:t>
      </w:r>
      <w:r w:rsidR="00A10A87" w:rsidRPr="00A833D2">
        <w:rPr>
          <w:rFonts w:ascii="Times New Roman" w:hAnsi="Times New Roman" w:cs="Times New Roman"/>
          <w:sz w:val="24"/>
          <w:szCs w:val="24"/>
        </w:rPr>
        <w:t>groundwater in the Sonoma Volcanics make it difficult, if</w:t>
      </w:r>
      <w:r w:rsidR="00002EFA" w:rsidRPr="00A833D2">
        <w:rPr>
          <w:rFonts w:ascii="Times New Roman" w:hAnsi="Times New Roman" w:cs="Times New Roman"/>
          <w:sz w:val="24"/>
          <w:szCs w:val="24"/>
        </w:rPr>
        <w:t xml:space="preserve"> not impossible, to dewater the </w:t>
      </w:r>
      <w:r w:rsidR="003A46C9" w:rsidRPr="00A833D2">
        <w:rPr>
          <w:rFonts w:ascii="Times New Roman" w:hAnsi="Times New Roman" w:cs="Times New Roman"/>
          <w:sz w:val="24"/>
          <w:szCs w:val="24"/>
        </w:rPr>
        <w:t>saturated material, and t</w:t>
      </w:r>
      <w:r w:rsidR="00A10A87" w:rsidRPr="00A833D2">
        <w:rPr>
          <w:rFonts w:ascii="Times New Roman" w:hAnsi="Times New Roman" w:cs="Times New Roman"/>
          <w:sz w:val="24"/>
          <w:szCs w:val="24"/>
        </w:rPr>
        <w:t>hus, the conclusion that the overdraft on the</w:t>
      </w:r>
      <w:r w:rsidR="00002EFA" w:rsidRPr="00A833D2">
        <w:rPr>
          <w:rFonts w:ascii="Times New Roman" w:hAnsi="Times New Roman" w:cs="Times New Roman"/>
          <w:sz w:val="24"/>
          <w:szCs w:val="24"/>
        </w:rPr>
        <w:t xml:space="preserve"> Project site would have a less </w:t>
      </w:r>
      <w:r w:rsidR="00A10A87" w:rsidRPr="00A833D2">
        <w:rPr>
          <w:rFonts w:ascii="Times New Roman" w:hAnsi="Times New Roman" w:cs="Times New Roman"/>
          <w:sz w:val="24"/>
          <w:szCs w:val="24"/>
        </w:rPr>
        <w:t>than significant effect on the groundwater storage is not properly analyzed in the EIR.</w:t>
      </w:r>
    </w:p>
    <w:p w14:paraId="41585041"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740BA68D" w14:textId="33CE0F4C"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assumptions presented by the Appellant are based on an incorrect interpretation of Johnson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1977 study of groundwater conditions in the MST.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Therein, Johnson estimated that only 10 percent of the Sonoma Volcanic groundwater storage capacity is useable (accessible) storage, but the entire passage makes clear that Johnson is referring to the groundwater storage units in the MST area as listed in Table 3 therein, and not the overall ability of the Sonoma Volcanics to store groundwater. The Walt Ranch property is not located within the MST groundwater deficient area, as explained response to </w:t>
      </w:r>
      <w:r w:rsidR="004158B2"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tenth ground of appeal (see Resolution No. 2016</w:t>
      </w:r>
      <w:r w:rsidR="004158B2"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p>
    <w:p w14:paraId="7E01605C" w14:textId="08D4749A"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Refer to response to </w:t>
      </w:r>
      <w:r w:rsidR="004158B2"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twenty-seventh ground of appeal</w:t>
      </w:r>
      <w:r w:rsidRPr="00A833D2">
        <w:rPr>
          <w:rFonts w:ascii="Times New Roman" w:hAnsi="Times New Roman" w:cs="Times New Roman"/>
          <w:sz w:val="24"/>
          <w:szCs w:val="24"/>
        </w:rPr>
        <w:t xml:space="preserve"> regarding the estimate of groundwater in storage presented in the EIR.</w:t>
      </w:r>
    </w:p>
    <w:p w14:paraId="15DAB46B" w14:textId="6402158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USGS, 1977, Ground-water hydrology of the Lower Milliken-Sarco-Tul</w:t>
      </w:r>
      <w:r w:rsidR="00A833D2">
        <w:rPr>
          <w:rFonts w:ascii="Times New Roman" w:hAnsi="Times New Roman" w:cs="Times New Roman"/>
          <w:sz w:val="24"/>
          <w:szCs w:val="24"/>
        </w:rPr>
        <w:t>o</w:t>
      </w:r>
      <w:r w:rsidR="00002EFA" w:rsidRPr="00A833D2">
        <w:rPr>
          <w:rFonts w:ascii="Times New Roman" w:hAnsi="Times New Roman" w:cs="Times New Roman"/>
          <w:sz w:val="24"/>
          <w:szCs w:val="24"/>
        </w:rPr>
        <w:t>cay Creeks Area, Napa County, California. Johnson, M.J. USGS Water</w:t>
      </w:r>
      <w:r w:rsidR="004158B2" w:rsidRPr="00A833D2">
        <w:rPr>
          <w:rFonts w:ascii="Times New Roman" w:hAnsi="Times New Roman" w:cs="Times New Roman"/>
          <w:sz w:val="24"/>
          <w:szCs w:val="24"/>
        </w:rPr>
        <w:t>-Resources Investigations 77-82; citations for response to LRC</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tenth ground of appeal (see Resolution No. 2016</w:t>
      </w:r>
      <w:r w:rsidR="00AB52C9" w:rsidRPr="00A833D2">
        <w:rPr>
          <w:rFonts w:ascii="Times New Roman" w:hAnsi="Times New Roman" w:cs="Times New Roman"/>
          <w:sz w:val="24"/>
          <w:szCs w:val="24"/>
          <w:highlight w:val="yellow"/>
        </w:rPr>
        <w:t xml:space="preserve">-____); </w:t>
      </w:r>
      <w:r w:rsidR="00AB52C9"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AB52C9" w:rsidRPr="00A833D2">
        <w:rPr>
          <w:rFonts w:ascii="Times New Roman" w:hAnsi="Times New Roman" w:cs="Times New Roman"/>
          <w:sz w:val="24"/>
          <w:szCs w:val="24"/>
        </w:rPr>
        <w:t>Meetings.</w:t>
      </w:r>
    </w:p>
    <w:p w14:paraId="02481E41" w14:textId="0E8D167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twenty-eighth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3BD4BA1"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29.</w:t>
      </w:r>
      <w:r w:rsidRPr="00A833D2">
        <w:rPr>
          <w:rFonts w:ascii="Times New Roman" w:hAnsi="Times New Roman" w:cs="Times New Roman"/>
          <w:b/>
          <w:sz w:val="24"/>
          <w:szCs w:val="24"/>
        </w:rPr>
        <w:tab/>
        <w:t>Twenty-ninth Ground of Appeal.</w:t>
      </w:r>
    </w:p>
    <w:p w14:paraId="300B12D1" w14:textId="7F7EC7E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 inadequately assessed the impacts of water use by ove</w:t>
      </w:r>
      <w:r w:rsidR="00AB52C9" w:rsidRPr="00A833D2">
        <w:rPr>
          <w:rFonts w:ascii="Times New Roman" w:hAnsi="Times New Roman" w:cs="Times New Roman"/>
          <w:sz w:val="24"/>
          <w:szCs w:val="24"/>
        </w:rPr>
        <w:t>restimating the recharge rates because t</w:t>
      </w:r>
      <w:r w:rsidR="00002EFA" w:rsidRPr="00A833D2">
        <w:rPr>
          <w:rFonts w:ascii="Times New Roman" w:hAnsi="Times New Roman" w:cs="Times New Roman"/>
          <w:sz w:val="24"/>
          <w:szCs w:val="24"/>
        </w:rPr>
        <w:t xml:space="preserve">he EIR assumes that 7 percent to 9 percent of annual rainfall goes to deep percolation. </w:t>
      </w:r>
      <w:r w:rsidR="00AB52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he problem with applying the 9 percent recharge rate is that the rate reflects a watershed-wide average, incorporating the high stream and volcanic tuff infiltration rates in the lower elevations of the eastern hills with much lower infiltration rates representative of the higher elevation volcanic terrain.</w:t>
      </w:r>
      <w:r w:rsidR="00AB52C9" w:rsidRPr="00A833D2">
        <w:rPr>
          <w:rFonts w:ascii="Times New Roman" w:hAnsi="Times New Roman" w:cs="Times New Roman"/>
          <w:sz w:val="24"/>
          <w:szCs w:val="24"/>
        </w:rPr>
        <w:t xml:space="preserve"> Appellant asserts that t</w:t>
      </w:r>
      <w:r w:rsidR="00002EFA" w:rsidRPr="00A833D2">
        <w:rPr>
          <w:rFonts w:ascii="Times New Roman" w:hAnsi="Times New Roman" w:cs="Times New Roman"/>
          <w:sz w:val="24"/>
          <w:szCs w:val="24"/>
        </w:rPr>
        <w:t>he proper analysis would show a recharge rate that is less than half of the estimated annual project groundwater demand.</w:t>
      </w:r>
    </w:p>
    <w:p w14:paraId="33DDB6AA"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5BB57052" w14:textId="1F0C4A1E"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Appellant states that the tuffaceous member of the Sonoma Volcanics in the southern portion of the Milliken Creek watershed is the principal water-bearing member of the Sonoma Volcanics, with higher infiltration rates than the volcanic flow-type rocks. As stated in the 2015 RCS Response to Comments Memorandum,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in the last 32+ years of providing hydrogeologic services in Napa and Sonoma counties, and monitoring the drilling, design, construction and testing of a large number of water wells in the Sonoma Volcanics, RCS has observed very high flow rates from wells constructed into the volcanic flow rocks, scoria, and welded ash deposits (not the tuffaceous members) of the Sonoma Volcanics. Further, as described above, the Walt Ranch wells are constructed into the flow rocks and not the tuffaceous strata of the Sonoma Volcanics. As shown on Table 3A of the RCS 2014 report, each of the Walt Ranch wells was capable of producing at rates ranging from 50 gpm to 300 gpm (RCS 2014). Well WR-3 was pumped at a rate of 300 gpm and displayed a specific capacity of 3.6 gallons per minute per foot of drawdown (Table 3A, Appendix Q, RCS 2014).</w:t>
      </w:r>
      <w:r w:rsidR="00E20849" w:rsidRPr="00A833D2">
        <w:rPr>
          <w:rFonts w:ascii="Times New Roman" w:hAnsi="Times New Roman" w:cs="Times New Roman"/>
          <w:sz w:val="24"/>
          <w:szCs w:val="24"/>
        </w:rPr>
        <w: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See response to </w:t>
      </w:r>
      <w:r w:rsidR="00AB52C9"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AB52C9" w:rsidRPr="00A833D2">
        <w:rPr>
          <w:rFonts w:ascii="Times New Roman" w:hAnsi="Times New Roman" w:cs="Times New Roman"/>
          <w:sz w:val="24"/>
          <w:szCs w:val="24"/>
        </w:rPr>
        <w:t>s ninth ground of appeal (see Resolution No. 2016</w:t>
      </w:r>
      <w:r w:rsidR="00AB52C9" w:rsidRPr="00A833D2">
        <w:rPr>
          <w:rFonts w:ascii="Times New Roman" w:hAnsi="Times New Roman" w:cs="Times New Roman"/>
          <w:sz w:val="24"/>
          <w:szCs w:val="24"/>
          <w:highlight w:val="yellow"/>
        </w:rPr>
        <w:t>-____)</w:t>
      </w:r>
      <w:r w:rsidR="00AB52C9" w:rsidRPr="00A833D2">
        <w:rPr>
          <w:rFonts w:ascii="Times New Roman" w:hAnsi="Times New Roman" w:cs="Times New Roman"/>
          <w:sz w:val="24"/>
          <w:szCs w:val="24"/>
        </w:rPr>
        <w:t xml:space="preserve"> </w:t>
      </w:r>
      <w:r w:rsidRPr="00A833D2">
        <w:rPr>
          <w:rFonts w:ascii="Times New Roman" w:hAnsi="Times New Roman" w:cs="Times New Roman"/>
          <w:sz w:val="24"/>
          <w:szCs w:val="24"/>
        </w:rPr>
        <w:t>regarding the appropriate use of 7 to 9 percent as the deep percolation rate.</w:t>
      </w:r>
    </w:p>
    <w:p w14:paraId="5AA2EE73" w14:textId="71DF5D0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RCS, 2015, Technical Memorandum Re: Response to Comments on the Walt Ranch Draft EIR, August 13, 2015, included</w:t>
      </w:r>
      <w:r w:rsidR="00367F3D" w:rsidRPr="00A833D2">
        <w:rPr>
          <w:rFonts w:ascii="Times New Roman" w:hAnsi="Times New Roman" w:cs="Times New Roman"/>
          <w:sz w:val="24"/>
          <w:szCs w:val="24"/>
        </w:rPr>
        <w:t xml:space="preserve"> as Appendix Q to the Final EIR; 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w:t>
      </w:r>
    </w:p>
    <w:p w14:paraId="37A2AADD" w14:textId="27AC917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twenty-ninth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681A823"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lastRenderedPageBreak/>
        <w:t>30.</w:t>
      </w:r>
      <w:r w:rsidRPr="00A833D2">
        <w:rPr>
          <w:rFonts w:ascii="Times New Roman" w:hAnsi="Times New Roman" w:cs="Times New Roman"/>
          <w:b/>
          <w:sz w:val="24"/>
          <w:szCs w:val="24"/>
        </w:rPr>
        <w:tab/>
        <w:t>Thirtieth Ground of Appeal.</w:t>
      </w:r>
    </w:p>
    <w:p w14:paraId="671C4E55" w14:textId="2ED1B1B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w:t>
      </w:r>
      <w:r w:rsidR="00E20849"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s conclusions on site-specific and cumulative impacts of groundwater withdrawals are not substantiated by evidence. </w:t>
      </w:r>
      <w:r w:rsidR="003A46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he EIR admits that there is no regional impact analysis on ground water supply and that it is infeasible to predict long-term impacts associated with groundwater extractions.</w:t>
      </w:r>
      <w:r w:rsidR="003A46C9" w:rsidRPr="00A833D2">
        <w:rPr>
          <w:rFonts w:ascii="Times New Roman" w:hAnsi="Times New Roman" w:cs="Times New Roman"/>
          <w:sz w:val="24"/>
          <w:szCs w:val="24"/>
        </w:rPr>
        <w:t xml:space="preserve"> Appellant asserts that t</w:t>
      </w:r>
      <w:r w:rsidR="00002EFA" w:rsidRPr="00A833D2">
        <w:rPr>
          <w:rFonts w:ascii="Times New Roman" w:hAnsi="Times New Roman" w:cs="Times New Roman"/>
          <w:sz w:val="24"/>
          <w:szCs w:val="24"/>
        </w:rPr>
        <w:t xml:space="preserve">he lack of analysis or inability to complete an impact assessment does not constitute the conclusion of </w:t>
      </w:r>
      <w:r w:rsidR="00E20849" w:rsidRPr="00A833D2">
        <w:rPr>
          <w:rFonts w:ascii="Times New Roman" w:hAnsi="Times New Roman" w:cs="Times New Roman"/>
          <w:sz w:val="24"/>
          <w:szCs w:val="24"/>
        </w:rPr>
        <w:t>“</w:t>
      </w:r>
      <w:r w:rsidR="00002EFA" w:rsidRPr="00A833D2">
        <w:rPr>
          <w:rFonts w:ascii="Times New Roman" w:hAnsi="Times New Roman" w:cs="Times New Roman"/>
          <w:sz w:val="24"/>
          <w:szCs w:val="24"/>
        </w:rPr>
        <w:t>no potential impact</w:t>
      </w:r>
      <w:r w:rsidR="003A46C9" w:rsidRPr="00A833D2">
        <w:rPr>
          <w:rFonts w:ascii="Times New Roman" w:hAnsi="Times New Roman" w:cs="Times New Roman"/>
          <w:sz w:val="24"/>
          <w:szCs w:val="24"/>
        </w:rPr>
        <w:t>,</w:t>
      </w:r>
      <w:r w:rsidR="00E20849"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w:t>
      </w:r>
      <w:r w:rsidR="003A46C9" w:rsidRPr="00A833D2">
        <w:rPr>
          <w:rFonts w:ascii="Times New Roman" w:hAnsi="Times New Roman" w:cs="Times New Roman"/>
          <w:sz w:val="24"/>
          <w:szCs w:val="24"/>
        </w:rPr>
        <w:t>and t</w:t>
      </w:r>
      <w:r w:rsidR="00002EFA" w:rsidRPr="00A833D2">
        <w:rPr>
          <w:rFonts w:ascii="Times New Roman" w:hAnsi="Times New Roman" w:cs="Times New Roman"/>
          <w:sz w:val="24"/>
          <w:szCs w:val="24"/>
        </w:rPr>
        <w:t>he impact should be considered potentially significant until demonstrated otherwise.</w:t>
      </w:r>
    </w:p>
    <w:p w14:paraId="43F60A6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50F96D4D" w14:textId="633E8796"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response to </w:t>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ninth ground of appeal</w:t>
      </w:r>
      <w:r w:rsidRPr="00A833D2">
        <w:rPr>
          <w:rFonts w:ascii="Times New Roman" w:hAnsi="Times New Roman" w:cs="Times New Roman"/>
          <w:sz w:val="24"/>
          <w:szCs w:val="24"/>
        </w:rPr>
        <w:t xml:space="preserve">, the site-specific groundwater pumping test utilized theoretical monitoring points that coincided with the estimated locations of the COCWD vertical and horizontal wells. Refer to response to </w:t>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xml:space="preserve"> regarding the regional groundwater demand from the Walt Ranch Project, Circle S Ranch, and COCWD. Substantial analysis was conducted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00375789"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15126.2, and Impact 4.6-4 of the EIR found this to be a potentially significant impact. As such, Mitigation Measure 4.6-4 required preparation and adoption of a GWMMP to minimize the potential impacts to offsite wells. Refer to response to </w:t>
      </w:r>
      <w:r w:rsidR="00711EE4" w:rsidRPr="00A833D2">
        <w:rPr>
          <w:rFonts w:ascii="Times New Roman" w:hAnsi="Times New Roman" w:cs="Times New Roman"/>
          <w:sz w:val="24"/>
          <w:szCs w:val="24"/>
        </w:rPr>
        <w:t>CBD</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thirty-third appeal (see Resolution No. 2016</w:t>
      </w:r>
      <w:r w:rsidR="00711EE4" w:rsidRPr="00A833D2">
        <w:rPr>
          <w:rFonts w:ascii="Times New Roman" w:hAnsi="Times New Roman" w:cs="Times New Roman"/>
          <w:sz w:val="24"/>
          <w:szCs w:val="24"/>
          <w:highlight w:val="yellow"/>
        </w:rPr>
        <w:t>-____)</w:t>
      </w:r>
      <w:r w:rsidRPr="00A833D2">
        <w:rPr>
          <w:rFonts w:ascii="Times New Roman" w:hAnsi="Times New Roman" w:cs="Times New Roman"/>
          <w:sz w:val="24"/>
          <w:szCs w:val="24"/>
        </w:rPr>
        <w:t xml:space="preserve"> regarding the GWMMP.</w:t>
      </w:r>
    </w:p>
    <w:p w14:paraId="32B80A92" w14:textId="2DC81DD0" w:rsidR="00367F3D" w:rsidRPr="00A833D2" w:rsidRDefault="00367F3D"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In addition, 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0BE30E0C" w14:textId="1E634486"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711EE4" w:rsidRPr="00A833D2">
        <w:rPr>
          <w:rFonts w:ascii="Times New Roman" w:hAnsi="Times New Roman" w:cs="Times New Roman"/>
          <w:sz w:val="24"/>
          <w:szCs w:val="24"/>
        </w:rPr>
        <w:t xml:space="preserve"> EIR, Impact 4.6-4; Mitigation Measure 4.6-4; citations for response to CBD</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thirty-third ground of appeal (see Resolution No. 2016</w:t>
      </w:r>
      <w:r w:rsidR="00367F3D" w:rsidRPr="00A833D2">
        <w:rPr>
          <w:rFonts w:ascii="Times New Roman" w:hAnsi="Times New Roman" w:cs="Times New Roman"/>
          <w:sz w:val="24"/>
          <w:szCs w:val="24"/>
          <w:highlight w:val="yellow"/>
        </w:rPr>
        <w:t xml:space="preserve">-____); </w:t>
      </w:r>
      <w:r w:rsidR="00367F3D"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 Memorandum from David Morrison and Brian Bordona to Chair Pedroza and Board Members, December 5, 2016.</w:t>
      </w:r>
    </w:p>
    <w:p w14:paraId="209EAB7E" w14:textId="391156B1"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thirtieth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225BF0B"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31.</w:t>
      </w:r>
      <w:r w:rsidRPr="00A833D2">
        <w:rPr>
          <w:rFonts w:ascii="Times New Roman" w:hAnsi="Times New Roman" w:cs="Times New Roman"/>
          <w:b/>
          <w:sz w:val="24"/>
          <w:szCs w:val="24"/>
        </w:rPr>
        <w:tab/>
        <w:t>Thirty-first Ground of Appeal.</w:t>
      </w:r>
    </w:p>
    <w:p w14:paraId="7D1EBA4C" w14:textId="13C3936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 proposes invalid mitigation measures associated with potential impacts of groundwater pumping. </w:t>
      </w:r>
      <w:r w:rsidR="003A46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 xml:space="preserve">he EIR proposes a monitoring program, but monitoring itself is not mitigation. </w:t>
      </w:r>
      <w:r w:rsidR="003A46C9" w:rsidRPr="00A833D2">
        <w:rPr>
          <w:rFonts w:ascii="Times New Roman" w:hAnsi="Times New Roman" w:cs="Times New Roman"/>
          <w:sz w:val="24"/>
          <w:szCs w:val="24"/>
        </w:rPr>
        <w:t>Appellant asserts that t</w:t>
      </w:r>
      <w:r w:rsidR="00002EFA" w:rsidRPr="00A833D2">
        <w:rPr>
          <w:rFonts w:ascii="Times New Roman" w:hAnsi="Times New Roman" w:cs="Times New Roman"/>
          <w:sz w:val="24"/>
          <w:szCs w:val="24"/>
        </w:rPr>
        <w:t>he EIR fails to identify triggers and corresponding management/operational changes should the groundwater pumping exceed the trigger amount.</w:t>
      </w:r>
    </w:p>
    <w:p w14:paraId="1EDDE362"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4168F50D" w14:textId="408C0FB5"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thirty-first ground of appeal</w:t>
      </w:r>
      <w:r w:rsidRPr="00A833D2">
        <w:rPr>
          <w:rFonts w:ascii="Times New Roman" w:hAnsi="Times New Roman" w:cs="Times New Roman"/>
          <w:sz w:val="24"/>
          <w:szCs w:val="24"/>
        </w:rPr>
        <w:t xml:space="preserve"> raises very similar issues to those raised by Provencher &amp; Flatt, LLP, in their April 4, 2016 letter that included comments on the Final EIR. Responses to these comments are included on pages 11 through 13 of the 2016 RCS Memo. </w:t>
      </w:r>
      <w:r w:rsidRPr="00A833D2">
        <w:rPr>
          <w:rFonts w:ascii="Times New Roman" w:hAnsi="Times New Roman" w:cs="Times New Roman"/>
          <w:sz w:val="24"/>
          <w:szCs w:val="24"/>
        </w:rPr>
        <w:lastRenderedPageBreak/>
        <w:t xml:space="preserve">Specific mitigation measures that include mitigations for loss of water are listed on page 13 of the GWMMP. A description of the process needed to develop an appropriate trigger point by the County is described on page 12 of the GWMMP and discussed further in response to </w:t>
      </w:r>
      <w:r w:rsidR="003A46C9"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3A46C9" w:rsidRPr="00A833D2">
        <w:rPr>
          <w:rFonts w:ascii="Times New Roman" w:hAnsi="Times New Roman" w:cs="Times New Roman"/>
          <w:sz w:val="24"/>
          <w:szCs w:val="24"/>
        </w:rPr>
        <w:t>s nineteenth ground of appeal (see Resolution No. 2016</w:t>
      </w:r>
      <w:r w:rsidR="003A46C9"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r w:rsidRPr="00A833D2">
        <w:rPr>
          <w:rFonts w:ascii="Times New Roman" w:hAnsi="Times New Roman" w:cs="Times New Roman"/>
          <w:sz w:val="24"/>
          <w:szCs w:val="24"/>
        </w:rPr>
        <w:t xml:space="preserve"> Further, the trigger point is to be based on the significance threshold used in the Draft EIR and incorporated into the GWMMP as the performance criteria for establishing the trigger point based on well specific information.</w:t>
      </w:r>
    </w:p>
    <w:p w14:paraId="728DD461" w14:textId="0474CE31"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711EE4" w:rsidRPr="00A833D2">
        <w:rPr>
          <w:rFonts w:ascii="Times New Roman" w:hAnsi="Times New Roman" w:cs="Times New Roman"/>
          <w:sz w:val="24"/>
          <w:szCs w:val="24"/>
        </w:rPr>
        <w:t>As discussed in the response to LRC</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thirteenth ground of appeal (see Resolution No. 2016</w:t>
      </w:r>
      <w:r w:rsidR="00711EE4"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r w:rsidRPr="00A833D2">
        <w:rPr>
          <w:rFonts w:ascii="Times New Roman" w:hAnsi="Times New Roman" w:cs="Times New Roman"/>
          <w:sz w:val="24"/>
          <w:szCs w:val="24"/>
        </w:rPr>
        <w:t xml:space="preserve"> the EIR utilizes the qualitative significance threshold provided in CEQA </w:t>
      </w:r>
      <w:r w:rsidRPr="00A833D2">
        <w:rPr>
          <w:rFonts w:ascii="Times New Roman" w:hAnsi="Times New Roman" w:cs="Times New Roman"/>
          <w:iCs/>
          <w:sz w:val="24"/>
          <w:szCs w:val="24"/>
        </w:rPr>
        <w:t>Guidelines</w:t>
      </w:r>
      <w:r w:rsidRPr="00A833D2">
        <w:rPr>
          <w:rFonts w:ascii="Times New Roman" w:hAnsi="Times New Roman" w:cs="Times New Roman"/>
          <w:i/>
          <w:iCs/>
          <w:sz w:val="24"/>
          <w:szCs w:val="24"/>
        </w:rPr>
        <w:t xml:space="preserve"> </w:t>
      </w:r>
      <w:r w:rsidRPr="00A833D2">
        <w:rPr>
          <w:rFonts w:ascii="Times New Roman" w:hAnsi="Times New Roman" w:cs="Times New Roman"/>
          <w:sz w:val="24"/>
          <w:szCs w:val="24"/>
        </w:rPr>
        <w:t>Appendix G relating to groundwater resources,</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requires the development of a GWMMP which requires specific quantitative thresholds or trigger points, and provides eight different potential mitigation options in the event that impacts do occur to offsite wells. This mitigation measure, in addition to being in compliance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15126.4, is also consistent with and similar to other groundwater mitigation measures for nearby vineyard projects in the vicinity, including the neighboring Circle S Ranch.</w:t>
      </w:r>
    </w:p>
    <w:p w14:paraId="04063B1D" w14:textId="474A062E" w:rsidR="00367F3D" w:rsidRPr="00A833D2" w:rsidRDefault="00367F3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In addition, 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46197337" w14:textId="7B77250E"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RCS, 2016, Technical Memorandum Re: Response to Comments on the Walt Ranch Final EIR, June 10, 2016, included as Attachment C to the Responses t</w:t>
      </w:r>
      <w:r w:rsidR="00367F3D" w:rsidRPr="00A833D2">
        <w:rPr>
          <w:rFonts w:ascii="Times New Roman" w:hAnsi="Times New Roman" w:cs="Times New Roman"/>
          <w:sz w:val="24"/>
          <w:szCs w:val="24"/>
        </w:rPr>
        <w:t xml:space="preserve">o Final EIR Comments Memorandum; </w:t>
      </w:r>
      <w:r w:rsidR="003A46C9" w:rsidRPr="00A833D2">
        <w:rPr>
          <w:rFonts w:ascii="Times New Roman" w:hAnsi="Times New Roman" w:cs="Times New Roman"/>
          <w:sz w:val="24"/>
          <w:szCs w:val="24"/>
        </w:rPr>
        <w:t>refer to citations for responses to LRC</w:t>
      </w:r>
      <w:r w:rsidR="00E20849" w:rsidRPr="00A833D2">
        <w:rPr>
          <w:rFonts w:ascii="Times New Roman" w:hAnsi="Times New Roman" w:cs="Times New Roman"/>
          <w:sz w:val="24"/>
          <w:szCs w:val="24"/>
        </w:rPr>
        <w:t>’</w:t>
      </w:r>
      <w:r w:rsidR="003A46C9" w:rsidRPr="00A833D2">
        <w:rPr>
          <w:rFonts w:ascii="Times New Roman" w:hAnsi="Times New Roman" w:cs="Times New Roman"/>
          <w:sz w:val="24"/>
          <w:szCs w:val="24"/>
        </w:rPr>
        <w:t>s thirteenth and nineteenth grounds of appeal (see Resolution No. 2016</w:t>
      </w:r>
      <w:r w:rsidR="003A46C9" w:rsidRPr="00A833D2">
        <w:rPr>
          <w:rFonts w:ascii="Times New Roman" w:hAnsi="Times New Roman" w:cs="Times New Roman"/>
          <w:sz w:val="24"/>
          <w:szCs w:val="24"/>
          <w:highlight w:val="yellow"/>
        </w:rPr>
        <w:t>-____);</w:t>
      </w:r>
      <w:r w:rsidR="003A46C9" w:rsidRPr="00A833D2">
        <w:rPr>
          <w:rFonts w:ascii="Times New Roman" w:hAnsi="Times New Roman" w:cs="Times New Roman"/>
          <w:sz w:val="24"/>
          <w:szCs w:val="24"/>
        </w:rPr>
        <w:t xml:space="preserve"> </w:t>
      </w:r>
      <w:r w:rsidR="00367F3D"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 Memorandum from David Morrison and Brian Bordona to Chair Pedroza and Board Members, December 5, 2016.</w:t>
      </w:r>
    </w:p>
    <w:p w14:paraId="5965E70F" w14:textId="2CF0C42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w:t>
      </w:r>
      <w:r w:rsidR="00002EFA" w:rsidRPr="00A833D2">
        <w:rPr>
          <w:rFonts w:ascii="Times New Roman" w:hAnsi="Times New Roman" w:cs="Times New Roman"/>
          <w:sz w:val="24"/>
          <w:szCs w:val="24"/>
        </w:rPr>
        <w:t xml:space="preserve">nies the thirty-first ground of </w:t>
      </w:r>
      <w:r w:rsidRPr="00A833D2">
        <w:rPr>
          <w:rFonts w:ascii="Times New Roman" w:hAnsi="Times New Roman" w:cs="Times New Roman"/>
          <w:sz w:val="24"/>
          <w:szCs w:val="24"/>
        </w:rPr>
        <w:t>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w:t>
      </w:r>
      <w:r w:rsidR="00002EFA" w:rsidRPr="00A833D2">
        <w:rPr>
          <w:rFonts w:ascii="Times New Roman" w:hAnsi="Times New Roman" w:cs="Times New Roman"/>
          <w:sz w:val="24"/>
          <w:szCs w:val="24"/>
        </w:rPr>
        <w:t xml:space="preserve">fy the EIR, approve the Reduced </w:t>
      </w:r>
      <w:r w:rsidRPr="00A833D2">
        <w:rPr>
          <w:rFonts w:ascii="Times New Roman" w:hAnsi="Times New Roman" w:cs="Times New Roman"/>
          <w:sz w:val="24"/>
          <w:szCs w:val="24"/>
        </w:rPr>
        <w:t xml:space="preserve">Intensity Alternative with associated Mitigation Measures </w:t>
      </w:r>
      <w:r w:rsidR="00002EFA" w:rsidRPr="00A833D2">
        <w:rPr>
          <w:rFonts w:ascii="Times New Roman" w:hAnsi="Times New Roman" w:cs="Times New Roman"/>
          <w:sz w:val="24"/>
          <w:szCs w:val="24"/>
        </w:rPr>
        <w:t xml:space="preserve">and Conditions of Approval, and </w:t>
      </w:r>
      <w:r w:rsidRPr="00A833D2">
        <w:rPr>
          <w:rFonts w:ascii="Times New Roman" w:hAnsi="Times New Roman" w:cs="Times New Roman"/>
          <w:sz w:val="24"/>
          <w:szCs w:val="24"/>
        </w:rPr>
        <w:t>approve Agricultural Erosion Control Plan No. P11-00205-ECPA (as revised).</w:t>
      </w:r>
    </w:p>
    <w:p w14:paraId="355E21BC"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32.</w:t>
      </w:r>
      <w:r w:rsidRPr="00A833D2">
        <w:rPr>
          <w:rFonts w:ascii="Times New Roman" w:hAnsi="Times New Roman" w:cs="Times New Roman"/>
          <w:b/>
          <w:sz w:val="24"/>
          <w:szCs w:val="24"/>
        </w:rPr>
        <w:tab/>
        <w:t>Thirty-second Ground of Appeal.</w:t>
      </w:r>
    </w:p>
    <w:p w14:paraId="774109BA" w14:textId="2833DAE2"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 does not provide adequate assessment of the potential project-induced changes in the volume and timing of water supplies to wetlands, riparian corridors, and the associated biological habitats. </w:t>
      </w:r>
      <w:r w:rsidR="003A46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here is no comprehensive monthly or seasonal water budget to fully quantify runoff or groundwat</w:t>
      </w:r>
      <w:r w:rsidR="003A46C9" w:rsidRPr="00A833D2">
        <w:rPr>
          <w:rFonts w:ascii="Times New Roman" w:hAnsi="Times New Roman" w:cs="Times New Roman"/>
          <w:sz w:val="24"/>
          <w:szCs w:val="24"/>
        </w:rPr>
        <w:t>er recharge throughout the year, and t</w:t>
      </w:r>
      <w:r w:rsidR="00002EFA" w:rsidRPr="00A833D2">
        <w:rPr>
          <w:rFonts w:ascii="Times New Roman" w:hAnsi="Times New Roman" w:cs="Times New Roman"/>
          <w:sz w:val="24"/>
          <w:szCs w:val="24"/>
        </w:rPr>
        <w:t>he seasonal distribution and duration of surface water flow rates are an integral variable in the support of existing wetland and riparian vegetation and wildlife.</w:t>
      </w:r>
    </w:p>
    <w:p w14:paraId="151F1C02"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658240E1" w14:textId="33DA7272"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This was addressed in Final EIR Response to Comment A7-10. The Walt Ranch property is not located within a groundwater basin as defined by DWR and is not included as part of Basin 2-2.01, the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Napa –Sonoma Valley Groundwater Basin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by DWR.</w:t>
      </w:r>
    </w:p>
    <w:p w14:paraId="50FFF4DE" w14:textId="77777777"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lastRenderedPageBreak/>
        <w:tab/>
      </w:r>
      <w:r w:rsidRPr="00A833D2">
        <w:rPr>
          <w:rFonts w:ascii="Times New Roman" w:hAnsi="Times New Roman" w:cs="Times New Roman"/>
          <w:sz w:val="24"/>
          <w:szCs w:val="24"/>
        </w:rPr>
        <w:t>The proposed groundwater pumping will not affect surface water flows in Milliken Creek, as this system of fractured volcanic rocks is disconnected from the surface flow. In general, larger creeks or streams are more likely to have alluvial deposits, subsurface channels, and connections to groundwater. However, the main stem of Milliken Creek on the property does not include those features due to its location at the headwaters of the watershed, which is why it is highly unlikely that any of the small tributaries or swales feeding it would have those ground water dependent features. Due to the fact that the project would not interrupt any significant connections between the groundwater and surface water features, there would be no significant impacts to salmonids as a result of groundwater pumping.</w:t>
      </w:r>
    </w:p>
    <w:p w14:paraId="0661CF87" w14:textId="7EEB9C66"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the Final EIR Response to Comment A7-10, the United States Geological Survey (USGS) Circular 1376 generally discusses how groundwater pumping may affect surface water flows (e.g., when groundwater pumping occurs in an aquifer with a direct hydraulic connection to a stream).</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USGS Circular 1376 is a document that describes a number of varied geologic conditions in which groundwater and surface water interaction occurs (a situation in which the water table is in direct contact with the surface water in a stream or river). In the document, USGS finds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connected systems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occur in alluvial-type aquifers. Specifically, a connected system requires two components,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first, that the stream and underlying aquifer remain hydraulically connected by a continuous saturated zone, and second, that the stream does not become dry.</w:t>
      </w:r>
      <w:r w:rsidR="00E20849" w:rsidRPr="00A833D2">
        <w:rPr>
          <w:rFonts w:ascii="Times New Roman" w:hAnsi="Times New Roman" w:cs="Times New Roman"/>
          <w:sz w:val="24"/>
          <w:szCs w:val="24"/>
        </w:rPr>
        <w: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Milliken Creek traverses a small portion of the southern part of the Walt Ranch property. The portion of the creek that traverses the property is ephemeral, meaning that the creek does not flow year round, and is dry for a significant portion of each year.</w:t>
      </w:r>
    </w:p>
    <w:p w14:paraId="71633094" w14:textId="77777777"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Furthermore, Walt Ranch Well WR-5 is located approximately 1,000 feet northeast of the closest channel of Milliken Creek. RCS reviewed the water level elevation within the well and within Milliken Creek for the Final EIR (refer to Response to Comment A7-9) and found that the elevation of the water surface measured in Well WR-5 is higher than the bottom elevation of Milliken Creek. RCS did not observe flow in the creek when the elevation of the water surface in Well WR-5 was higher than the bottom of the creek. This fact demonstrates that Milliken Creek is not connected to the groundwater table by a continuous saturated zone in the vicinity of Well WR-5. Because the elevation of the water surface in the well is higher than the elevation of the bottom of the creek, if there were such a connection, then water would have been observed in Milliken Creek. Since Milliken Creek does not exist in an alluvial aquifer in the vicinity of Walt Ranch, groundwater pumping will not impact surface water flows.</w:t>
      </w:r>
    </w:p>
    <w:p w14:paraId="054B82FF" w14:textId="59ECA588"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Hydrologic modeling was performed using accepted methodology and the results indicated no further analysis was required. The seasonality of precipitation is described in various sections of the Draft EIR, including at pages 4.2-4 and 4.6-1. Wetlands or other surface water features are described in detail in Section 4.2. Surface and groundwater impacts are described in Section 4.6. Given the disconnected nature of the Sonoma Volcanics from the surface features on the property, further monthly or seasonal water budgets would not provide any additional substantive information that would affect the significance of impacts which were determined in compliance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w:t>
      </w:r>
    </w:p>
    <w:p w14:paraId="3CED3366" w14:textId="677785AE" w:rsidR="003920FA" w:rsidRPr="00A833D2" w:rsidRDefault="003920FA" w:rsidP="00C3455B">
      <w:pPr>
        <w:autoSpaceDE w:val="0"/>
        <w:autoSpaceDN w:val="0"/>
        <w:adjustRightInd w:val="0"/>
        <w:spacing w:after="120" w:line="240" w:lineRule="auto"/>
        <w:rPr>
          <w:rFonts w:ascii="Times New Roman" w:hAnsi="Times New Roman" w:cs="Times New Roman"/>
          <w:iCs/>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Department of Water Resources (DWR), 2003, San Francisco Bay Hydrologic Region, </w:t>
      </w:r>
      <w:r w:rsidR="00002EFA" w:rsidRPr="00A833D2">
        <w:rPr>
          <w:rFonts w:ascii="Times New Roman" w:hAnsi="Times New Roman" w:cs="Times New Roman"/>
          <w:i/>
          <w:iCs/>
          <w:sz w:val="24"/>
          <w:szCs w:val="24"/>
        </w:rPr>
        <w:t>California</w:t>
      </w:r>
      <w:r w:rsidR="00E20849" w:rsidRPr="00A833D2">
        <w:rPr>
          <w:rFonts w:ascii="Times New Roman" w:hAnsi="Times New Roman" w:cs="Times New Roman"/>
          <w:i/>
          <w:iCs/>
          <w:sz w:val="24"/>
          <w:szCs w:val="24"/>
        </w:rPr>
        <w:t>’</w:t>
      </w:r>
      <w:r w:rsidR="00002EFA" w:rsidRPr="00A833D2">
        <w:rPr>
          <w:rFonts w:ascii="Times New Roman" w:hAnsi="Times New Roman" w:cs="Times New Roman"/>
          <w:i/>
          <w:iCs/>
          <w:sz w:val="24"/>
          <w:szCs w:val="24"/>
        </w:rPr>
        <w:t>s Groundwater Update 2003,</w:t>
      </w:r>
      <w:r w:rsidR="00002EFA" w:rsidRPr="00A833D2">
        <w:rPr>
          <w:rFonts w:ascii="Times New Roman" w:hAnsi="Times New Roman" w:cs="Times New Roman"/>
          <w:sz w:val="24"/>
          <w:szCs w:val="24"/>
        </w:rPr>
        <w:t xml:space="preserve"> Bulletin 118, California Department of Water Resources; USGS, 2013, USGS Circular 1376, </w:t>
      </w:r>
      <w:r w:rsidR="00002EFA" w:rsidRPr="00A833D2">
        <w:rPr>
          <w:rFonts w:ascii="Times New Roman" w:hAnsi="Times New Roman" w:cs="Times New Roman"/>
          <w:i/>
          <w:iCs/>
          <w:sz w:val="24"/>
          <w:szCs w:val="24"/>
        </w:rPr>
        <w:t>Streamflow Depletion by Wells – Understanding and Managing the Effects of Gr</w:t>
      </w:r>
      <w:r w:rsidR="00711EE4" w:rsidRPr="00A833D2">
        <w:rPr>
          <w:rFonts w:ascii="Times New Roman" w:hAnsi="Times New Roman" w:cs="Times New Roman"/>
          <w:i/>
          <w:iCs/>
          <w:sz w:val="24"/>
          <w:szCs w:val="24"/>
        </w:rPr>
        <w:t>oundwater Pumping on Streamflow</w:t>
      </w:r>
      <w:r w:rsidR="00711EE4" w:rsidRPr="00A833D2">
        <w:rPr>
          <w:rFonts w:ascii="Times New Roman" w:hAnsi="Times New Roman" w:cs="Times New Roman"/>
          <w:iCs/>
          <w:sz w:val="24"/>
          <w:szCs w:val="24"/>
        </w:rPr>
        <w:t xml:space="preserve">; </w:t>
      </w:r>
      <w:r w:rsidR="00711EE4" w:rsidRPr="00A833D2">
        <w:rPr>
          <w:rFonts w:ascii="Times New Roman" w:hAnsi="Times New Roman" w:cs="Times New Roman"/>
          <w:sz w:val="24"/>
          <w:szCs w:val="24"/>
        </w:rPr>
        <w:t xml:space="preserve">Final EIR, Response to </w:t>
      </w:r>
      <w:r w:rsidR="00711EE4" w:rsidRPr="00A833D2">
        <w:rPr>
          <w:rFonts w:ascii="Times New Roman" w:hAnsi="Times New Roman" w:cs="Times New Roman"/>
          <w:sz w:val="24"/>
          <w:szCs w:val="24"/>
        </w:rPr>
        <w:lastRenderedPageBreak/>
        <w:t>Comment A7-10</w:t>
      </w:r>
      <w:r w:rsidR="00367F3D" w:rsidRPr="00A833D2">
        <w:rPr>
          <w:rFonts w:ascii="Times New Roman" w:hAnsi="Times New Roman" w:cs="Times New Roman"/>
          <w:sz w:val="24"/>
          <w:szCs w:val="24"/>
        </w:rPr>
        <w:t xml:space="preserve">; 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w:t>
      </w:r>
    </w:p>
    <w:p w14:paraId="72D9A3D2" w14:textId="773AC9E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thirty-second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26EB257"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33.</w:t>
      </w:r>
      <w:r w:rsidRPr="00A833D2">
        <w:rPr>
          <w:rFonts w:ascii="Times New Roman" w:hAnsi="Times New Roman" w:cs="Times New Roman"/>
          <w:b/>
          <w:sz w:val="24"/>
          <w:szCs w:val="24"/>
        </w:rPr>
        <w:tab/>
        <w:t>Thirty-third Ground of Appeal.</w:t>
      </w:r>
    </w:p>
    <w:p w14:paraId="1F2E4239" w14:textId="21255A2F" w:rsidR="00A60BC5" w:rsidRPr="00A833D2" w:rsidRDefault="003920FA" w:rsidP="00A60BC5">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00A60BC5">
        <w:rPr>
          <w:rFonts w:ascii="Times New Roman" w:hAnsi="Times New Roman" w:cs="Times New Roman"/>
          <w:sz w:val="24"/>
          <w:szCs w:val="24"/>
        </w:rPr>
        <w:t xml:space="preserve">:  </w:t>
      </w:r>
      <w:r w:rsidR="00A60BC5" w:rsidRPr="00A833D2">
        <w:rPr>
          <w:rFonts w:ascii="Times New Roman" w:hAnsi="Times New Roman" w:cs="Times New Roman"/>
          <w:sz w:val="24"/>
          <w:szCs w:val="24"/>
        </w:rPr>
        <w:t xml:space="preserve">Appellant Circle Oaks asserts that the EIR includes an inaccurate analysis of long-term changes in surface water runoff because the EIR’s conclusion that the development activities, including deep soil-ripping, will reduce runoff rates is based on an incorrect analysis of the long-term effects of soil-ripping on infiltration rates. Appellant claims that any increased infiltration from soil-ripping is short-lived and soil will </w:t>
      </w:r>
      <w:r w:rsidR="00A60BC5">
        <w:rPr>
          <w:rFonts w:ascii="Times New Roman" w:hAnsi="Times New Roman" w:cs="Times New Roman"/>
          <w:sz w:val="24"/>
          <w:szCs w:val="24"/>
        </w:rPr>
        <w:t>reconsolidate</w:t>
      </w:r>
      <w:r w:rsidR="00A60BC5" w:rsidRPr="00A833D2">
        <w:rPr>
          <w:rFonts w:ascii="Times New Roman" w:hAnsi="Times New Roman" w:cs="Times New Roman"/>
          <w:sz w:val="24"/>
          <w:szCs w:val="24"/>
        </w:rPr>
        <w:t xml:space="preserve"> over a relatively short period, resulting in soil with infiltration rates similar to or lower than the pre-project conditions.</w:t>
      </w:r>
    </w:p>
    <w:p w14:paraId="59C4F485"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73E56AA7" w14:textId="4190ED72" w:rsidR="00002EFA" w:rsidRPr="00A833D2" w:rsidRDefault="00002E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r w:rsidR="00711EE4"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twenty-third ground of appeal (see Resolution No. 2016</w:t>
      </w:r>
      <w:r w:rsidR="00711EE4"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p>
    <w:p w14:paraId="43398ECA" w14:textId="3519416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711EE4" w:rsidRPr="00A833D2">
        <w:rPr>
          <w:rFonts w:ascii="Times New Roman" w:hAnsi="Times New Roman" w:cs="Times New Roman"/>
          <w:sz w:val="24"/>
          <w:szCs w:val="24"/>
        </w:rPr>
        <w:t xml:space="preserve"> Refer to citations for response to LRC</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twenty-third ground of appeal (see Resolution No. 2016</w:t>
      </w:r>
      <w:r w:rsidR="00711EE4" w:rsidRPr="00A833D2">
        <w:rPr>
          <w:rFonts w:ascii="Times New Roman" w:hAnsi="Times New Roman" w:cs="Times New Roman"/>
          <w:sz w:val="24"/>
          <w:szCs w:val="24"/>
          <w:highlight w:val="yellow"/>
        </w:rPr>
        <w:t>-____).</w:t>
      </w:r>
    </w:p>
    <w:p w14:paraId="1227BA9F" w14:textId="2350FF0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thirty-third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92F1412"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34.</w:t>
      </w:r>
      <w:r w:rsidRPr="00A833D2">
        <w:rPr>
          <w:rFonts w:ascii="Times New Roman" w:hAnsi="Times New Roman" w:cs="Times New Roman"/>
          <w:b/>
          <w:sz w:val="24"/>
          <w:szCs w:val="24"/>
        </w:rPr>
        <w:tab/>
        <w:t>Thirty-fourth Ground of Appeal.</w:t>
      </w:r>
    </w:p>
    <w:p w14:paraId="3E21B3C2" w14:textId="2A79D09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270D4D" w:rsidRPr="00A833D2">
        <w:rPr>
          <w:rFonts w:ascii="Times New Roman" w:hAnsi="Times New Roman" w:cs="Times New Roman"/>
          <w:sz w:val="24"/>
          <w:szCs w:val="24"/>
        </w:rPr>
        <w:t xml:space="preserve"> the EIR does not properly consider the cumulative impacts of sedimentation and erosion on localized </w:t>
      </w:r>
      <w:r w:rsidR="00E20849" w:rsidRPr="00A833D2">
        <w:rPr>
          <w:rFonts w:ascii="Times New Roman" w:hAnsi="Times New Roman" w:cs="Times New Roman"/>
          <w:sz w:val="24"/>
          <w:szCs w:val="24"/>
        </w:rPr>
        <w:t>“</w:t>
      </w:r>
      <w:r w:rsidR="00270D4D" w:rsidRPr="00A833D2">
        <w:rPr>
          <w:rFonts w:ascii="Times New Roman" w:hAnsi="Times New Roman" w:cs="Times New Roman"/>
          <w:sz w:val="24"/>
          <w:szCs w:val="24"/>
        </w:rPr>
        <w:t>hot spots</w:t>
      </w:r>
      <w:r w:rsidR="00E20849" w:rsidRPr="00A833D2">
        <w:rPr>
          <w:rFonts w:ascii="Times New Roman" w:hAnsi="Times New Roman" w:cs="Times New Roman"/>
          <w:sz w:val="24"/>
          <w:szCs w:val="24"/>
        </w:rPr>
        <w:t>”</w:t>
      </w:r>
      <w:r w:rsidR="00270D4D" w:rsidRPr="00A833D2">
        <w:rPr>
          <w:rFonts w:ascii="Times New Roman" w:hAnsi="Times New Roman" w:cs="Times New Roman"/>
          <w:sz w:val="24"/>
          <w:szCs w:val="24"/>
        </w:rPr>
        <w:t xml:space="preserve"> within the project site. </w:t>
      </w:r>
      <w:r w:rsidR="003A46C9" w:rsidRPr="00A833D2">
        <w:rPr>
          <w:rFonts w:ascii="Times New Roman" w:hAnsi="Times New Roman" w:cs="Times New Roman"/>
          <w:sz w:val="24"/>
          <w:szCs w:val="24"/>
        </w:rPr>
        <w:t>Appellant states that t</w:t>
      </w:r>
      <w:r w:rsidR="00270D4D" w:rsidRPr="00A833D2">
        <w:rPr>
          <w:rFonts w:ascii="Times New Roman" w:hAnsi="Times New Roman" w:cs="Times New Roman"/>
          <w:sz w:val="24"/>
          <w:szCs w:val="24"/>
        </w:rPr>
        <w:t xml:space="preserve">he EIR conclusions regarding project-induced changes in erosion potential is based on summing vineyard block subtotals within the Milliken and Capell Creek watersheds and presenting the total (net) change for each watershed. </w:t>
      </w:r>
      <w:r w:rsidR="003A46C9" w:rsidRPr="00A833D2">
        <w:rPr>
          <w:rFonts w:ascii="Times New Roman" w:hAnsi="Times New Roman" w:cs="Times New Roman"/>
          <w:sz w:val="24"/>
          <w:szCs w:val="24"/>
        </w:rPr>
        <w:t>Appellant asserts, h</w:t>
      </w:r>
      <w:r w:rsidR="00270D4D" w:rsidRPr="00A833D2">
        <w:rPr>
          <w:rFonts w:ascii="Times New Roman" w:hAnsi="Times New Roman" w:cs="Times New Roman"/>
          <w:sz w:val="24"/>
          <w:szCs w:val="24"/>
        </w:rPr>
        <w:t xml:space="preserve">owever, </w:t>
      </w:r>
      <w:r w:rsidR="003A46C9" w:rsidRPr="00A833D2">
        <w:rPr>
          <w:rFonts w:ascii="Times New Roman" w:hAnsi="Times New Roman" w:cs="Times New Roman"/>
          <w:sz w:val="24"/>
          <w:szCs w:val="24"/>
        </w:rPr>
        <w:t xml:space="preserve">that </w:t>
      </w:r>
      <w:r w:rsidR="00270D4D" w:rsidRPr="00A833D2">
        <w:rPr>
          <w:rFonts w:ascii="Times New Roman" w:hAnsi="Times New Roman" w:cs="Times New Roman"/>
          <w:sz w:val="24"/>
          <w:szCs w:val="24"/>
        </w:rPr>
        <w:t xml:space="preserve">this type of lumping of results masks localized impacts, which when considered alone, could be considered a significant impact. </w:t>
      </w:r>
      <w:r w:rsidR="003A46C9" w:rsidRPr="00A833D2">
        <w:rPr>
          <w:rFonts w:ascii="Times New Roman" w:hAnsi="Times New Roman" w:cs="Times New Roman"/>
          <w:sz w:val="24"/>
          <w:szCs w:val="24"/>
        </w:rPr>
        <w:t>Appellant asserts that a</w:t>
      </w:r>
      <w:r w:rsidR="00270D4D" w:rsidRPr="00A833D2">
        <w:rPr>
          <w:rFonts w:ascii="Times New Roman" w:hAnsi="Times New Roman" w:cs="Times New Roman"/>
          <w:sz w:val="24"/>
          <w:szCs w:val="24"/>
        </w:rPr>
        <w:t xml:space="preserve"> more thorough review of changes in soil loss results indicates localized increases in erosion potential from multiple vineyard blocks that contribute drainage and sediment to onsite Corps designated waters and wetlands, which host potentially sensitive biological resources.</w:t>
      </w:r>
    </w:p>
    <w:p w14:paraId="2DF9DC50"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270D4D" w:rsidRPr="00A833D2">
        <w:rPr>
          <w:rFonts w:ascii="Times New Roman" w:hAnsi="Times New Roman" w:cs="Times New Roman"/>
          <w:sz w:val="24"/>
          <w:szCs w:val="24"/>
        </w:rPr>
        <w:t xml:space="preserve"> Board finds and determines as follows:</w:t>
      </w:r>
    </w:p>
    <w:p w14:paraId="6585C3CC" w14:textId="189654A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the response to </w:t>
      </w:r>
      <w:r w:rsidR="003A46C9" w:rsidRPr="00A833D2">
        <w:rPr>
          <w:rFonts w:ascii="Times New Roman" w:hAnsi="Times New Roman" w:cs="Times New Roman"/>
          <w:sz w:val="24"/>
          <w:szCs w:val="24"/>
        </w:rPr>
        <w:t>Sierra Club</w:t>
      </w:r>
      <w:r w:rsidR="00E20849" w:rsidRPr="00A833D2">
        <w:rPr>
          <w:rFonts w:ascii="Times New Roman" w:hAnsi="Times New Roman" w:cs="Times New Roman"/>
          <w:sz w:val="24"/>
          <w:szCs w:val="24"/>
        </w:rPr>
        <w:t>’</w:t>
      </w:r>
      <w:r w:rsidR="003A46C9" w:rsidRPr="00A833D2">
        <w:rPr>
          <w:rFonts w:ascii="Times New Roman" w:hAnsi="Times New Roman" w:cs="Times New Roman"/>
          <w:sz w:val="24"/>
          <w:szCs w:val="24"/>
        </w:rPr>
        <w:t>s twenty-first ground of appeal (see Resolution No. 2016</w:t>
      </w:r>
      <w:r w:rsidR="003A46C9" w:rsidRPr="00A833D2">
        <w:rPr>
          <w:rFonts w:ascii="Times New Roman" w:hAnsi="Times New Roman" w:cs="Times New Roman"/>
          <w:sz w:val="24"/>
          <w:szCs w:val="24"/>
          <w:highlight w:val="yellow"/>
        </w:rPr>
        <w:t>-____)</w:t>
      </w:r>
      <w:r w:rsidRPr="00A833D2">
        <w:rPr>
          <w:rFonts w:ascii="Times New Roman" w:hAnsi="Times New Roman" w:cs="Times New Roman"/>
          <w:sz w:val="24"/>
          <w:szCs w:val="24"/>
          <w:highlight w:val="yellow"/>
        </w:rPr>
        <w:t>,</w:t>
      </w:r>
      <w:r w:rsidRPr="00A833D2">
        <w:rPr>
          <w:rFonts w:ascii="Times New Roman" w:hAnsi="Times New Roman" w:cs="Times New Roman"/>
          <w:sz w:val="24"/>
          <w:szCs w:val="24"/>
        </w:rPr>
        <w:t xml:space="preserve"> pre- and post-project sedimentation calculations have been performed for each proposed vineyard block, and then organized by watershed. Table 4.4-2 shows that the total soil loss within the Milliken Reservoir watershed portion of the property will decrease from 615.87 tons per year under current conditions to 347.82 tons per year, a decrease of approximately 43.61 percent. This information appears at the top of page 4.4-20 of the EIR, and represents a summary of the block-by-block soil loss calculations set forth in Appendix O to </w:t>
      </w:r>
      <w:r w:rsidRPr="00A833D2">
        <w:rPr>
          <w:rFonts w:ascii="Times New Roman" w:hAnsi="Times New Roman" w:cs="Times New Roman"/>
          <w:sz w:val="24"/>
          <w:szCs w:val="24"/>
        </w:rPr>
        <w:lastRenderedPageBreak/>
        <w:t>the EIR. These calculations have been verified by the Napa County Engineering Division staff through field inspection of existing conditions and statistical analysis of original calculations.</w:t>
      </w:r>
    </w:p>
    <w:p w14:paraId="57B56809" w14:textId="3FE697C9"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Although the method of analysis utilizes larger watershed-based compliance (consistent with Napa County Code Chapter 18.108), the EIR does not ignore localized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hot spots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within the property. Page 4.2-117 of the EIR specifically analyzes the potential for localized increases to impact waters of the U.S. and important aquatic habitats for listed wildlife species:</w:t>
      </w:r>
    </w:p>
    <w:p w14:paraId="656515EE" w14:textId="5E4FE237" w:rsidR="00270D4D" w:rsidRPr="00A833D2" w:rsidRDefault="00270D4D"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In addition, as discussed in Section 4.4 Geology and Soils, there will be some localized increase in soil erosion from certain blocks (please see Table 4.4-2). Although the overall sedimentation from the project site is decreased in post-project conditions in both watersheds, these localized increases could have an impact on wildlife that utilize aquatic habitat in the vicinity of those vineyard blocks. This would be a significant impact. However, riparian buffers have been shown to intercept and trap as much as 75 to 100 percent of sediment in runoff.</w:t>
      </w:r>
    </w:p>
    <w:p w14:paraId="7207448B" w14:textId="07E79DAF"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tab/>
      </w:r>
      <w:r w:rsidRPr="00A833D2">
        <w:rPr>
          <w:rFonts w:ascii="Times New Roman" w:hAnsi="Times New Roman" w:cs="Times New Roman"/>
          <w:sz w:val="24"/>
          <w:szCs w:val="24"/>
        </w:rPr>
        <w:t>Furthermore, as stated in Final EIR Response to Comment O9-44, the erosion prediction calculations are based on the Universal Soil Loss Equation (USLE) which is a method of predicting soil particle displacement. This approach provides a conservative estimate in this case because the USLE does not address sediment delivery; rather, the analysis assumes that 100 percent of the estimated soil loss will be delivered to receiving waters and wetlands. The project incorporates buffers of 50</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or more between proposed vineyard areas and all Waters of the U.S. and wetlands. These buffers will result in reduced sediment delivery to streams or wetlands located on or adjacent to the site. The USLE calculations do not take into account reduced sediment delivery associated with these buffers.</w:t>
      </w:r>
    </w:p>
    <w:p w14:paraId="1BDD76B8" w14:textId="18E182D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stated in Section 4.6.3-1 of the Draft EIR, the Natural Resources Conservation Service and the University of California, Division of Agricultural and Natural Resources recommend 50-foot wide vegetated buffers for stream and wetland protection because under most conditions, this buffer width is generally adequate to provide enough vegetation to entrap sediments and soils, and filter chemicals adequately by facilitating degradation within buffer soils and vegetation. However, buffers may be larger than 50</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based on Napa County stream setback requirements.</w:t>
      </w:r>
    </w:p>
    <w:p w14:paraId="1A202BD1" w14:textId="7777777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In addition, as a result of mitigation measures contained in the Draft EIR and the final ECP design, receiving waters and wetlands will have increased buffers as follows:</w:t>
      </w:r>
    </w:p>
    <w:tbl>
      <w:tblPr>
        <w:tblStyle w:val="TableGrid"/>
        <w:tblW w:w="5000" w:type="pct"/>
        <w:jc w:val="center"/>
        <w:tblLook w:val="04A0" w:firstRow="1" w:lastRow="0" w:firstColumn="1" w:lastColumn="0" w:noHBand="0" w:noVBand="1"/>
      </w:tblPr>
      <w:tblGrid>
        <w:gridCol w:w="2902"/>
        <w:gridCol w:w="6674"/>
      </w:tblGrid>
      <w:tr w:rsidR="00270D4D" w:rsidRPr="00A833D2" w14:paraId="0693557B" w14:textId="77777777" w:rsidTr="00342B45">
        <w:trPr>
          <w:jc w:val="center"/>
        </w:trPr>
        <w:tc>
          <w:tcPr>
            <w:tcW w:w="2880" w:type="dxa"/>
          </w:tcPr>
          <w:p w14:paraId="5F3DA287"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Vineyard Block</w:t>
            </w:r>
          </w:p>
        </w:tc>
        <w:tc>
          <w:tcPr>
            <w:tcW w:w="6624" w:type="dxa"/>
          </w:tcPr>
          <w:p w14:paraId="5A90F852"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Increased Buffer</w:t>
            </w:r>
          </w:p>
        </w:tc>
      </w:tr>
      <w:tr w:rsidR="00270D4D" w:rsidRPr="00A833D2" w14:paraId="212E43B4" w14:textId="77777777" w:rsidTr="00342B45">
        <w:trPr>
          <w:jc w:val="center"/>
        </w:trPr>
        <w:tc>
          <w:tcPr>
            <w:tcW w:w="2880" w:type="dxa"/>
          </w:tcPr>
          <w:p w14:paraId="5D43148B"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16B1</w:t>
            </w:r>
          </w:p>
        </w:tc>
        <w:tc>
          <w:tcPr>
            <w:tcW w:w="6624" w:type="dxa"/>
          </w:tcPr>
          <w:p w14:paraId="7177EF8F" w14:textId="2DD7A355"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100</w:t>
            </w:r>
            <w:r w:rsidR="00E20849" w:rsidRPr="00A833D2">
              <w:rPr>
                <w:rFonts w:ascii="Times New Roman" w:hAnsi="Times New Roman" w:cs="Times New Roman"/>
                <w:sz w:val="24"/>
                <w:szCs w:val="24"/>
              </w:rPr>
              <w:t>’</w:t>
            </w:r>
          </w:p>
        </w:tc>
      </w:tr>
      <w:tr w:rsidR="00270D4D" w:rsidRPr="00A833D2" w14:paraId="04890A27" w14:textId="77777777" w:rsidTr="00342B45">
        <w:trPr>
          <w:jc w:val="center"/>
        </w:trPr>
        <w:tc>
          <w:tcPr>
            <w:tcW w:w="2880" w:type="dxa"/>
          </w:tcPr>
          <w:p w14:paraId="06E80285"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16B2</w:t>
            </w:r>
          </w:p>
        </w:tc>
        <w:tc>
          <w:tcPr>
            <w:tcW w:w="6624" w:type="dxa"/>
          </w:tcPr>
          <w:p w14:paraId="0DB56FA7" w14:textId="09F7103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70</w:t>
            </w:r>
            <w:r w:rsidR="00E20849" w:rsidRPr="00A833D2">
              <w:rPr>
                <w:rFonts w:ascii="Times New Roman" w:hAnsi="Times New Roman" w:cs="Times New Roman"/>
                <w:sz w:val="24"/>
                <w:szCs w:val="24"/>
              </w:rPr>
              <w:t>’</w:t>
            </w:r>
          </w:p>
        </w:tc>
      </w:tr>
      <w:tr w:rsidR="00270D4D" w:rsidRPr="00A833D2" w14:paraId="0CB1DD37" w14:textId="77777777" w:rsidTr="00342B45">
        <w:trPr>
          <w:jc w:val="center"/>
        </w:trPr>
        <w:tc>
          <w:tcPr>
            <w:tcW w:w="2880" w:type="dxa"/>
          </w:tcPr>
          <w:p w14:paraId="18571B4A"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37D</w:t>
            </w:r>
          </w:p>
        </w:tc>
        <w:tc>
          <w:tcPr>
            <w:tcW w:w="6624" w:type="dxa"/>
          </w:tcPr>
          <w:p w14:paraId="60BEA44C"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0CDE5AAF" w14:textId="77777777" w:rsidTr="00342B45">
        <w:trPr>
          <w:jc w:val="center"/>
        </w:trPr>
        <w:tc>
          <w:tcPr>
            <w:tcW w:w="2880" w:type="dxa"/>
          </w:tcPr>
          <w:p w14:paraId="1E804626"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37E</w:t>
            </w:r>
          </w:p>
        </w:tc>
        <w:tc>
          <w:tcPr>
            <w:tcW w:w="6624" w:type="dxa"/>
          </w:tcPr>
          <w:p w14:paraId="3A0FD800"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53D6C4BA" w14:textId="77777777" w:rsidTr="00342B45">
        <w:trPr>
          <w:jc w:val="center"/>
        </w:trPr>
        <w:tc>
          <w:tcPr>
            <w:tcW w:w="2880" w:type="dxa"/>
          </w:tcPr>
          <w:p w14:paraId="4949A784"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38</w:t>
            </w:r>
          </w:p>
        </w:tc>
        <w:tc>
          <w:tcPr>
            <w:tcW w:w="6624" w:type="dxa"/>
          </w:tcPr>
          <w:p w14:paraId="29AC58C8" w14:textId="37DB30B6"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150</w:t>
            </w:r>
            <w:r w:rsidR="00E20849" w:rsidRPr="00A833D2">
              <w:rPr>
                <w:rFonts w:ascii="Times New Roman" w:hAnsi="Times New Roman" w:cs="Times New Roman"/>
                <w:sz w:val="24"/>
                <w:szCs w:val="24"/>
              </w:rPr>
              <w:t>’</w:t>
            </w:r>
          </w:p>
        </w:tc>
      </w:tr>
      <w:tr w:rsidR="00270D4D" w:rsidRPr="00A833D2" w14:paraId="244B4878" w14:textId="77777777" w:rsidTr="00342B45">
        <w:trPr>
          <w:jc w:val="center"/>
        </w:trPr>
        <w:tc>
          <w:tcPr>
            <w:tcW w:w="2880" w:type="dxa"/>
          </w:tcPr>
          <w:p w14:paraId="7145E5C4"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53</w:t>
            </w:r>
          </w:p>
        </w:tc>
        <w:tc>
          <w:tcPr>
            <w:tcW w:w="6624" w:type="dxa"/>
          </w:tcPr>
          <w:p w14:paraId="218C7403" w14:textId="68B41505"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80</w:t>
            </w:r>
            <w:r w:rsidR="00E20849" w:rsidRPr="00A833D2">
              <w:rPr>
                <w:rFonts w:ascii="Times New Roman" w:hAnsi="Times New Roman" w:cs="Times New Roman"/>
                <w:sz w:val="24"/>
                <w:szCs w:val="24"/>
              </w:rPr>
              <w:t>’</w:t>
            </w:r>
          </w:p>
        </w:tc>
      </w:tr>
      <w:tr w:rsidR="00270D4D" w:rsidRPr="00A833D2" w14:paraId="431132D4" w14:textId="77777777" w:rsidTr="00342B45">
        <w:trPr>
          <w:jc w:val="center"/>
        </w:trPr>
        <w:tc>
          <w:tcPr>
            <w:tcW w:w="2880" w:type="dxa"/>
          </w:tcPr>
          <w:p w14:paraId="7727F1F7"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19B</w:t>
            </w:r>
          </w:p>
        </w:tc>
        <w:tc>
          <w:tcPr>
            <w:tcW w:w="6624" w:type="dxa"/>
          </w:tcPr>
          <w:p w14:paraId="527A90C8" w14:textId="4DB6CB62"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80</w:t>
            </w:r>
            <w:r w:rsidR="00E20849" w:rsidRPr="00A833D2">
              <w:rPr>
                <w:rFonts w:ascii="Times New Roman" w:hAnsi="Times New Roman" w:cs="Times New Roman"/>
                <w:sz w:val="24"/>
                <w:szCs w:val="24"/>
              </w:rPr>
              <w:t>’</w:t>
            </w:r>
          </w:p>
        </w:tc>
      </w:tr>
      <w:tr w:rsidR="00270D4D" w:rsidRPr="00A833D2" w14:paraId="3A1F6C49" w14:textId="77777777" w:rsidTr="00342B45">
        <w:trPr>
          <w:jc w:val="center"/>
        </w:trPr>
        <w:tc>
          <w:tcPr>
            <w:tcW w:w="2880" w:type="dxa"/>
          </w:tcPr>
          <w:p w14:paraId="05D7D79F"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18A2</w:t>
            </w:r>
          </w:p>
        </w:tc>
        <w:tc>
          <w:tcPr>
            <w:tcW w:w="6624" w:type="dxa"/>
          </w:tcPr>
          <w:p w14:paraId="447791C1" w14:textId="7A348D90"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80</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(wetlands)</w:t>
            </w:r>
          </w:p>
        </w:tc>
      </w:tr>
      <w:tr w:rsidR="00270D4D" w:rsidRPr="00A833D2" w14:paraId="142D3853" w14:textId="77777777" w:rsidTr="00342B45">
        <w:trPr>
          <w:jc w:val="center"/>
        </w:trPr>
        <w:tc>
          <w:tcPr>
            <w:tcW w:w="2880" w:type="dxa"/>
          </w:tcPr>
          <w:p w14:paraId="6289F7D2"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lastRenderedPageBreak/>
              <w:t>Block 29A2</w:t>
            </w:r>
          </w:p>
        </w:tc>
        <w:tc>
          <w:tcPr>
            <w:tcW w:w="6624" w:type="dxa"/>
          </w:tcPr>
          <w:p w14:paraId="61F5222E"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44D8B454" w14:textId="77777777" w:rsidTr="00342B45">
        <w:trPr>
          <w:jc w:val="center"/>
        </w:trPr>
        <w:tc>
          <w:tcPr>
            <w:tcW w:w="2880" w:type="dxa"/>
          </w:tcPr>
          <w:p w14:paraId="25D67410"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29B2</w:t>
            </w:r>
          </w:p>
        </w:tc>
        <w:tc>
          <w:tcPr>
            <w:tcW w:w="6624" w:type="dxa"/>
          </w:tcPr>
          <w:p w14:paraId="2F2F4E39"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bl>
    <w:p w14:paraId="488AC944" w14:textId="77777777" w:rsidR="00270D4D" w:rsidRPr="00A833D2" w:rsidRDefault="00270D4D" w:rsidP="00342B45">
      <w:pPr>
        <w:autoSpaceDE w:val="0"/>
        <w:autoSpaceDN w:val="0"/>
        <w:adjustRightInd w:val="0"/>
        <w:spacing w:after="0" w:line="240" w:lineRule="auto"/>
        <w:rPr>
          <w:rFonts w:ascii="Times New Roman" w:hAnsi="Times New Roman" w:cs="Times New Roman"/>
          <w:sz w:val="24"/>
          <w:szCs w:val="24"/>
        </w:rPr>
      </w:pPr>
    </w:p>
    <w:p w14:paraId="0F580BE0" w14:textId="7777777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Furthermore, as discussed in Final EIR Response to Comment</w:t>
      </w:r>
      <w:r w:rsidR="0047086E" w:rsidRPr="00A833D2">
        <w:rPr>
          <w:rFonts w:ascii="Times New Roman" w:hAnsi="Times New Roman" w:cs="Times New Roman"/>
          <w:sz w:val="24"/>
          <w:szCs w:val="24"/>
        </w:rPr>
        <w:t xml:space="preserve"> O9-44, the Applicant agreed to </w:t>
      </w:r>
      <w:r w:rsidRPr="00A833D2">
        <w:rPr>
          <w:rFonts w:ascii="Times New Roman" w:hAnsi="Times New Roman" w:cs="Times New Roman"/>
          <w:sz w:val="24"/>
          <w:szCs w:val="24"/>
        </w:rPr>
        <w:t xml:space="preserve">implement the following additional measures to further protect </w:t>
      </w:r>
      <w:r w:rsidR="0047086E" w:rsidRPr="00A833D2">
        <w:rPr>
          <w:rFonts w:ascii="Times New Roman" w:hAnsi="Times New Roman" w:cs="Times New Roman"/>
          <w:sz w:val="24"/>
          <w:szCs w:val="24"/>
        </w:rPr>
        <w:t xml:space="preserve">individual Waters and Wetlands, </w:t>
      </w:r>
      <w:r w:rsidRPr="00A833D2">
        <w:rPr>
          <w:rFonts w:ascii="Times New Roman" w:hAnsi="Times New Roman" w:cs="Times New Roman"/>
          <w:sz w:val="24"/>
          <w:szCs w:val="24"/>
        </w:rPr>
        <w:t>which have been incorporated into the final ECP:</w:t>
      </w:r>
    </w:p>
    <w:tbl>
      <w:tblPr>
        <w:tblStyle w:val="TableGrid"/>
        <w:tblW w:w="5000" w:type="pct"/>
        <w:jc w:val="center"/>
        <w:tblLook w:val="04A0" w:firstRow="1" w:lastRow="0" w:firstColumn="1" w:lastColumn="0" w:noHBand="0" w:noVBand="1"/>
      </w:tblPr>
      <w:tblGrid>
        <w:gridCol w:w="2955"/>
        <w:gridCol w:w="6621"/>
      </w:tblGrid>
      <w:tr w:rsidR="00270D4D" w:rsidRPr="00A833D2" w14:paraId="20FFC762" w14:textId="77777777" w:rsidTr="00342B45">
        <w:trPr>
          <w:jc w:val="center"/>
        </w:trPr>
        <w:tc>
          <w:tcPr>
            <w:tcW w:w="2955" w:type="dxa"/>
          </w:tcPr>
          <w:p w14:paraId="3FCC3F81"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Vineyard Block</w:t>
            </w:r>
          </w:p>
        </w:tc>
        <w:tc>
          <w:tcPr>
            <w:tcW w:w="6621" w:type="dxa"/>
          </w:tcPr>
          <w:p w14:paraId="19AD1B5F"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Additional Measures</w:t>
            </w:r>
          </w:p>
        </w:tc>
      </w:tr>
      <w:tr w:rsidR="00270D4D" w:rsidRPr="00A833D2" w14:paraId="004BB541" w14:textId="77777777" w:rsidTr="00342B45">
        <w:trPr>
          <w:jc w:val="center"/>
        </w:trPr>
        <w:tc>
          <w:tcPr>
            <w:tcW w:w="2955" w:type="dxa"/>
          </w:tcPr>
          <w:p w14:paraId="0F90B31A"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16C1</w:t>
            </w:r>
          </w:p>
        </w:tc>
        <w:tc>
          <w:tcPr>
            <w:tcW w:w="6621" w:type="dxa"/>
          </w:tcPr>
          <w:p w14:paraId="3D339E46"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Installation of straw wattles every year in areas where the buffer is less than 70 feet</w:t>
            </w:r>
          </w:p>
        </w:tc>
      </w:tr>
      <w:tr w:rsidR="00270D4D" w:rsidRPr="00A833D2" w14:paraId="575E79CA" w14:textId="77777777" w:rsidTr="00342B45">
        <w:trPr>
          <w:jc w:val="center"/>
        </w:trPr>
        <w:tc>
          <w:tcPr>
            <w:tcW w:w="2955" w:type="dxa"/>
          </w:tcPr>
          <w:p w14:paraId="73753F93"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p>
          <w:p w14:paraId="7414D6BF"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17A, 17B</w:t>
            </w:r>
          </w:p>
        </w:tc>
        <w:tc>
          <w:tcPr>
            <w:tcW w:w="6621" w:type="dxa"/>
          </w:tcPr>
          <w:p w14:paraId="5E7F5EA3"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Installation of straw wattles every year in areas where the buffer is less than 70 feet. Increase vineyard cover crop percentage to 80 percent</w:t>
            </w:r>
          </w:p>
        </w:tc>
      </w:tr>
      <w:tr w:rsidR="00270D4D" w:rsidRPr="00A833D2" w14:paraId="0B6F8F59" w14:textId="77777777" w:rsidTr="00342B45">
        <w:trPr>
          <w:jc w:val="center"/>
        </w:trPr>
        <w:tc>
          <w:tcPr>
            <w:tcW w:w="2955" w:type="dxa"/>
          </w:tcPr>
          <w:p w14:paraId="5E732DC5"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17C</w:t>
            </w:r>
          </w:p>
        </w:tc>
        <w:tc>
          <w:tcPr>
            <w:tcW w:w="6621" w:type="dxa"/>
          </w:tcPr>
          <w:p w14:paraId="03AFD448"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78B4A8DE" w14:textId="77777777" w:rsidTr="00342B45">
        <w:trPr>
          <w:jc w:val="center"/>
        </w:trPr>
        <w:tc>
          <w:tcPr>
            <w:tcW w:w="2955" w:type="dxa"/>
          </w:tcPr>
          <w:p w14:paraId="51DAFDDB"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34A3 &amp; 34C</w:t>
            </w:r>
          </w:p>
        </w:tc>
        <w:tc>
          <w:tcPr>
            <w:tcW w:w="6621" w:type="dxa"/>
          </w:tcPr>
          <w:p w14:paraId="5949A10F"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500F6D12" w14:textId="77777777" w:rsidTr="00342B45">
        <w:trPr>
          <w:jc w:val="center"/>
        </w:trPr>
        <w:tc>
          <w:tcPr>
            <w:tcW w:w="2955" w:type="dxa"/>
          </w:tcPr>
          <w:p w14:paraId="45BF467B"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49</w:t>
            </w:r>
          </w:p>
        </w:tc>
        <w:tc>
          <w:tcPr>
            <w:tcW w:w="6621" w:type="dxa"/>
          </w:tcPr>
          <w:p w14:paraId="55FFC402"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055FAA85" w14:textId="77777777" w:rsidTr="00342B45">
        <w:trPr>
          <w:jc w:val="center"/>
        </w:trPr>
        <w:tc>
          <w:tcPr>
            <w:tcW w:w="2955" w:type="dxa"/>
          </w:tcPr>
          <w:p w14:paraId="7AD83E67"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36A &amp; 36B</w:t>
            </w:r>
          </w:p>
        </w:tc>
        <w:tc>
          <w:tcPr>
            <w:tcW w:w="6621" w:type="dxa"/>
          </w:tcPr>
          <w:p w14:paraId="54DEE0B7"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Relocate drainage outlet to level spreader in Block 37 F. Increase size of level spreader.</w:t>
            </w:r>
          </w:p>
        </w:tc>
      </w:tr>
      <w:tr w:rsidR="00270D4D" w:rsidRPr="00A833D2" w14:paraId="5143168E" w14:textId="77777777" w:rsidTr="00342B45">
        <w:trPr>
          <w:jc w:val="center"/>
        </w:trPr>
        <w:tc>
          <w:tcPr>
            <w:tcW w:w="2955" w:type="dxa"/>
          </w:tcPr>
          <w:p w14:paraId="421D6238"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19A4</w:t>
            </w:r>
          </w:p>
        </w:tc>
        <w:tc>
          <w:tcPr>
            <w:tcW w:w="6621" w:type="dxa"/>
          </w:tcPr>
          <w:p w14:paraId="7C4DD721"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Reduce block size in order to increase buffer to 70 feet</w:t>
            </w:r>
          </w:p>
        </w:tc>
      </w:tr>
      <w:tr w:rsidR="0047086E" w:rsidRPr="00A833D2" w14:paraId="1670EEE8" w14:textId="77777777" w:rsidTr="00342B45">
        <w:trPr>
          <w:jc w:val="center"/>
        </w:trPr>
        <w:tc>
          <w:tcPr>
            <w:tcW w:w="2955" w:type="dxa"/>
          </w:tcPr>
          <w:p w14:paraId="15C5324F" w14:textId="77777777" w:rsidR="0047086E"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18A1 – 18A4</w:t>
            </w:r>
          </w:p>
        </w:tc>
        <w:tc>
          <w:tcPr>
            <w:tcW w:w="6621" w:type="dxa"/>
          </w:tcPr>
          <w:p w14:paraId="4927C9AE" w14:textId="77777777" w:rsidR="0047086E"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Reduce block size in order to increase buffer to 70 feet in some areas. Installation of straw wattles every year in areas where the buffer is less than 70 feet</w:t>
            </w:r>
          </w:p>
        </w:tc>
      </w:tr>
      <w:tr w:rsidR="00270D4D" w:rsidRPr="00A833D2" w14:paraId="15ADF557" w14:textId="77777777" w:rsidTr="00342B45">
        <w:trPr>
          <w:jc w:val="center"/>
        </w:trPr>
        <w:tc>
          <w:tcPr>
            <w:tcW w:w="2955" w:type="dxa"/>
          </w:tcPr>
          <w:p w14:paraId="0589F3D4"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31A and 31B</w:t>
            </w:r>
          </w:p>
        </w:tc>
        <w:tc>
          <w:tcPr>
            <w:tcW w:w="6621" w:type="dxa"/>
          </w:tcPr>
          <w:p w14:paraId="185BD2AD" w14:textId="77777777" w:rsidR="00270D4D"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0CDEB508" w14:textId="77777777" w:rsidTr="00342B45">
        <w:trPr>
          <w:jc w:val="center"/>
        </w:trPr>
        <w:tc>
          <w:tcPr>
            <w:tcW w:w="2955" w:type="dxa"/>
          </w:tcPr>
          <w:p w14:paraId="4DA9D0D0" w14:textId="77777777" w:rsidR="00270D4D"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29A1</w:t>
            </w:r>
          </w:p>
        </w:tc>
        <w:tc>
          <w:tcPr>
            <w:tcW w:w="6621" w:type="dxa"/>
          </w:tcPr>
          <w:p w14:paraId="06BC9CF9" w14:textId="77777777" w:rsidR="00270D4D"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Reduce block size in order to increase buffer to 70 feet</w:t>
            </w:r>
          </w:p>
        </w:tc>
      </w:tr>
    </w:tbl>
    <w:p w14:paraId="56D3ACB3" w14:textId="77777777" w:rsidR="00270D4D" w:rsidRPr="00A833D2" w:rsidRDefault="00270D4D" w:rsidP="00342B45">
      <w:pPr>
        <w:autoSpaceDE w:val="0"/>
        <w:autoSpaceDN w:val="0"/>
        <w:adjustRightInd w:val="0"/>
        <w:spacing w:after="0" w:line="240" w:lineRule="auto"/>
        <w:rPr>
          <w:rFonts w:ascii="Times New Roman" w:hAnsi="Times New Roman" w:cs="Times New Roman"/>
          <w:sz w:val="24"/>
          <w:szCs w:val="24"/>
        </w:rPr>
      </w:pPr>
    </w:p>
    <w:p w14:paraId="4680072B" w14:textId="134842E9" w:rsidR="00367F3D" w:rsidRPr="00A833D2" w:rsidRDefault="0047086E" w:rsidP="00A60BC5">
      <w:pPr>
        <w:autoSpaceDE w:val="0"/>
        <w:autoSpaceDN w:val="0"/>
        <w:adjustRightInd w:val="0"/>
        <w:spacing w:after="120" w:line="240" w:lineRule="auto"/>
        <w:ind w:firstLine="720"/>
        <w:rPr>
          <w:rFonts w:ascii="Times New Roman" w:hAnsi="Times New Roman" w:cs="Times New Roman"/>
          <w:sz w:val="24"/>
          <w:szCs w:val="24"/>
        </w:rPr>
      </w:pPr>
      <w:r w:rsidRPr="00A833D2">
        <w:rPr>
          <w:rFonts w:ascii="Times New Roman" w:hAnsi="Times New Roman" w:cs="Times New Roman"/>
          <w:sz w:val="24"/>
          <w:szCs w:val="24"/>
        </w:rPr>
        <w:t>These increased buffers and additional BMPs will further reduce the possibility of potential impacts to</w:t>
      </w:r>
      <w:r w:rsidR="00A60BC5">
        <w:rPr>
          <w:rFonts w:ascii="Times New Roman" w:hAnsi="Times New Roman" w:cs="Times New Roman"/>
          <w:sz w:val="24"/>
          <w:szCs w:val="24"/>
        </w:rPr>
        <w:t xml:space="preserve"> a less than significant level.</w:t>
      </w:r>
    </w:p>
    <w:p w14:paraId="263BB10F" w14:textId="5E551856"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7086E" w:rsidRPr="00A833D2">
        <w:rPr>
          <w:rFonts w:ascii="Times New Roman" w:hAnsi="Times New Roman" w:cs="Times New Roman"/>
          <w:sz w:val="24"/>
          <w:szCs w:val="24"/>
        </w:rPr>
        <w:t xml:space="preserve"> </w:t>
      </w:r>
      <w:r w:rsidR="00A60BC5">
        <w:rPr>
          <w:rFonts w:ascii="Times New Roman" w:hAnsi="Times New Roman" w:cs="Times New Roman"/>
          <w:sz w:val="24"/>
          <w:szCs w:val="24"/>
        </w:rPr>
        <w:t xml:space="preserve"> </w:t>
      </w:r>
      <w:r w:rsidR="00A60BC5" w:rsidRPr="00A833D2">
        <w:rPr>
          <w:rFonts w:ascii="Times New Roman" w:hAnsi="Times New Roman" w:cs="Times New Roman"/>
          <w:sz w:val="24"/>
          <w:szCs w:val="24"/>
        </w:rPr>
        <w:t>Grismer, M.E., A.T. O’Geen, D. Lewis, 2006, Vegetative Filter Strips for Nonpoint Source Pollution Control in Agriculture, Division of Agriculture and Natural Resources, University of California Publication 8195, available online at: &lt;anrcatalog.ucdavis.edu/pdf/8195.pdf&gt;; USDA, 2000, Conservation Buffers to Reduce Pesticide Losses, March 2000; refer to citations for response to Sierra Club’s twenty-first ground of appeal (see Resolution No. 2016</w:t>
      </w:r>
      <w:r w:rsidR="00A60BC5" w:rsidRPr="00A833D2">
        <w:rPr>
          <w:rFonts w:ascii="Times New Roman" w:hAnsi="Times New Roman" w:cs="Times New Roman"/>
          <w:sz w:val="24"/>
          <w:szCs w:val="24"/>
          <w:highlight w:val="yellow"/>
        </w:rPr>
        <w:t xml:space="preserve">-____); </w:t>
      </w:r>
      <w:r w:rsidR="00A60BC5" w:rsidRPr="00A833D2">
        <w:rPr>
          <w:rFonts w:ascii="Times New Roman" w:hAnsi="Times New Roman" w:cs="Times New Roman"/>
          <w:sz w:val="24"/>
          <w:szCs w:val="24"/>
        </w:rPr>
        <w:t>County Staff Presentations, Board of Supervisors November 18 and December 6, 2016, Meetings</w:t>
      </w:r>
      <w:r w:rsidR="00A60BC5">
        <w:rPr>
          <w:rFonts w:ascii="Times New Roman" w:hAnsi="Times New Roman" w:cs="Times New Roman"/>
          <w:sz w:val="24"/>
          <w:szCs w:val="24"/>
        </w:rPr>
        <w:t>.</w:t>
      </w:r>
    </w:p>
    <w:p w14:paraId="5B044EE9" w14:textId="2BD98EC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thirty-fourth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541EE7"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lastRenderedPageBreak/>
        <w:t>35.</w:t>
      </w:r>
      <w:r w:rsidRPr="00A833D2">
        <w:rPr>
          <w:rFonts w:ascii="Times New Roman" w:hAnsi="Times New Roman" w:cs="Times New Roman"/>
          <w:b/>
          <w:sz w:val="24"/>
          <w:szCs w:val="24"/>
        </w:rPr>
        <w:tab/>
        <w:t>Thirty-fifth Ground of Appeal.</w:t>
      </w:r>
    </w:p>
    <w:p w14:paraId="69327116" w14:textId="3D1F980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many proposed erosion control measures are poorly suited for the project site or will result in increased downslope erosion from collection of runoff in drainage systems. </w:t>
      </w:r>
      <w:r w:rsidR="003A46C9" w:rsidRPr="00A833D2">
        <w:rPr>
          <w:rFonts w:ascii="Times New Roman" w:hAnsi="Times New Roman" w:cs="Times New Roman"/>
          <w:sz w:val="24"/>
          <w:szCs w:val="24"/>
        </w:rPr>
        <w:t>Appellant states that m</w:t>
      </w:r>
      <w:r w:rsidR="0047086E" w:rsidRPr="00A833D2">
        <w:rPr>
          <w:rFonts w:ascii="Times New Roman" w:hAnsi="Times New Roman" w:cs="Times New Roman"/>
          <w:sz w:val="24"/>
          <w:szCs w:val="24"/>
        </w:rPr>
        <w:t>any of the erosion control elements are located on steep slopes and water draining through them can become re-concentrated a short distance downslope</w:t>
      </w:r>
      <w:r w:rsidR="003A46C9" w:rsidRPr="00A833D2">
        <w:rPr>
          <w:rFonts w:ascii="Times New Roman" w:hAnsi="Times New Roman" w:cs="Times New Roman"/>
          <w:sz w:val="24"/>
          <w:szCs w:val="24"/>
        </w:rPr>
        <w:t>, and</w:t>
      </w:r>
      <w:r w:rsidR="0047086E" w:rsidRPr="00A833D2">
        <w:rPr>
          <w:rFonts w:ascii="Times New Roman" w:hAnsi="Times New Roman" w:cs="Times New Roman"/>
          <w:sz w:val="24"/>
          <w:szCs w:val="24"/>
        </w:rPr>
        <w:t xml:space="preserve"> the pipe level spreader erosion control measure seems poorly suited to the project site, as they are designed to be installed on very flat slopes.</w:t>
      </w:r>
    </w:p>
    <w:p w14:paraId="4F294BC8"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7086E" w:rsidRPr="00A833D2">
        <w:rPr>
          <w:rFonts w:ascii="Times New Roman" w:hAnsi="Times New Roman" w:cs="Times New Roman"/>
          <w:sz w:val="24"/>
          <w:szCs w:val="24"/>
        </w:rPr>
        <w:t xml:space="preserve"> Board finds and determines as follows:</w:t>
      </w:r>
    </w:p>
    <w:p w14:paraId="7E4D1BFB" w14:textId="77777777"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ECP was designed by licensed civil engineers, was reviewed for technical adequacy by Napa County RCD and Napa County engineers, and was analyzed for stability issues by a licensed engineering geologist. Several commenters on the Draft EIR brought up perceived issues with the use of the pipe level spreader (a common vineyard erosion control feature in Napa County) because of a Caltrans report that evaluated pipe level spreaders as temporary construction BMPs for roadway projects, which is a much different use than what is proposed in the Walt Ranch ECP. In addition, this report was based only on a literature review, as Caltrans was unable to field test any installations. At least one source cited in the Caltrans report listed acceptable slopes for installation at 5:1 (H:V), which equates to a 20 percent slope. As stated in the 2002 Caltrans report:</w:t>
      </w:r>
    </w:p>
    <w:p w14:paraId="6F3774B3" w14:textId="00F85712" w:rsidR="0047086E" w:rsidRPr="00A833D2" w:rsidRDefault="0047086E" w:rsidP="001D04D5">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This report summarizes a study . . . Caltrans conducted to assess the feasibility and effectiveness of the level spreader as a temporary construction best management practice (BMP). The evaluation consisted of a literature review and an assessment of 42 Caltrans construction sites to determine which, if any, were suitable for implementation of a level spreader BMP. Based on the results of literature and site reviews, the study team has concluded that the level spreader BMP is not suitable for use as a temporary construction site BMP…</w:t>
      </w:r>
    </w:p>
    <w:p w14:paraId="3D84F56F" w14:textId="1F84B50D"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tab/>
      </w:r>
      <w:r w:rsidRPr="00A833D2">
        <w:rPr>
          <w:rFonts w:ascii="Times New Roman" w:hAnsi="Times New Roman" w:cs="Times New Roman"/>
          <w:sz w:val="24"/>
          <w:szCs w:val="24"/>
        </w:rPr>
        <w:t>Although Caltrans determined that level spreaders were not appropriate for use in their particular circumstances, the type of level spreader specified in the Walt Ranch ECP is a variation on a design first put forth by engineers at the Natural Resources Conservation Service, Napa Field Office, approximately 20 years ago. This design has been modified over the years based on the results of actual field installations and utilized on projects designed by multiple engineering firms. They are permanent structures for runoff control and have been successfully installed and evaluated on over 15 vineyard projects in Napa County.</w:t>
      </w:r>
    </w:p>
    <w:p w14:paraId="30C86749" w14:textId="524DFC03"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tab/>
      </w:r>
      <w:r w:rsidRPr="00A833D2">
        <w:rPr>
          <w:rFonts w:ascii="Times New Roman" w:hAnsi="Times New Roman" w:cs="Times New Roman"/>
          <w:sz w:val="24"/>
          <w:szCs w:val="24"/>
        </w:rPr>
        <w:t>The installation locations chosen for level spreaders were evaluated in the field during project design and deemed appropriate by qualified professional engineers. The design was reviewed and approved by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technical consultant, Napa County RCD.</w:t>
      </w:r>
    </w:p>
    <w:p w14:paraId="132F2BB2" w14:textId="624E2B40"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7086E" w:rsidRPr="00A833D2">
        <w:rPr>
          <w:rFonts w:ascii="Times New Roman" w:hAnsi="Times New Roman" w:cs="Times New Roman"/>
          <w:sz w:val="24"/>
          <w:szCs w:val="24"/>
        </w:rPr>
        <w:t xml:space="preserve"> Caltrans, 2002, CTSW-RT-02-020 Final Report: Level Spreader Effectiveness Evaluation</w:t>
      </w:r>
      <w:r w:rsidR="00711EE4" w:rsidRPr="00A833D2">
        <w:rPr>
          <w:rFonts w:ascii="Times New Roman" w:hAnsi="Times New Roman" w:cs="Times New Roman"/>
          <w:sz w:val="24"/>
          <w:szCs w:val="24"/>
        </w:rPr>
        <w:t>, May 2002, available online at</w:t>
      </w:r>
      <w:r w:rsidR="0047086E" w:rsidRPr="00A833D2">
        <w:rPr>
          <w:rFonts w:ascii="Times New Roman" w:hAnsi="Times New Roman" w:cs="Times New Roman"/>
          <w:sz w:val="24"/>
          <w:szCs w:val="24"/>
        </w:rPr>
        <w:t xml:space="preserve"> http://www.dot.ca.gov/hq/env/stormwater/pdf/CTSW-RT-02-020.pdf, accessed August 18, 2002; Dave Steiner, former Senior Soil Conservationist for NCRCD, personal communication April 18, 2015; PPI Engineering project records, 2015</w:t>
      </w:r>
      <w:r w:rsidR="00367F3D" w:rsidRPr="00A833D2">
        <w:rPr>
          <w:rFonts w:ascii="Times New Roman" w:hAnsi="Times New Roman" w:cs="Times New Roman"/>
          <w:sz w:val="24"/>
          <w:szCs w:val="24"/>
        </w:rPr>
        <w:t xml:space="preserve">; 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w:t>
      </w:r>
    </w:p>
    <w:p w14:paraId="13AC0CC8" w14:textId="20F5665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thirty-fifth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decisions to certify the EIR, approve the Reduced </w:t>
      </w:r>
      <w:r w:rsidRPr="00A833D2">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4A730236"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36.</w:t>
      </w:r>
      <w:r w:rsidRPr="00A833D2">
        <w:rPr>
          <w:rFonts w:ascii="Times New Roman" w:hAnsi="Times New Roman" w:cs="Times New Roman"/>
          <w:b/>
          <w:sz w:val="24"/>
          <w:szCs w:val="24"/>
        </w:rPr>
        <w:tab/>
        <w:t>Thirty-sixth Ground of Appeal.</w:t>
      </w:r>
    </w:p>
    <w:p w14:paraId="3928BC3E" w14:textId="05041B57"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the EIR fails to establish a mini</w:t>
      </w:r>
      <w:r w:rsidR="003A46C9" w:rsidRPr="00A833D2">
        <w:rPr>
          <w:rFonts w:ascii="Times New Roman" w:hAnsi="Times New Roman" w:cs="Times New Roman"/>
          <w:sz w:val="24"/>
          <w:szCs w:val="24"/>
        </w:rPr>
        <w:t>mum safe distance for blasting and t</w:t>
      </w:r>
      <w:r w:rsidR="0047086E" w:rsidRPr="00A833D2">
        <w:rPr>
          <w:rFonts w:ascii="Times New Roman" w:hAnsi="Times New Roman" w:cs="Times New Roman"/>
          <w:sz w:val="24"/>
          <w:szCs w:val="24"/>
        </w:rPr>
        <w:t>he EIR fails to state exactly how close blasting may occur to the residences.</w:t>
      </w:r>
    </w:p>
    <w:p w14:paraId="6ACA5C34"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7086E" w:rsidRPr="00A833D2">
        <w:rPr>
          <w:rFonts w:ascii="Times New Roman" w:hAnsi="Times New Roman" w:cs="Times New Roman"/>
          <w:sz w:val="24"/>
          <w:szCs w:val="24"/>
        </w:rPr>
        <w:t xml:space="preserve"> Board finds and determines as follows:</w:t>
      </w:r>
    </w:p>
    <w:p w14:paraId="7040343E" w14:textId="62552229"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the response to </w:t>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sixteenth ground of appeal. As</w:t>
      </w:r>
      <w:r w:rsidRPr="00A833D2">
        <w:rPr>
          <w:rFonts w:ascii="Times New Roman" w:hAnsi="Times New Roman" w:cs="Times New Roman"/>
          <w:sz w:val="24"/>
          <w:szCs w:val="24"/>
        </w:rPr>
        <w:t xml:space="preserve"> discussed further therein, Impact 4.8-2 of the EIR finds that 775 feet is the safe distance for blasting and Mitigation Measure 4.8-2 ensures that blasting does not occur within blocks that are within 775 feet of residences.</w:t>
      </w:r>
    </w:p>
    <w:p w14:paraId="6A212A61" w14:textId="0EF5159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711EE4" w:rsidRPr="00A833D2">
        <w:rPr>
          <w:rFonts w:ascii="Times New Roman" w:hAnsi="Times New Roman" w:cs="Times New Roman"/>
          <w:sz w:val="24"/>
          <w:szCs w:val="24"/>
        </w:rPr>
        <w:t xml:space="preserve"> Final EIR, Impact 4.8-2; Mitigation Measure 4.8-2.</w:t>
      </w:r>
    </w:p>
    <w:p w14:paraId="1563AED2" w14:textId="2F808059"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thirty-sixth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C367120"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37.</w:t>
      </w:r>
      <w:r w:rsidRPr="00A833D2">
        <w:rPr>
          <w:rFonts w:ascii="Times New Roman" w:hAnsi="Times New Roman" w:cs="Times New Roman"/>
          <w:b/>
          <w:sz w:val="24"/>
          <w:szCs w:val="24"/>
        </w:rPr>
        <w:tab/>
        <w:t>Thirty-seventh Ground of Appeal.</w:t>
      </w:r>
    </w:p>
    <w:p w14:paraId="3F9EB35D" w14:textId="0C666C0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the EIR did not adequately analyze growth-inducing impacts of the Project</w:t>
      </w:r>
      <w:r w:rsidR="003A46C9" w:rsidRPr="00A833D2">
        <w:rPr>
          <w:rFonts w:ascii="Times New Roman" w:hAnsi="Times New Roman" w:cs="Times New Roman"/>
          <w:sz w:val="24"/>
          <w:szCs w:val="24"/>
        </w:rPr>
        <w:t xml:space="preserve"> and t</w:t>
      </w:r>
      <w:r w:rsidR="0047086E" w:rsidRPr="00A833D2">
        <w:rPr>
          <w:rFonts w:ascii="Times New Roman" w:hAnsi="Times New Roman" w:cs="Times New Roman"/>
          <w:sz w:val="24"/>
          <w:szCs w:val="24"/>
        </w:rPr>
        <w:t>he EIR did not analyze the potential development of the Project</w:t>
      </w:r>
      <w:r w:rsidR="00E20849" w:rsidRPr="00A833D2">
        <w:rPr>
          <w:rFonts w:ascii="Times New Roman" w:hAnsi="Times New Roman" w:cs="Times New Roman"/>
          <w:sz w:val="24"/>
          <w:szCs w:val="24"/>
        </w:rPr>
        <w:t>’</w:t>
      </w:r>
      <w:r w:rsidR="0047086E" w:rsidRPr="00A833D2">
        <w:rPr>
          <w:rFonts w:ascii="Times New Roman" w:hAnsi="Times New Roman" w:cs="Times New Roman"/>
          <w:sz w:val="24"/>
          <w:szCs w:val="24"/>
        </w:rPr>
        <w:t>s parcels into individual vineyard sites.</w:t>
      </w:r>
    </w:p>
    <w:p w14:paraId="4653CF5A"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7086E" w:rsidRPr="00A833D2">
        <w:rPr>
          <w:rFonts w:ascii="Times New Roman" w:hAnsi="Times New Roman" w:cs="Times New Roman"/>
          <w:sz w:val="24"/>
          <w:szCs w:val="24"/>
        </w:rPr>
        <w:t xml:space="preserve"> Board finds and determines as follows:</w:t>
      </w:r>
    </w:p>
    <w:p w14:paraId="18467E00" w14:textId="51F36E43"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It may be helpful to first define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growth inducement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as it relates to CEQA.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15126.2</w:t>
      </w:r>
      <w:r w:rsidR="00375789" w:rsidRPr="00A833D2">
        <w:rPr>
          <w:rFonts w:ascii="Times New Roman" w:hAnsi="Times New Roman" w:cs="Times New Roman"/>
          <w:sz w:val="24"/>
          <w:szCs w:val="24"/>
        </w:rPr>
        <w:t>, subd.</w:t>
      </w:r>
      <w:r w:rsidRPr="00A833D2">
        <w:rPr>
          <w:rFonts w:ascii="Times New Roman" w:hAnsi="Times New Roman" w:cs="Times New Roman"/>
          <w:sz w:val="24"/>
          <w:szCs w:val="24"/>
        </w:rPr>
        <w:t xml:space="preserve"> (d)</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defines a growth inducing impact as something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could foster economic or population growth, or the construction of additional housing, either directly or indirectly, in the surrounding environment. Included in this are projects which would remove obstacles to population growth (a major expansion of a waste water treatment plant might, for example, allow for more construction in service areas).</w:t>
      </w:r>
      <w:r w:rsidR="00E20849" w:rsidRPr="00A833D2">
        <w:rPr>
          <w:rFonts w:ascii="Times New Roman" w:hAnsi="Times New Roman" w:cs="Times New Roman"/>
          <w:sz w:val="24"/>
          <w:szCs w:val="24"/>
        </w:rPr>
        <w:t>”</w:t>
      </w:r>
    </w:p>
    <w:p w14:paraId="635C725B" w14:textId="77777777"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stated in Section 3.3 of the Draft EIR, the objective of the Walt Ranch Project is to develop vineyard on the Walt Ranch property. The entire project site is zoned Agricultural Watershed (AW). Land uses allowed in an AW zone without a use permit include agriculture, one single family dwelling per each legal lot, small residential care facilities, and other uses as discussed in Section 3.1 of the Draft EIR. The proposed development of vineyards on the property is an agricultural use and does not require a use permit, but rather requires the approval of an Erosion Control Plan. As stated above, the purpose of the Walt Ranch Project is to develop vineyards on the Walt Ranch; the EIR does not analyze the development of homes on the parcels because that is not proposed by the project applicant and not a reasonable foreseeable future development. No other reasonably foreseeable future development would occur on the project site beyond what is described in the EIR. Furthermore, the planting of vineyards on the property would not induce growth, as it is not removing an obstacle to population growth or rezoning the property to allow higher-density residential land uses.</w:t>
      </w:r>
    </w:p>
    <w:p w14:paraId="6C9BFB47" w14:textId="4AC746EF"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15126.2, the potential for growth inducement attributable to the Walt Ranch Project is discussed in Section 6.2 of the Draft EIR. As discussed in Section 3.4.1-6 of the Draft EIR, there is a 21-mile existing road network on the property that provides access to all 35 legal parcels. The Walt Ranch Project would realign and upgrade some of the roads in accordance with a Long-Term Road Management Plan, included as Appendix C of the Draft EIR. However, the Walt Ranch Project would not provide new access to any parcels that would constitute the removal of an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obstacle to population growth</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as defined by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15126.2</w:t>
      </w:r>
      <w:r w:rsidR="00375789" w:rsidRPr="00A833D2">
        <w:rPr>
          <w:rFonts w:ascii="Times New Roman" w:hAnsi="Times New Roman" w:cs="Times New Roman"/>
          <w:sz w:val="24"/>
          <w:szCs w:val="24"/>
        </w:rPr>
        <w:t>, subd.</w:t>
      </w:r>
      <w:r w:rsidRPr="00A833D2">
        <w:rPr>
          <w:rFonts w:ascii="Times New Roman" w:hAnsi="Times New Roman" w:cs="Times New Roman"/>
          <w:sz w:val="24"/>
          <w:szCs w:val="24"/>
        </w:rPr>
        <w:t xml:space="preserve"> (d). Further, the vineyard road improvements have not been designed to meet the County Road and Street Standards for residential uses, but rather the roads will be upgraded to provide agricultural access. Some of these agricultural roads would be graveled to reduce erosion, but none would be paved roadways as stated by the Appellant.</w:t>
      </w:r>
    </w:p>
    <w:p w14:paraId="3703B40D" w14:textId="165C1414"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Walt Ranch Project includes infrastructure to facilitate the development of vineyards as listed at pages 3-7 and 3-8 of the Draft EIR. These improvements include the development of a water supply in order to serve the vineyard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need for water for irrigation and frost protection. The proposed water supply is designed to provide the water needed for development of the property as vineyards; the water supply is not designed to serve another purpose, such as water supply for residential uses. In this respect, the project does not remove an obstacle to growth. Further, pursuant to the County Groundwater Conservation Ordinance, a discretionary permit would be required to modify the proposed water supply system to provide any water for residential use to more than one contiguous p</w:t>
      </w:r>
      <w:r w:rsidR="003A46C9" w:rsidRPr="00A833D2">
        <w:rPr>
          <w:rFonts w:ascii="Times New Roman" w:hAnsi="Times New Roman" w:cs="Times New Roman"/>
          <w:sz w:val="24"/>
          <w:szCs w:val="24"/>
        </w:rPr>
        <w:t xml:space="preserve">arcel. (See County Code Section </w:t>
      </w:r>
      <w:r w:rsidRPr="00A833D2">
        <w:rPr>
          <w:rFonts w:ascii="Times New Roman" w:hAnsi="Times New Roman" w:cs="Times New Roman"/>
          <w:sz w:val="24"/>
          <w:szCs w:val="24"/>
        </w:rPr>
        <w:t>13.15.030(A)(1)(b).)</w:t>
      </w:r>
    </w:p>
    <w:p w14:paraId="241F27DF" w14:textId="77777777"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Walt Ranch Project will provide employment for seasonal and permanent workers. The number of anticipated jobs is described in Section 3.4.5 of the Draft EIR. It is estimated that there will be approximately 80 workers on site during the harvest season. As explained in Section 6.2 of the EIR, this number of workers is not expected to result in significant growth inducement because these workers will be seasonal, and the workers are expected to come from the existing reservoir of available workers in the area. In particular, this incremental increase in the number of seasonal jobs in the region will not create a significant demand for additional housing. Many of these workers already work for the Applicant on other vineyards in the area, and some of them would be the same workers who come to the site to work on the existing vineyards on the Walt Ranch property that were planted in 2006 on areas having natural slopes of less than 5 percent.</w:t>
      </w:r>
    </w:p>
    <w:p w14:paraId="5A4964FC" w14:textId="00499113"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vineyard blocks have been designed based on their suitability to provide high-quality wine grapes, to be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farmable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in terms of access, and to avoid steep slopes, riparian corridors, and sensitive habitat. The vineyard blocks have not been designed to provide locations for possible future home sites. In this respect, the project is not like other instances in which the courts have held that an initial application was clearly designed for some future phase of development, and thus was expected to induce growth. For example, in one case, the applicant proposed to develop a stand-alone golf course, but the locations of future homes around the golf course could readily be identified; under those circumstances, the county had to analyze the potential development that the golf course might induce (</w:t>
      </w:r>
      <w:r w:rsidRPr="00A833D2">
        <w:rPr>
          <w:rFonts w:ascii="Times New Roman" w:hAnsi="Times New Roman" w:cs="Times New Roman"/>
          <w:i/>
          <w:iCs/>
          <w:sz w:val="24"/>
          <w:szCs w:val="24"/>
        </w:rPr>
        <w:t>Stanislaus Audubon Society, Inc. v. County of</w:t>
      </w:r>
      <w:r w:rsidRPr="00A833D2">
        <w:rPr>
          <w:rFonts w:ascii="Times New Roman" w:hAnsi="Times New Roman" w:cs="Times New Roman"/>
          <w:sz w:val="24"/>
          <w:szCs w:val="24"/>
        </w:rPr>
        <w:t xml:space="preserve"> </w:t>
      </w:r>
      <w:r w:rsidRPr="00A833D2">
        <w:rPr>
          <w:rFonts w:ascii="Times New Roman" w:hAnsi="Times New Roman" w:cs="Times New Roman"/>
          <w:i/>
          <w:iCs/>
          <w:sz w:val="24"/>
          <w:szCs w:val="24"/>
        </w:rPr>
        <w:t xml:space="preserve">Stanislaus </w:t>
      </w:r>
      <w:r w:rsidRPr="00A833D2">
        <w:rPr>
          <w:rFonts w:ascii="Times New Roman" w:hAnsi="Times New Roman" w:cs="Times New Roman"/>
          <w:sz w:val="24"/>
          <w:szCs w:val="24"/>
        </w:rPr>
        <w:t>(1995) 33 Cal.App.4th 144). In this case, there is no evidence that development of a vineyard in this location will induce residential development around the vineyard blocks, nor is there evidence that the vineyard blocks have been designed with that possibility in mind.</w:t>
      </w:r>
    </w:p>
    <w:p w14:paraId="4CB4029E" w14:textId="446D80D8"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One single family residence is an authorized use on land zoned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Agriculture/Watershed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(AW) (Napa County Code,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18.20.020(a)). The fact that a single-family residence is a permitted use under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zoning ordinance does not mean that such a unit is part of the Walt Ranch Project for CEQA purposes. In </w:t>
      </w:r>
      <w:r w:rsidRPr="00A833D2">
        <w:rPr>
          <w:rFonts w:ascii="Times New Roman" w:hAnsi="Times New Roman" w:cs="Times New Roman"/>
          <w:i/>
          <w:iCs/>
          <w:sz w:val="24"/>
          <w:szCs w:val="24"/>
        </w:rPr>
        <w:t xml:space="preserve">Save Round Valley Alliance v. County of Inyo </w:t>
      </w:r>
      <w:r w:rsidRPr="00A833D2">
        <w:rPr>
          <w:rFonts w:ascii="Times New Roman" w:hAnsi="Times New Roman" w:cs="Times New Roman"/>
          <w:sz w:val="24"/>
          <w:szCs w:val="24"/>
        </w:rPr>
        <w:t>(2007) 157 Cal.App.4th 1437, the county prepared an EIR for a 27-lot subdivision. Under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zoning ordinance, each lot owner could apply for a permit to construct a second unit. The petitioners argued that the county should have anticipated these second units and, accordingly, analyzed a 54-unit project, rather than a 27-unit project, on theory that these second units were a foreseeable consequence of approving the subdivision. The Court disagreed, concluding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possibility that future lot owners will or will not build a second unit is extremely uncertain, and any impact of such second units is highly speculative.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(157 Cal.App.4th at p. 1450.)</w:t>
      </w:r>
    </w:p>
    <w:p w14:paraId="30D556E5" w14:textId="77777777" w:rsidR="0047086E"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same conclusion is appropriate here. The Applicant seeks County approval of an erosion control plan in order to develop vineyards on the site. The Applicant has not asked the County to issue a building permit for one or more single-family residences. There is no evidence that the Applicant has designed the project to facilitate residential development. There is no evidence that, elsewhere in the region, vineyard projects are being proposed as a catalyst for future residential development.</w:t>
      </w:r>
    </w:p>
    <w:p w14:paraId="2D94D52A" w14:textId="151E5F9A" w:rsidR="00A60BC5" w:rsidRPr="00A833D2" w:rsidRDefault="00A60BC5" w:rsidP="00A60BC5">
      <w:pPr>
        <w:spacing w:after="120" w:line="240" w:lineRule="auto"/>
        <w:ind w:firstLine="720"/>
        <w:rPr>
          <w:rFonts w:ascii="Times New Roman" w:hAnsi="Times New Roman" w:cs="Times New Roman"/>
          <w:sz w:val="24"/>
          <w:szCs w:val="24"/>
        </w:rPr>
      </w:pP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 Draft EIR, Sections 3.1, 3.3</w:t>
      </w:r>
      <w:r>
        <w:rPr>
          <w:rFonts w:ascii="Times New Roman" w:hAnsi="Times New Roman" w:cs="Times New Roman"/>
          <w:sz w:val="24"/>
          <w:szCs w:val="24"/>
        </w:rPr>
        <w:t>; Final EIR General Response 4; County Staff Presentation, Board of Supervisors November 18, 2016 Meeting</w:t>
      </w:r>
      <w:r w:rsidRPr="00A833D2">
        <w:rPr>
          <w:rFonts w:ascii="Times New Roman" w:hAnsi="Times New Roman" w:cs="Times New Roman"/>
          <w:sz w:val="24"/>
          <w:szCs w:val="24"/>
        </w:rPr>
        <w:t>.</w:t>
      </w:r>
    </w:p>
    <w:p w14:paraId="796F592B" w14:textId="5BBA4CB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thirty-seventh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FBCB464"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38.</w:t>
      </w:r>
      <w:r w:rsidRPr="00A833D2">
        <w:rPr>
          <w:rFonts w:ascii="Times New Roman" w:hAnsi="Times New Roman" w:cs="Times New Roman"/>
          <w:b/>
          <w:sz w:val="24"/>
          <w:szCs w:val="24"/>
        </w:rPr>
        <w:tab/>
        <w:t>Thirty-eighth Ground of Appeal.</w:t>
      </w:r>
    </w:p>
    <w:p w14:paraId="45613E37" w14:textId="4A2B2660"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the EIR failed to adequately study the geotechnical conditions of Circle Oaks Drive for use by heavy construction equipment and traffic.</w:t>
      </w:r>
    </w:p>
    <w:p w14:paraId="3E9C8E4F"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776C78" w:rsidRPr="00A833D2">
        <w:rPr>
          <w:rFonts w:ascii="Times New Roman" w:hAnsi="Times New Roman" w:cs="Times New Roman"/>
          <w:sz w:val="24"/>
          <w:szCs w:val="24"/>
        </w:rPr>
        <w:t xml:space="preserve"> Board finds and determines as follows:</w:t>
      </w:r>
    </w:p>
    <w:p w14:paraId="170C4DBC" w14:textId="652F6F5A"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sufficiently analyzed any potential impacts to Circle Oaks Drive due to heavy equipment and increased traffic due to the project. Construction traffic and subsequent operational traffic due to the Walt Ranch Project could increase the rate of road wear on SR-121 and Circle Oaks Drive, as analyzed in Section 4.7 of the Draft EIR. Roads in the vicinity, such as SR-121, were constructed to accommodate a mix of vehicle types, including heavy trucks. Trucks utilized during construction and operation of the Proposed Project must comply with the California Vehicle Code (CVC), per Mitigation Measure 4.7-4. The CVC regulates legal weight and width limits of loaded trucks in order to minimize adverse</w:t>
      </w:r>
      <w:r w:rsidR="003A46C9" w:rsidRPr="00A833D2">
        <w:rPr>
          <w:rFonts w:ascii="Times New Roman" w:hAnsi="Times New Roman" w:cs="Times New Roman"/>
          <w:sz w:val="24"/>
          <w:szCs w:val="24"/>
        </w:rPr>
        <w:t xml:space="preserve"> impacts to roadways. Any extra-</w:t>
      </w:r>
      <w:r w:rsidRPr="00A833D2">
        <w:rPr>
          <w:rFonts w:ascii="Times New Roman" w:hAnsi="Times New Roman" w:cs="Times New Roman"/>
          <w:sz w:val="24"/>
          <w:szCs w:val="24"/>
        </w:rPr>
        <w:t>legal loads needed for specialized deliveries shall be subject to special permit requirements from Napa County. These regulations are intended to minimize adverse impacts to roadways.</w:t>
      </w:r>
    </w:p>
    <w:p w14:paraId="4E0EE164" w14:textId="77777777"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County designated Circle Oaks Drive as a local road, which is generally not built with the pavement thickness that would withstand substantial or continuous traffic. However, the amount of project-related truck and equipment trips anticipated on Circle Oaks Drive is not considered substantial and would not create a significant impact on the wear-and-tear of this roadway.</w:t>
      </w:r>
    </w:p>
    <w:p w14:paraId="2BE986BB" w14:textId="77777777"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Though project related truck and equipment trips are not anticipated to create a significant impact on the wear-and-tear of Circle Oaks Drive, the County continued to hear concerns that damage may still occur. In response, the project must comply with Mitigation Measure 4.7-4, which requires a third party consultant to assess Circle Oaks Drive prior to the start of construction and following the completion of construction. Under the measure, if any deterioration has occurred to the roadway or subsurface infrastructure due to construction traffic, the applicant must pay to resurface the roadway to restore the pavement to at least preconstruction condition (unless the resurfacing is already expected to occur within a year or sooner in conjunction with other planned or proposed roadway improvements). While the traffic analysis indicated that the project does not require this mitigation measure in order to avoid or substantially lessen an impact that is less than significant, the County imposed this mitigation measure to provide further assurances to Circle Oaks residents that the project will not permanently damage Circle Oaks Drive.</w:t>
      </w:r>
    </w:p>
    <w:p w14:paraId="38E27FC3" w14:textId="026ED1E8"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Furthermore, Condition of Approval No. 2 imposed upon the project additional traffic restrictions requiring that all construction equipment be routed away from Circle Oaks Drive and through the northernmost access driveway directly off of State Route 121. </w:t>
      </w:r>
      <w:r w:rsidR="008E4480" w:rsidRPr="00A833D2">
        <w:rPr>
          <w:rFonts w:ascii="Times New Roman" w:hAnsi="Times New Roman" w:cs="Times New Roman"/>
          <w:sz w:val="24"/>
          <w:szCs w:val="24"/>
        </w:rPr>
        <w:t>In addition, no construction equipment or vehicles weighing greater than 64,000 pounds shall use Circle Oaks Drive. This additional Condition of Approval significantly minimizes any potential traffic disruption to the Circle Oaks community or damage to infrastructure.</w:t>
      </w:r>
    </w:p>
    <w:p w14:paraId="644C2EC9" w14:textId="2F0BCEA7" w:rsidR="003920FA" w:rsidRPr="00A833D2" w:rsidRDefault="003920FA" w:rsidP="00C3455B">
      <w:pPr>
        <w:spacing w:after="120" w:line="240" w:lineRule="auto"/>
        <w:rPr>
          <w:rFonts w:ascii="Times New Roman" w:hAnsi="Times New Roman" w:cs="Times New Roman"/>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60BC5">
        <w:rPr>
          <w:rFonts w:ascii="Times New Roman" w:hAnsi="Times New Roman" w:cs="Times New Roman"/>
          <w:sz w:val="24"/>
          <w:szCs w:val="24"/>
        </w:rPr>
        <w:t xml:space="preserve"> Final </w:t>
      </w:r>
      <w:r w:rsidR="008E4480" w:rsidRPr="00A833D2">
        <w:rPr>
          <w:rFonts w:ascii="Times New Roman" w:hAnsi="Times New Roman" w:cs="Times New Roman"/>
          <w:sz w:val="24"/>
          <w:szCs w:val="24"/>
        </w:rPr>
        <w:t xml:space="preserve">EIR, Section 4.7; County Staff Presentations, Board of Supervisors </w:t>
      </w:r>
      <w:r w:rsidR="00B26259" w:rsidRPr="00A833D2">
        <w:rPr>
          <w:rFonts w:ascii="Times New Roman" w:hAnsi="Times New Roman" w:cs="Times New Roman"/>
          <w:sz w:val="24"/>
          <w:szCs w:val="24"/>
        </w:rPr>
        <w:t xml:space="preserve">November 18 and December 6, 2016, </w:t>
      </w:r>
      <w:r w:rsidR="008E4480" w:rsidRPr="00A833D2">
        <w:rPr>
          <w:rFonts w:ascii="Times New Roman" w:hAnsi="Times New Roman" w:cs="Times New Roman"/>
          <w:sz w:val="24"/>
          <w:szCs w:val="24"/>
        </w:rPr>
        <w:t>Meetings; Memorandum from David Morrison and Brian Bordona to Chair Pedroza and Board Members, December 5, 2016</w:t>
      </w:r>
      <w:r w:rsidR="008E4480" w:rsidRPr="00A833D2">
        <w:rPr>
          <w:rFonts w:ascii="Times New Roman" w:hAnsi="Times New Roman" w:cs="Times New Roman"/>
        </w:rPr>
        <w:t>.</w:t>
      </w:r>
    </w:p>
    <w:p w14:paraId="59ABB1C8" w14:textId="2652CAB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thirty-eighth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AD01A8D" w14:textId="5B4141CE"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3</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Incorporation of SSE Appeal Decision by Reference.</w:t>
      </w:r>
    </w:p>
    <w:p w14:paraId="0C976559" w14:textId="0A6D9235"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hereby incorporates by reference all findings and decisions made in connection with Appellants CBD, Sierra Club, and LRC</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Appeals as set forth in Resolution Nos. 2016</w:t>
      </w:r>
      <w:r w:rsidRPr="00A833D2">
        <w:rPr>
          <w:rFonts w:ascii="Times New Roman" w:hAnsi="Times New Roman" w:cs="Times New Roman"/>
          <w:sz w:val="24"/>
          <w:szCs w:val="24"/>
          <w:highlight w:val="yellow"/>
        </w:rPr>
        <w:t>-_____,</w:t>
      </w:r>
      <w:r w:rsidRPr="00A833D2">
        <w:rPr>
          <w:rFonts w:ascii="Times New Roman" w:hAnsi="Times New Roman" w:cs="Times New Roman"/>
          <w:sz w:val="24"/>
          <w:szCs w:val="24"/>
        </w:rPr>
        <w:t xml:space="preserve"> 2016</w:t>
      </w:r>
      <w:r w:rsidRPr="00A833D2">
        <w:rPr>
          <w:rFonts w:ascii="Times New Roman" w:hAnsi="Times New Roman" w:cs="Times New Roman"/>
          <w:sz w:val="24"/>
          <w:szCs w:val="24"/>
          <w:highlight w:val="yellow"/>
        </w:rPr>
        <w:t>-_____,</w:t>
      </w:r>
      <w:r w:rsidRPr="00A833D2">
        <w:rPr>
          <w:rFonts w:ascii="Times New Roman" w:hAnsi="Times New Roman" w:cs="Times New Roman"/>
          <w:sz w:val="24"/>
          <w:szCs w:val="24"/>
        </w:rPr>
        <w:t xml:space="preserve"> and 2016</w:t>
      </w:r>
      <w:r w:rsidRPr="00A833D2">
        <w:rPr>
          <w:rFonts w:ascii="Times New Roman" w:hAnsi="Times New Roman" w:cs="Times New Roman"/>
          <w:sz w:val="24"/>
          <w:szCs w:val="24"/>
          <w:highlight w:val="yellow"/>
        </w:rPr>
        <w:t>-_____.</w:t>
      </w:r>
    </w:p>
    <w:p w14:paraId="2717BDCF" w14:textId="4AC504E6"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4</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Conditions of Approval.</w:t>
      </w:r>
    </w:p>
    <w:p w14:paraId="54D963B2" w14:textId="66BB34E5"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modifies the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conditions of approval and the Updated MMRP as set forth in Exhibit</w:t>
      </w:r>
      <w:r w:rsidR="006E12BD">
        <w:rPr>
          <w:rFonts w:ascii="Times New Roman" w:hAnsi="Times New Roman" w:cs="Times New Roman"/>
          <w:sz w:val="24"/>
          <w:szCs w:val="24"/>
        </w:rPr>
        <w:t>s</w:t>
      </w:r>
      <w:r w:rsidRPr="00A833D2">
        <w:rPr>
          <w:rFonts w:ascii="Times New Roman" w:hAnsi="Times New Roman" w:cs="Times New Roman"/>
          <w:sz w:val="24"/>
          <w:szCs w:val="24"/>
        </w:rPr>
        <w:t xml:space="preserve"> A</w:t>
      </w:r>
      <w:r w:rsidR="006E12BD">
        <w:rPr>
          <w:rFonts w:ascii="Times New Roman" w:hAnsi="Times New Roman" w:cs="Times New Roman"/>
          <w:sz w:val="24"/>
          <w:szCs w:val="24"/>
        </w:rPr>
        <w:t xml:space="preserve"> and B</w:t>
      </w:r>
      <w:r w:rsidRPr="00A833D2">
        <w:rPr>
          <w:rFonts w:ascii="Times New Roman" w:hAnsi="Times New Roman" w:cs="Times New Roman"/>
          <w:sz w:val="24"/>
          <w:szCs w:val="24"/>
        </w:rPr>
        <w:t xml:space="preserve"> attached and incorporated herein by reference.</w:t>
      </w:r>
    </w:p>
    <w:p w14:paraId="32D29807" w14:textId="57C43C4D"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5</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Substantial Evidence.</w:t>
      </w:r>
    </w:p>
    <w:p w14:paraId="541F21C1"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Substantial evidence supporting each and every finding made herein is contained in the record of proceedings. All of the files and records that comprise the administrative record for the Walt Ranch Erosion Control Plan Project are incorporated herein by reference.</w:t>
      </w:r>
    </w:p>
    <w:p w14:paraId="495EC174" w14:textId="1B84A4D9"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6</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Summary of Decision.</w:t>
      </w:r>
    </w:p>
    <w:p w14:paraId="53305EE6"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Based on the foregoing facts, findings, and determinations, the Board of Supervisors:</w:t>
      </w:r>
    </w:p>
    <w:p w14:paraId="01B57CA5" w14:textId="77777777"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Adopts the findings of fact and rationales as set forth in this Resolution;</w:t>
      </w:r>
    </w:p>
    <w:p w14:paraId="2A7B6650" w14:textId="037BE468"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 xml:space="preserve">Denies the first through </w:t>
      </w:r>
      <w:r w:rsidR="007B7A0A" w:rsidRPr="00A833D2">
        <w:rPr>
          <w:rFonts w:ascii="Times New Roman" w:hAnsi="Times New Roman" w:cs="Times New Roman"/>
          <w:sz w:val="24"/>
          <w:szCs w:val="24"/>
        </w:rPr>
        <w:t>thirty-eighth</w:t>
      </w:r>
      <w:r w:rsidRPr="00A833D2">
        <w:rPr>
          <w:rFonts w:ascii="Times New Roman" w:hAnsi="Times New Roman" w:cs="Times New Roman"/>
          <w:sz w:val="24"/>
          <w:szCs w:val="24"/>
        </w:rPr>
        <w:t xml:space="preserve"> grounds of appeal to </w:t>
      </w:r>
      <w:r w:rsidR="007B7A0A" w:rsidRPr="00A833D2">
        <w:rPr>
          <w:rFonts w:ascii="Times New Roman" w:hAnsi="Times New Roman" w:cs="Times New Roman"/>
          <w:sz w:val="24"/>
          <w:szCs w:val="24"/>
        </w:rPr>
        <w:t>Circle Oaks</w:t>
      </w:r>
      <w:r w:rsidR="00E20849" w:rsidRPr="00A833D2">
        <w:rPr>
          <w:rFonts w:ascii="Times New Roman" w:hAnsi="Times New Roman" w:cs="Times New Roman"/>
          <w:sz w:val="24"/>
          <w:szCs w:val="24"/>
        </w:rPr>
        <w:t>’</w:t>
      </w:r>
      <w:r w:rsidR="006E12BD">
        <w:rPr>
          <w:rFonts w:ascii="Times New Roman" w:hAnsi="Times New Roman" w:cs="Times New Roman"/>
          <w:sz w:val="24"/>
          <w:szCs w:val="24"/>
        </w:rPr>
        <w:t xml:space="preserve"> </w:t>
      </w:r>
      <w:r w:rsidRPr="00A833D2">
        <w:rPr>
          <w:rFonts w:ascii="Times New Roman" w:hAnsi="Times New Roman" w:cs="Times New Roman"/>
          <w:sz w:val="24"/>
          <w:szCs w:val="24"/>
        </w:rPr>
        <w:t>appeal as set forth above;</w:t>
      </w:r>
    </w:p>
    <w:p w14:paraId="5B10D086" w14:textId="5DE28377"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Upholds the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approval of the Reduced Intensity Alternative as contained in the Draft EIR and Final EIR with additional modifications and certifies the EIR;</w:t>
      </w:r>
    </w:p>
    <w:p w14:paraId="2F1C7DC5" w14:textId="74D35568"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 xml:space="preserve">Approves the revised Erosion Control Plan P11-00205-ECPA, subject to the attached </w:t>
      </w:r>
      <w:r w:rsidR="0099492C" w:rsidRPr="00A833D2">
        <w:rPr>
          <w:rFonts w:ascii="Times New Roman" w:hAnsi="Times New Roman" w:cs="Times New Roman"/>
          <w:sz w:val="24"/>
          <w:szCs w:val="24"/>
        </w:rPr>
        <w:t>revised</w:t>
      </w:r>
      <w:r w:rsidRPr="00A833D2">
        <w:rPr>
          <w:rFonts w:ascii="Times New Roman" w:hAnsi="Times New Roman" w:cs="Times New Roman"/>
          <w:sz w:val="24"/>
          <w:szCs w:val="24"/>
        </w:rPr>
        <w:t xml:space="preserve"> Conditions of Approval and amended Updated MMRP, attached as Exhibit</w:t>
      </w:r>
      <w:r w:rsidR="006E12BD">
        <w:rPr>
          <w:rFonts w:ascii="Times New Roman" w:hAnsi="Times New Roman" w:cs="Times New Roman"/>
          <w:sz w:val="24"/>
          <w:szCs w:val="24"/>
        </w:rPr>
        <w:t>s</w:t>
      </w:r>
      <w:r w:rsidRPr="00A833D2">
        <w:rPr>
          <w:rFonts w:ascii="Times New Roman" w:hAnsi="Times New Roman" w:cs="Times New Roman"/>
          <w:sz w:val="24"/>
          <w:szCs w:val="24"/>
        </w:rPr>
        <w:t xml:space="preserve"> A </w:t>
      </w:r>
      <w:r w:rsidR="006E12BD">
        <w:rPr>
          <w:rFonts w:ascii="Times New Roman" w:hAnsi="Times New Roman" w:cs="Times New Roman"/>
          <w:sz w:val="24"/>
          <w:szCs w:val="24"/>
        </w:rPr>
        <w:t xml:space="preserve">and B </w:t>
      </w:r>
      <w:r w:rsidRPr="00A833D2">
        <w:rPr>
          <w:rFonts w:ascii="Times New Roman" w:hAnsi="Times New Roman" w:cs="Times New Roman"/>
          <w:sz w:val="24"/>
          <w:szCs w:val="24"/>
        </w:rPr>
        <w:t>and incorporated herein by reference;</w:t>
      </w:r>
    </w:p>
    <w:p w14:paraId="7311C747" w14:textId="5CC63A47" w:rsidR="007542CA" w:rsidRPr="00A833D2" w:rsidRDefault="0099492C"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Revises</w:t>
      </w:r>
      <w:r w:rsidR="007542CA" w:rsidRPr="00A833D2">
        <w:rPr>
          <w:rFonts w:ascii="Times New Roman" w:hAnsi="Times New Roman" w:cs="Times New Roman"/>
          <w:sz w:val="24"/>
          <w:szCs w:val="24"/>
        </w:rPr>
        <w:t xml:space="preserve"> the Conditions of Approval and Updated MMRP adopted by the Director and finds that the </w:t>
      </w:r>
      <w:r w:rsidRPr="00A833D2">
        <w:rPr>
          <w:rFonts w:ascii="Times New Roman" w:hAnsi="Times New Roman" w:cs="Times New Roman"/>
          <w:sz w:val="24"/>
          <w:szCs w:val="24"/>
        </w:rPr>
        <w:t>Revised</w:t>
      </w:r>
      <w:r w:rsidR="007542CA" w:rsidRPr="00A833D2">
        <w:rPr>
          <w:rFonts w:ascii="Times New Roman" w:hAnsi="Times New Roman" w:cs="Times New Roman"/>
          <w:sz w:val="24"/>
          <w:szCs w:val="24"/>
        </w:rPr>
        <w:t xml:space="preserve"> Conditions of Approval and amended Updated MMRP, attached as Exhibit</w:t>
      </w:r>
      <w:r w:rsidR="006E12BD">
        <w:rPr>
          <w:rFonts w:ascii="Times New Roman" w:hAnsi="Times New Roman" w:cs="Times New Roman"/>
          <w:sz w:val="24"/>
          <w:szCs w:val="24"/>
        </w:rPr>
        <w:t>s</w:t>
      </w:r>
      <w:r w:rsidR="007542CA" w:rsidRPr="00A833D2">
        <w:rPr>
          <w:rFonts w:ascii="Times New Roman" w:hAnsi="Times New Roman" w:cs="Times New Roman"/>
          <w:sz w:val="24"/>
          <w:szCs w:val="24"/>
        </w:rPr>
        <w:t xml:space="preserve"> A</w:t>
      </w:r>
      <w:r w:rsidR="006E12BD">
        <w:rPr>
          <w:rFonts w:ascii="Times New Roman" w:hAnsi="Times New Roman" w:cs="Times New Roman"/>
          <w:sz w:val="24"/>
          <w:szCs w:val="24"/>
        </w:rPr>
        <w:t xml:space="preserve"> and B</w:t>
      </w:r>
      <w:r w:rsidR="007542CA" w:rsidRPr="00A833D2">
        <w:rPr>
          <w:rFonts w:ascii="Times New Roman" w:hAnsi="Times New Roman" w:cs="Times New Roman"/>
          <w:sz w:val="24"/>
          <w:szCs w:val="24"/>
        </w:rPr>
        <w:t>, are both necessary and well justified; and</w:t>
      </w:r>
    </w:p>
    <w:p w14:paraId="0C16F165" w14:textId="6585ED76"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 xml:space="preserve">Adopts the </w:t>
      </w:r>
      <w:r w:rsidR="0099492C" w:rsidRPr="00A833D2">
        <w:rPr>
          <w:rFonts w:ascii="Times New Roman" w:hAnsi="Times New Roman" w:cs="Times New Roman"/>
          <w:sz w:val="24"/>
          <w:szCs w:val="24"/>
        </w:rPr>
        <w:t>Revised</w:t>
      </w:r>
      <w:r w:rsidRPr="00A833D2">
        <w:rPr>
          <w:rFonts w:ascii="Times New Roman" w:hAnsi="Times New Roman" w:cs="Times New Roman"/>
          <w:sz w:val="24"/>
          <w:szCs w:val="24"/>
        </w:rPr>
        <w:t xml:space="preserve"> Conditions of Approval and amended Updated MMRP, attached as Exhibit</w:t>
      </w:r>
      <w:r w:rsidR="006E12BD">
        <w:rPr>
          <w:rFonts w:ascii="Times New Roman" w:hAnsi="Times New Roman" w:cs="Times New Roman"/>
          <w:sz w:val="24"/>
          <w:szCs w:val="24"/>
        </w:rPr>
        <w:t>s</w:t>
      </w:r>
      <w:r w:rsidRPr="00A833D2">
        <w:rPr>
          <w:rFonts w:ascii="Times New Roman" w:hAnsi="Times New Roman" w:cs="Times New Roman"/>
          <w:sz w:val="24"/>
          <w:szCs w:val="24"/>
        </w:rPr>
        <w:t xml:space="preserve"> A</w:t>
      </w:r>
      <w:r w:rsidR="006E12BD">
        <w:rPr>
          <w:rFonts w:ascii="Times New Roman" w:hAnsi="Times New Roman" w:cs="Times New Roman"/>
          <w:sz w:val="24"/>
          <w:szCs w:val="24"/>
        </w:rPr>
        <w:t xml:space="preserve"> and B</w:t>
      </w:r>
      <w:r w:rsidRPr="00A833D2">
        <w:rPr>
          <w:rFonts w:ascii="Times New Roman" w:hAnsi="Times New Roman" w:cs="Times New Roman"/>
          <w:sz w:val="24"/>
          <w:szCs w:val="24"/>
        </w:rPr>
        <w:t>.</w:t>
      </w:r>
    </w:p>
    <w:p w14:paraId="67377A3E" w14:textId="65FD216B"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7</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Effective Date.</w:t>
      </w:r>
    </w:p>
    <w:p w14:paraId="56599276"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This resolution shall take effect in accordance with the provisions of Napa County Code section 2.88.090.</w:t>
      </w:r>
    </w:p>
    <w:p w14:paraId="45548EF6" w14:textId="7351D1D8"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8</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Judicial Challenge.</w:t>
      </w:r>
    </w:p>
    <w:p w14:paraId="57FD41E4"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Unless a shorter period applies, any judicial challenge to this decision is governed by California Code of Civil Procedure section 1094.6.</w:t>
      </w:r>
    </w:p>
    <w:p w14:paraId="29D5AF75" w14:textId="77777777" w:rsidR="003920F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rPr>
        <w:t xml:space="preserve">THE FOREGOING RESOLUTION WAS DULY AND REGULARLY ADOPTED </w:t>
      </w:r>
      <w:r w:rsidRPr="00A833D2">
        <w:rPr>
          <w:rFonts w:ascii="Times New Roman" w:hAnsi="Times New Roman" w:cs="Times New Roman"/>
          <w:sz w:val="24"/>
          <w:szCs w:val="24"/>
        </w:rPr>
        <w:t>by the Napa County Board of Supervisors, State of California, at a regular meeting of said Board held on the _____ day of ____________, 2016, by the following vote:</w:t>
      </w:r>
    </w:p>
    <w:p w14:paraId="4F943864" w14:textId="77777777" w:rsidR="00545772" w:rsidRPr="00A833D2" w:rsidRDefault="00545772" w:rsidP="00085362">
      <w:pPr>
        <w:suppressAutoHyphens/>
        <w:spacing w:after="200" w:line="240" w:lineRule="auto"/>
        <w:rPr>
          <w:rFonts w:ascii="Times New Roman" w:eastAsia="Times New Roman" w:hAnsi="Times New Roman" w:cs="Times New Roman"/>
          <w:spacing w:val="-2"/>
          <w:sz w:val="24"/>
          <w:szCs w:val="20"/>
        </w:rPr>
      </w:pPr>
      <w:r w:rsidRPr="00A833D2">
        <w:rPr>
          <w:rFonts w:ascii="Times New Roman" w:eastAsia="Times New Roman" w:hAnsi="Times New Roman" w:cs="Times New Roman"/>
          <w:spacing w:val="-2"/>
          <w:sz w:val="24"/>
          <w:szCs w:val="20"/>
        </w:rPr>
        <w:tab/>
        <w:t>AYES:</w:t>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t>SUPERVISORS</w:t>
      </w:r>
      <w:r w:rsidRPr="00A833D2">
        <w:rPr>
          <w:rFonts w:ascii="Times New Roman" w:eastAsia="Times New Roman" w:hAnsi="Times New Roman" w:cs="Times New Roman"/>
          <w:spacing w:val="-2"/>
          <w:sz w:val="24"/>
          <w:szCs w:val="20"/>
        </w:rPr>
        <w:tab/>
        <w:t>__________________________________</w:t>
      </w:r>
    </w:p>
    <w:p w14:paraId="48CB40DA" w14:textId="77777777" w:rsidR="00545772" w:rsidRPr="00A833D2" w:rsidRDefault="00545772" w:rsidP="00085362">
      <w:pPr>
        <w:suppressAutoHyphens/>
        <w:spacing w:after="120" w:line="240" w:lineRule="auto"/>
        <w:rPr>
          <w:rFonts w:ascii="Times New Roman" w:eastAsia="Times New Roman" w:hAnsi="Times New Roman" w:cs="Times New Roman"/>
          <w:spacing w:val="-2"/>
          <w:sz w:val="24"/>
          <w:szCs w:val="20"/>
        </w:rPr>
      </w:pP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t>__________________________________</w:t>
      </w:r>
    </w:p>
    <w:p w14:paraId="305BF0C4" w14:textId="77777777" w:rsidR="00545772" w:rsidRPr="00A833D2" w:rsidRDefault="00545772" w:rsidP="00085362">
      <w:pPr>
        <w:suppressAutoHyphens/>
        <w:spacing w:after="120" w:line="240" w:lineRule="auto"/>
        <w:rPr>
          <w:rFonts w:ascii="Times New Roman" w:eastAsia="Times New Roman" w:hAnsi="Times New Roman" w:cs="Times New Roman"/>
          <w:spacing w:val="-2"/>
          <w:sz w:val="24"/>
          <w:szCs w:val="20"/>
        </w:rPr>
      </w:pPr>
      <w:r w:rsidRPr="00A833D2">
        <w:rPr>
          <w:rFonts w:ascii="Times New Roman" w:eastAsia="Times New Roman" w:hAnsi="Times New Roman" w:cs="Times New Roman"/>
          <w:spacing w:val="-2"/>
          <w:sz w:val="24"/>
          <w:szCs w:val="20"/>
        </w:rPr>
        <w:tab/>
        <w:t>NOES:</w:t>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t>SUPERVISORS</w:t>
      </w:r>
      <w:r w:rsidRPr="00A833D2">
        <w:rPr>
          <w:rFonts w:ascii="Times New Roman" w:eastAsia="Times New Roman" w:hAnsi="Times New Roman" w:cs="Times New Roman"/>
          <w:spacing w:val="-2"/>
          <w:sz w:val="24"/>
          <w:szCs w:val="20"/>
        </w:rPr>
        <w:tab/>
        <w:t>__________________________________</w:t>
      </w:r>
    </w:p>
    <w:p w14:paraId="221BAC22" w14:textId="77777777" w:rsidR="00545772" w:rsidRPr="00A833D2" w:rsidRDefault="00545772" w:rsidP="00A833D2">
      <w:pPr>
        <w:suppressAutoHyphens/>
        <w:spacing w:after="12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t>ABSENT:</w:t>
      </w:r>
      <w:r w:rsidRPr="00A833D2">
        <w:rPr>
          <w:rFonts w:ascii="Times New Roman" w:eastAsia="Times New Roman" w:hAnsi="Times New Roman" w:cs="Times New Roman"/>
          <w:spacing w:val="-2"/>
          <w:sz w:val="24"/>
          <w:szCs w:val="24"/>
        </w:rPr>
        <w:tab/>
        <w:t>SUPERVISORS</w:t>
      </w:r>
      <w:r w:rsidRPr="00A833D2">
        <w:rPr>
          <w:rFonts w:ascii="Times New Roman" w:eastAsia="Times New Roman" w:hAnsi="Times New Roman" w:cs="Times New Roman"/>
          <w:spacing w:val="-2"/>
          <w:sz w:val="24"/>
          <w:szCs w:val="24"/>
        </w:rPr>
        <w:tab/>
        <w:t>__________________________________</w:t>
      </w:r>
    </w:p>
    <w:p w14:paraId="20D9E667"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 xml:space="preserve">NAPA COUNTY, a political subdivision of the </w:t>
      </w:r>
    </w:p>
    <w:p w14:paraId="6268BD41"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State of California</w:t>
      </w:r>
    </w:p>
    <w:p w14:paraId="67315D86"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p>
    <w:p w14:paraId="6BDDC1A2"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__________________________________</w:t>
      </w:r>
    </w:p>
    <w:p w14:paraId="355A4988"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 xml:space="preserve">ALFREDO PEDROZA, Chairman of the </w:t>
      </w:r>
    </w:p>
    <w:p w14:paraId="63C3AC9D" w14:textId="77777777" w:rsidR="00545772" w:rsidRPr="00A833D2" w:rsidRDefault="00545772" w:rsidP="001D04D5">
      <w:pPr>
        <w:suppressAutoHyphens/>
        <w:spacing w:after="12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Board of Supervisors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0"/>
        <w:gridCol w:w="2739"/>
        <w:gridCol w:w="3539"/>
      </w:tblGrid>
      <w:tr w:rsidR="00545772" w:rsidRPr="00A833D2" w14:paraId="7472090F" w14:textId="77777777" w:rsidTr="00545772">
        <w:trPr>
          <w:jc w:val="center"/>
        </w:trPr>
        <w:tc>
          <w:tcPr>
            <w:tcW w:w="1667" w:type="pct"/>
            <w:shd w:val="clear" w:color="auto" w:fill="auto"/>
          </w:tcPr>
          <w:p w14:paraId="7D65A1FB" w14:textId="77777777" w:rsidR="00545772" w:rsidRPr="00A833D2" w:rsidRDefault="00545772" w:rsidP="00C3455B">
            <w:pPr>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APPROVED AS TO FORM</w:t>
            </w:r>
          </w:p>
          <w:p w14:paraId="3F041FB5" w14:textId="77777777" w:rsidR="00545772" w:rsidRPr="00A833D2" w:rsidRDefault="00545772" w:rsidP="00C3455B">
            <w:pPr>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Office of County Counsel</w:t>
            </w:r>
          </w:p>
          <w:p w14:paraId="1C41309B" w14:textId="77777777" w:rsidR="00545772" w:rsidRPr="00A833D2" w:rsidRDefault="00545772" w:rsidP="00C3455B">
            <w:pPr>
              <w:spacing w:after="0" w:line="240" w:lineRule="auto"/>
              <w:rPr>
                <w:rFonts w:ascii="Times New Roman" w:eastAsia="Calibri" w:hAnsi="Times New Roman" w:cs="Times New Roman"/>
                <w:sz w:val="20"/>
                <w:szCs w:val="20"/>
              </w:rPr>
            </w:pPr>
          </w:p>
          <w:p w14:paraId="0BF27996" w14:textId="77777777" w:rsidR="00545772" w:rsidRPr="00A833D2" w:rsidRDefault="00545772" w:rsidP="00C3455B">
            <w:pPr>
              <w:spacing w:after="0" w:line="240" w:lineRule="auto"/>
              <w:rPr>
                <w:rFonts w:ascii="Times New Roman" w:eastAsia="Calibri" w:hAnsi="Times New Roman" w:cs="Times New Roman"/>
                <w:sz w:val="20"/>
                <w:szCs w:val="20"/>
              </w:rPr>
            </w:pPr>
          </w:p>
          <w:p w14:paraId="702F29B5" w14:textId="2A5624FB" w:rsidR="00545772" w:rsidRPr="00A833D2" w:rsidRDefault="00545772" w:rsidP="00C3455B">
            <w:pPr>
              <w:spacing w:after="0" w:line="240" w:lineRule="auto"/>
              <w:rPr>
                <w:rFonts w:ascii="Times New Roman" w:eastAsia="Calibri" w:hAnsi="Times New Roman" w:cs="Times New Roman"/>
                <w:i/>
                <w:sz w:val="20"/>
                <w:szCs w:val="20"/>
                <w:u w:val="single"/>
              </w:rPr>
            </w:pPr>
            <w:r w:rsidRPr="00A833D2">
              <w:rPr>
                <w:rFonts w:ascii="Times New Roman" w:eastAsia="Calibri" w:hAnsi="Times New Roman" w:cs="Times New Roman"/>
                <w:sz w:val="20"/>
                <w:szCs w:val="20"/>
              </w:rPr>
              <w:t xml:space="preserve">By:  </w:t>
            </w:r>
            <w:r w:rsidR="00D332FF">
              <w:rPr>
                <w:rFonts w:ascii="Times New Roman" w:eastAsia="Calibri" w:hAnsi="Times New Roman" w:cs="Times New Roman"/>
                <w:i/>
                <w:sz w:val="20"/>
                <w:szCs w:val="20"/>
                <w:u w:val="single"/>
              </w:rPr>
              <w:t>Laura J. Anderson</w:t>
            </w:r>
          </w:p>
          <w:p w14:paraId="5C600A20" w14:textId="5433F95F" w:rsidR="00545772" w:rsidRPr="00A833D2" w:rsidRDefault="006E12BD" w:rsidP="00C345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sidR="00545772" w:rsidRPr="00A833D2">
              <w:rPr>
                <w:rFonts w:ascii="Times New Roman" w:eastAsia="Calibri" w:hAnsi="Times New Roman" w:cs="Times New Roman"/>
                <w:sz w:val="20"/>
                <w:szCs w:val="20"/>
              </w:rPr>
              <w:t>Deputy</w:t>
            </w:r>
          </w:p>
          <w:p w14:paraId="6B7153C0" w14:textId="2AF0061D" w:rsidR="00545772" w:rsidRPr="00A833D2" w:rsidRDefault="00545772" w:rsidP="00D332FF">
            <w:pPr>
              <w:autoSpaceDE w:val="0"/>
              <w:autoSpaceDN w:val="0"/>
              <w:adjustRightInd w:val="0"/>
              <w:spacing w:after="0" w:line="240" w:lineRule="auto"/>
              <w:rPr>
                <w:rFonts w:ascii="Times New Roman" w:eastAsia="Calibri" w:hAnsi="Times New Roman" w:cs="Times New Roman"/>
                <w:sz w:val="20"/>
                <w:szCs w:val="20"/>
              </w:rPr>
            </w:pPr>
            <w:r w:rsidRPr="00A833D2">
              <w:rPr>
                <w:rFonts w:ascii="Times New Roman" w:eastAsia="Calibri" w:hAnsi="Times New Roman" w:cs="Times New Roman"/>
                <w:sz w:val="20"/>
                <w:szCs w:val="20"/>
              </w:rPr>
              <w:t xml:space="preserve">Date:  </w:t>
            </w:r>
            <w:r w:rsidR="00D332FF">
              <w:rPr>
                <w:rFonts w:ascii="Times New Roman" w:eastAsia="Calibri" w:hAnsi="Times New Roman" w:cs="Times New Roman"/>
                <w:sz w:val="20"/>
                <w:szCs w:val="20"/>
                <w:u w:val="single"/>
              </w:rPr>
              <w:t>December 14, 2016</w:t>
            </w:r>
          </w:p>
        </w:tc>
        <w:tc>
          <w:tcPr>
            <w:tcW w:w="1454" w:type="pct"/>
            <w:shd w:val="clear" w:color="auto" w:fill="auto"/>
          </w:tcPr>
          <w:p w14:paraId="75A6DCB1" w14:textId="77777777" w:rsidR="00545772" w:rsidRPr="00A833D2" w:rsidRDefault="00545772" w:rsidP="00085362">
            <w:pPr>
              <w:autoSpaceDE w:val="0"/>
              <w:autoSpaceDN w:val="0"/>
              <w:adjustRightInd w:val="0"/>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ATTEST: GLADYS I. COIL</w:t>
            </w:r>
          </w:p>
          <w:p w14:paraId="1D6D5A87" w14:textId="77777777" w:rsidR="00545772" w:rsidRPr="00A833D2" w:rsidRDefault="00545772" w:rsidP="00085362">
            <w:pPr>
              <w:autoSpaceDE w:val="0"/>
              <w:autoSpaceDN w:val="0"/>
              <w:adjustRightInd w:val="0"/>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Clerk of the Board of Supervisors</w:t>
            </w:r>
          </w:p>
          <w:p w14:paraId="0736BA00" w14:textId="77777777" w:rsidR="00545772" w:rsidRPr="00A833D2" w:rsidRDefault="00545772" w:rsidP="00C3455B">
            <w:pPr>
              <w:autoSpaceDE w:val="0"/>
              <w:autoSpaceDN w:val="0"/>
              <w:adjustRightInd w:val="0"/>
              <w:spacing w:after="0" w:line="240" w:lineRule="auto"/>
              <w:rPr>
                <w:rFonts w:ascii="Times New Roman" w:eastAsia="Calibri" w:hAnsi="Times New Roman" w:cs="Times New Roman"/>
                <w:sz w:val="20"/>
                <w:szCs w:val="20"/>
              </w:rPr>
            </w:pPr>
          </w:p>
          <w:p w14:paraId="598A3404" w14:textId="77777777" w:rsidR="00545772" w:rsidRPr="00A833D2" w:rsidRDefault="00545772" w:rsidP="00C3455B">
            <w:pPr>
              <w:autoSpaceDE w:val="0"/>
              <w:autoSpaceDN w:val="0"/>
              <w:adjustRightInd w:val="0"/>
              <w:spacing w:after="0" w:line="240" w:lineRule="auto"/>
              <w:rPr>
                <w:rFonts w:ascii="Times New Roman" w:eastAsia="Calibri" w:hAnsi="Times New Roman" w:cs="Times New Roman"/>
                <w:sz w:val="20"/>
                <w:szCs w:val="20"/>
              </w:rPr>
            </w:pPr>
          </w:p>
          <w:p w14:paraId="25FA6921" w14:textId="77777777" w:rsidR="00545772" w:rsidRPr="00A833D2" w:rsidRDefault="00545772" w:rsidP="00C3455B">
            <w:pPr>
              <w:autoSpaceDE w:val="0"/>
              <w:autoSpaceDN w:val="0"/>
              <w:adjustRightInd w:val="0"/>
              <w:spacing w:after="0" w:line="240" w:lineRule="auto"/>
              <w:rPr>
                <w:rFonts w:ascii="Times New Roman" w:eastAsia="Calibri" w:hAnsi="Times New Roman" w:cs="Times New Roman"/>
                <w:sz w:val="20"/>
                <w:szCs w:val="20"/>
              </w:rPr>
            </w:pPr>
            <w:r w:rsidRPr="00A833D2">
              <w:rPr>
                <w:rFonts w:ascii="Times New Roman" w:eastAsia="Calibri" w:hAnsi="Times New Roman" w:cs="Times New Roman"/>
                <w:sz w:val="20"/>
                <w:szCs w:val="20"/>
              </w:rPr>
              <w:t>By:  _____________________</w:t>
            </w:r>
          </w:p>
          <w:p w14:paraId="129FCB24" w14:textId="77777777" w:rsidR="00545772" w:rsidRPr="00A833D2" w:rsidRDefault="00545772" w:rsidP="00C3455B">
            <w:pPr>
              <w:autoSpaceDE w:val="0"/>
              <w:autoSpaceDN w:val="0"/>
              <w:adjustRightInd w:val="0"/>
              <w:spacing w:after="0" w:line="240" w:lineRule="auto"/>
              <w:rPr>
                <w:rFonts w:ascii="Times New Roman" w:eastAsia="Calibri" w:hAnsi="Times New Roman" w:cs="Times New Roman"/>
                <w:sz w:val="20"/>
                <w:szCs w:val="20"/>
              </w:rPr>
            </w:pPr>
          </w:p>
        </w:tc>
        <w:tc>
          <w:tcPr>
            <w:tcW w:w="1879" w:type="pct"/>
            <w:shd w:val="clear" w:color="auto" w:fill="auto"/>
          </w:tcPr>
          <w:p w14:paraId="1740E7BE" w14:textId="77777777" w:rsidR="00545772" w:rsidRPr="00A833D2" w:rsidRDefault="00545772" w:rsidP="00C3455B">
            <w:pPr>
              <w:suppressAutoHyphens/>
              <w:spacing w:after="0" w:line="240" w:lineRule="auto"/>
              <w:jc w:val="center"/>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APPROVED BY THE NAPA COUNTY</w:t>
            </w:r>
          </w:p>
          <w:p w14:paraId="30071853" w14:textId="77777777" w:rsidR="00545772" w:rsidRPr="00A833D2" w:rsidRDefault="00545772" w:rsidP="00C3455B">
            <w:pPr>
              <w:suppressAutoHyphens/>
              <w:spacing w:after="0" w:line="240" w:lineRule="auto"/>
              <w:jc w:val="center"/>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BOARD OF SUPERVISORS</w:t>
            </w:r>
          </w:p>
          <w:p w14:paraId="1B3CF9C0" w14:textId="77777777" w:rsidR="00545772" w:rsidRPr="00A833D2" w:rsidRDefault="00545772" w:rsidP="00C3455B">
            <w:pPr>
              <w:suppressAutoHyphens/>
              <w:spacing w:after="0" w:line="240" w:lineRule="auto"/>
              <w:outlineLvl w:val="0"/>
              <w:rPr>
                <w:rFonts w:ascii="Times New Roman" w:eastAsia="Calibri" w:hAnsi="Times New Roman" w:cs="Times New Roman"/>
                <w:spacing w:val="-3"/>
                <w:sz w:val="20"/>
                <w:szCs w:val="20"/>
              </w:rPr>
            </w:pPr>
          </w:p>
          <w:p w14:paraId="0D460D2D" w14:textId="77777777" w:rsidR="00545772" w:rsidRPr="00A833D2" w:rsidRDefault="00545772" w:rsidP="00C3455B">
            <w:pPr>
              <w:suppressAutoHyphens/>
              <w:spacing w:after="0" w:line="240" w:lineRule="auto"/>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Date:  ______________________________</w:t>
            </w:r>
          </w:p>
          <w:p w14:paraId="53742354" w14:textId="77777777" w:rsidR="00545772" w:rsidRPr="00A833D2" w:rsidRDefault="00545772" w:rsidP="00C3455B">
            <w:pPr>
              <w:suppressAutoHyphens/>
              <w:spacing w:after="0" w:line="240" w:lineRule="auto"/>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 xml:space="preserve">Processed By: </w:t>
            </w:r>
          </w:p>
          <w:p w14:paraId="297C3F42" w14:textId="77777777" w:rsidR="00545772" w:rsidRPr="00A833D2" w:rsidRDefault="00545772" w:rsidP="00C3455B">
            <w:pPr>
              <w:suppressAutoHyphens/>
              <w:spacing w:after="0" w:line="240" w:lineRule="auto"/>
              <w:outlineLvl w:val="0"/>
              <w:rPr>
                <w:rFonts w:ascii="Times New Roman" w:eastAsia="Calibri" w:hAnsi="Times New Roman" w:cs="Times New Roman"/>
                <w:spacing w:val="-3"/>
                <w:sz w:val="20"/>
                <w:szCs w:val="20"/>
              </w:rPr>
            </w:pPr>
          </w:p>
          <w:p w14:paraId="1E93967A" w14:textId="77777777" w:rsidR="00545772" w:rsidRPr="00A833D2" w:rsidRDefault="00545772" w:rsidP="00C3455B">
            <w:pPr>
              <w:suppressAutoHyphens/>
              <w:spacing w:after="0" w:line="240" w:lineRule="auto"/>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__________________________________</w:t>
            </w:r>
          </w:p>
          <w:p w14:paraId="1F009572" w14:textId="77777777" w:rsidR="00545772" w:rsidRPr="00A833D2" w:rsidRDefault="00545772" w:rsidP="00C3455B">
            <w:pPr>
              <w:autoSpaceDE w:val="0"/>
              <w:autoSpaceDN w:val="0"/>
              <w:adjustRightInd w:val="0"/>
              <w:spacing w:after="0" w:line="240" w:lineRule="auto"/>
              <w:rPr>
                <w:rFonts w:ascii="Times New Roman" w:eastAsia="Calibri" w:hAnsi="Times New Roman" w:cs="Times New Roman"/>
                <w:sz w:val="20"/>
                <w:szCs w:val="20"/>
              </w:rPr>
            </w:pPr>
            <w:r w:rsidRPr="00A833D2">
              <w:rPr>
                <w:rFonts w:ascii="Times New Roman" w:eastAsia="Calibri" w:hAnsi="Times New Roman" w:cs="Times New Roman"/>
                <w:spacing w:val="-3"/>
                <w:sz w:val="20"/>
                <w:szCs w:val="20"/>
              </w:rPr>
              <w:t>Deputy Clerk of the Board</w:t>
            </w:r>
          </w:p>
        </w:tc>
      </w:tr>
    </w:tbl>
    <w:p w14:paraId="68F28102" w14:textId="155653A1" w:rsidR="006E12BD" w:rsidRDefault="006E12BD" w:rsidP="00085362">
      <w:pPr>
        <w:suppressAutoHyphens/>
        <w:spacing w:before="120"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Attachments:</w:t>
      </w:r>
    </w:p>
    <w:p w14:paraId="4DA6D1C8" w14:textId="74D132D8" w:rsidR="006E12BD" w:rsidRDefault="006E12BD" w:rsidP="006E12BD">
      <w:pPr>
        <w:pStyle w:val="ListParagraph"/>
        <w:numPr>
          <w:ilvl w:val="0"/>
          <w:numId w:val="5"/>
        </w:numPr>
        <w:suppressAutoHyphen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Exhibit A- Updated MMRP</w:t>
      </w:r>
    </w:p>
    <w:p w14:paraId="2346F928" w14:textId="4E4BE1A2" w:rsidR="006E12BD" w:rsidRPr="006E12BD" w:rsidRDefault="006E12BD" w:rsidP="006E12BD">
      <w:pPr>
        <w:pStyle w:val="ListParagraph"/>
        <w:numPr>
          <w:ilvl w:val="0"/>
          <w:numId w:val="5"/>
        </w:numPr>
        <w:suppressAutoHyphen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Exhibit B – Revised COA</w:t>
      </w:r>
    </w:p>
    <w:sectPr w:rsidR="006E12BD" w:rsidRPr="006E12BD" w:rsidSect="00A833D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0A7A" w14:textId="77777777" w:rsidR="00387EBA" w:rsidRDefault="00387EBA">
      <w:pPr>
        <w:spacing w:after="0" w:line="240" w:lineRule="auto"/>
      </w:pPr>
      <w:r>
        <w:separator/>
      </w:r>
    </w:p>
  </w:endnote>
  <w:endnote w:type="continuationSeparator" w:id="0">
    <w:p w14:paraId="1BDF9C9A" w14:textId="77777777" w:rsidR="00387EBA" w:rsidRDefault="0038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59157525"/>
      <w:docPartObj>
        <w:docPartGallery w:val="Page Numbers (Bottom of Page)"/>
        <w:docPartUnique/>
      </w:docPartObj>
    </w:sdtPr>
    <w:sdtEndPr>
      <w:rPr>
        <w:noProof/>
        <w:sz w:val="24"/>
        <w:szCs w:val="24"/>
      </w:rPr>
    </w:sdtEndPr>
    <w:sdtContent>
      <w:p w14:paraId="786CED2D" w14:textId="5338935B" w:rsidR="00387EBA" w:rsidRPr="00545772" w:rsidRDefault="00387EBA" w:rsidP="00545772">
        <w:pPr>
          <w:pStyle w:val="Footer"/>
          <w:rPr>
            <w:rFonts w:ascii="Times New Roman" w:hAnsi="Times New Roman" w:cs="Times New Roman"/>
            <w:sz w:val="16"/>
            <w:szCs w:val="16"/>
          </w:rPr>
        </w:pPr>
        <w:r w:rsidRPr="00545772">
          <w:rPr>
            <w:rFonts w:ascii="Times New Roman" w:hAnsi="Times New Roman" w:cs="Times New Roman"/>
            <w:sz w:val="16"/>
            <w:szCs w:val="16"/>
          </w:rPr>
          <w:t xml:space="preserve">cc\d\bos\appeals-non pc\walt ranch\adopted resos\Circle Oaks FF </w:t>
        </w:r>
      </w:p>
      <w:p w14:paraId="2ED511F7" w14:textId="05D3C678" w:rsidR="00387EBA" w:rsidRPr="00545772" w:rsidRDefault="00387EBA">
        <w:pPr>
          <w:pStyle w:val="Footer"/>
          <w:jc w:val="center"/>
          <w:rPr>
            <w:rFonts w:ascii="Times New Roman" w:hAnsi="Times New Roman" w:cs="Times New Roman"/>
            <w:sz w:val="24"/>
            <w:szCs w:val="24"/>
          </w:rPr>
        </w:pPr>
        <w:r w:rsidRPr="00545772">
          <w:rPr>
            <w:rFonts w:ascii="Times New Roman" w:hAnsi="Times New Roman" w:cs="Times New Roman"/>
            <w:sz w:val="24"/>
            <w:szCs w:val="24"/>
          </w:rPr>
          <w:fldChar w:fldCharType="begin"/>
        </w:r>
        <w:r w:rsidRPr="00545772">
          <w:rPr>
            <w:rFonts w:ascii="Times New Roman" w:hAnsi="Times New Roman" w:cs="Times New Roman"/>
            <w:sz w:val="24"/>
            <w:szCs w:val="24"/>
          </w:rPr>
          <w:instrText xml:space="preserve"> PAGE   \* MERGEFORMAT </w:instrText>
        </w:r>
        <w:r w:rsidRPr="00545772">
          <w:rPr>
            <w:rFonts w:ascii="Times New Roman" w:hAnsi="Times New Roman" w:cs="Times New Roman"/>
            <w:sz w:val="24"/>
            <w:szCs w:val="24"/>
          </w:rPr>
          <w:fldChar w:fldCharType="separate"/>
        </w:r>
        <w:r w:rsidR="00D332FF">
          <w:rPr>
            <w:rFonts w:ascii="Times New Roman" w:hAnsi="Times New Roman" w:cs="Times New Roman"/>
            <w:noProof/>
            <w:sz w:val="24"/>
            <w:szCs w:val="24"/>
          </w:rPr>
          <w:t>1</w:t>
        </w:r>
        <w:r w:rsidRPr="0054577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4E0E" w14:textId="77777777" w:rsidR="00387EBA" w:rsidRDefault="00387EBA">
      <w:pPr>
        <w:spacing w:after="0" w:line="240" w:lineRule="auto"/>
      </w:pPr>
      <w:r>
        <w:separator/>
      </w:r>
    </w:p>
  </w:footnote>
  <w:footnote w:type="continuationSeparator" w:id="0">
    <w:p w14:paraId="5D43AA42" w14:textId="77777777" w:rsidR="00387EBA" w:rsidRDefault="0038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D3B"/>
    <w:multiLevelType w:val="hybridMultilevel"/>
    <w:tmpl w:val="CC2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B5C1C"/>
    <w:multiLevelType w:val="hybridMultilevel"/>
    <w:tmpl w:val="E22A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259F4"/>
    <w:multiLevelType w:val="hybridMultilevel"/>
    <w:tmpl w:val="5C9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54AE7"/>
    <w:multiLevelType w:val="hybridMultilevel"/>
    <w:tmpl w:val="B5CE1090"/>
    <w:lvl w:ilvl="0" w:tplc="0C78AF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CD56D9"/>
    <w:multiLevelType w:val="hybridMultilevel"/>
    <w:tmpl w:val="0B7CF6DA"/>
    <w:lvl w:ilvl="0" w:tplc="25FA2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A"/>
    <w:rsid w:val="00002EFA"/>
    <w:rsid w:val="00026C6B"/>
    <w:rsid w:val="00046935"/>
    <w:rsid w:val="00055127"/>
    <w:rsid w:val="00057F3A"/>
    <w:rsid w:val="00085362"/>
    <w:rsid w:val="000A3241"/>
    <w:rsid w:val="000C5C26"/>
    <w:rsid w:val="001257EF"/>
    <w:rsid w:val="001C3491"/>
    <w:rsid w:val="001C384D"/>
    <w:rsid w:val="001D04D5"/>
    <w:rsid w:val="001E6E7F"/>
    <w:rsid w:val="00243CD7"/>
    <w:rsid w:val="00251131"/>
    <w:rsid w:val="00266EFB"/>
    <w:rsid w:val="00270D4D"/>
    <w:rsid w:val="002F7A79"/>
    <w:rsid w:val="00304B87"/>
    <w:rsid w:val="00341491"/>
    <w:rsid w:val="00342B45"/>
    <w:rsid w:val="00367F3D"/>
    <w:rsid w:val="00375789"/>
    <w:rsid w:val="00387EBA"/>
    <w:rsid w:val="003920FA"/>
    <w:rsid w:val="003A46C9"/>
    <w:rsid w:val="003C24B7"/>
    <w:rsid w:val="003D7DE2"/>
    <w:rsid w:val="003E3FC5"/>
    <w:rsid w:val="004074F1"/>
    <w:rsid w:val="004158B2"/>
    <w:rsid w:val="00446411"/>
    <w:rsid w:val="0047086E"/>
    <w:rsid w:val="004B3F36"/>
    <w:rsid w:val="004E5CF7"/>
    <w:rsid w:val="004F2023"/>
    <w:rsid w:val="00545772"/>
    <w:rsid w:val="0056125F"/>
    <w:rsid w:val="00610039"/>
    <w:rsid w:val="00643568"/>
    <w:rsid w:val="006953F8"/>
    <w:rsid w:val="006A3332"/>
    <w:rsid w:val="006E12BD"/>
    <w:rsid w:val="00711EE4"/>
    <w:rsid w:val="007542CA"/>
    <w:rsid w:val="00776C78"/>
    <w:rsid w:val="007A3C4B"/>
    <w:rsid w:val="007B2A6C"/>
    <w:rsid w:val="007B7A0A"/>
    <w:rsid w:val="007C6087"/>
    <w:rsid w:val="007D5384"/>
    <w:rsid w:val="0081737E"/>
    <w:rsid w:val="008819F4"/>
    <w:rsid w:val="008E4480"/>
    <w:rsid w:val="009122C1"/>
    <w:rsid w:val="009250EB"/>
    <w:rsid w:val="00974D5A"/>
    <w:rsid w:val="0099492C"/>
    <w:rsid w:val="009A164F"/>
    <w:rsid w:val="009D3833"/>
    <w:rsid w:val="00A07A95"/>
    <w:rsid w:val="00A10A87"/>
    <w:rsid w:val="00A41753"/>
    <w:rsid w:val="00A60583"/>
    <w:rsid w:val="00A60BC5"/>
    <w:rsid w:val="00A73236"/>
    <w:rsid w:val="00A80340"/>
    <w:rsid w:val="00A833D2"/>
    <w:rsid w:val="00A83A35"/>
    <w:rsid w:val="00AB52C9"/>
    <w:rsid w:val="00AC2A97"/>
    <w:rsid w:val="00B26259"/>
    <w:rsid w:val="00B32966"/>
    <w:rsid w:val="00B62F7E"/>
    <w:rsid w:val="00B65E5B"/>
    <w:rsid w:val="00BA2A76"/>
    <w:rsid w:val="00BA3067"/>
    <w:rsid w:val="00BB3576"/>
    <w:rsid w:val="00BF5B59"/>
    <w:rsid w:val="00C3455B"/>
    <w:rsid w:val="00CE3585"/>
    <w:rsid w:val="00CE5259"/>
    <w:rsid w:val="00D17B04"/>
    <w:rsid w:val="00D332FF"/>
    <w:rsid w:val="00D54B00"/>
    <w:rsid w:val="00DB3519"/>
    <w:rsid w:val="00DB5FBC"/>
    <w:rsid w:val="00E20849"/>
    <w:rsid w:val="00EC60F5"/>
    <w:rsid w:val="00EF16F3"/>
    <w:rsid w:val="00F3612C"/>
    <w:rsid w:val="00F8217E"/>
    <w:rsid w:val="00FC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1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FA"/>
  </w:style>
  <w:style w:type="paragraph" w:styleId="Footer">
    <w:name w:val="footer"/>
    <w:basedOn w:val="Normal"/>
    <w:link w:val="FooterChar"/>
    <w:uiPriority w:val="99"/>
    <w:unhideWhenUsed/>
    <w:rsid w:val="0039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FA"/>
  </w:style>
  <w:style w:type="paragraph" w:styleId="ListParagraph">
    <w:name w:val="List Paragraph"/>
    <w:basedOn w:val="Normal"/>
    <w:uiPriority w:val="34"/>
    <w:qFormat/>
    <w:rsid w:val="003920FA"/>
    <w:pPr>
      <w:ind w:left="720"/>
      <w:contextualSpacing/>
    </w:pPr>
  </w:style>
  <w:style w:type="table" w:styleId="TableGrid">
    <w:name w:val="Table Grid"/>
    <w:basedOn w:val="TableNormal"/>
    <w:uiPriority w:val="39"/>
    <w:rsid w:val="0027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6E"/>
    <w:rPr>
      <w:color w:val="0563C1" w:themeColor="hyperlink"/>
      <w:u w:val="single"/>
    </w:rPr>
  </w:style>
  <w:style w:type="character" w:styleId="CommentReference">
    <w:name w:val="annotation reference"/>
    <w:basedOn w:val="DefaultParagraphFont"/>
    <w:uiPriority w:val="99"/>
    <w:semiHidden/>
    <w:unhideWhenUsed/>
    <w:rsid w:val="007B7A0A"/>
    <w:rPr>
      <w:sz w:val="16"/>
      <w:szCs w:val="16"/>
    </w:rPr>
  </w:style>
  <w:style w:type="paragraph" w:styleId="CommentText">
    <w:name w:val="annotation text"/>
    <w:basedOn w:val="Normal"/>
    <w:link w:val="CommentTextChar"/>
    <w:uiPriority w:val="99"/>
    <w:semiHidden/>
    <w:unhideWhenUsed/>
    <w:rsid w:val="007B7A0A"/>
    <w:pPr>
      <w:spacing w:line="240" w:lineRule="auto"/>
    </w:pPr>
    <w:rPr>
      <w:sz w:val="20"/>
      <w:szCs w:val="20"/>
    </w:rPr>
  </w:style>
  <w:style w:type="character" w:customStyle="1" w:styleId="CommentTextChar">
    <w:name w:val="Comment Text Char"/>
    <w:basedOn w:val="DefaultParagraphFont"/>
    <w:link w:val="CommentText"/>
    <w:uiPriority w:val="99"/>
    <w:semiHidden/>
    <w:rsid w:val="007B7A0A"/>
    <w:rPr>
      <w:sz w:val="20"/>
      <w:szCs w:val="20"/>
    </w:rPr>
  </w:style>
  <w:style w:type="paragraph" w:styleId="BalloonText">
    <w:name w:val="Balloon Text"/>
    <w:basedOn w:val="Normal"/>
    <w:link w:val="BalloonTextChar"/>
    <w:uiPriority w:val="99"/>
    <w:semiHidden/>
    <w:unhideWhenUsed/>
    <w:rsid w:val="007B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FA"/>
  </w:style>
  <w:style w:type="paragraph" w:styleId="Footer">
    <w:name w:val="footer"/>
    <w:basedOn w:val="Normal"/>
    <w:link w:val="FooterChar"/>
    <w:uiPriority w:val="99"/>
    <w:unhideWhenUsed/>
    <w:rsid w:val="0039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FA"/>
  </w:style>
  <w:style w:type="paragraph" w:styleId="ListParagraph">
    <w:name w:val="List Paragraph"/>
    <w:basedOn w:val="Normal"/>
    <w:uiPriority w:val="34"/>
    <w:qFormat/>
    <w:rsid w:val="003920FA"/>
    <w:pPr>
      <w:ind w:left="720"/>
      <w:contextualSpacing/>
    </w:pPr>
  </w:style>
  <w:style w:type="table" w:styleId="TableGrid">
    <w:name w:val="Table Grid"/>
    <w:basedOn w:val="TableNormal"/>
    <w:uiPriority w:val="39"/>
    <w:rsid w:val="0027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6E"/>
    <w:rPr>
      <w:color w:val="0563C1" w:themeColor="hyperlink"/>
      <w:u w:val="single"/>
    </w:rPr>
  </w:style>
  <w:style w:type="character" w:styleId="CommentReference">
    <w:name w:val="annotation reference"/>
    <w:basedOn w:val="DefaultParagraphFont"/>
    <w:uiPriority w:val="99"/>
    <w:semiHidden/>
    <w:unhideWhenUsed/>
    <w:rsid w:val="007B7A0A"/>
    <w:rPr>
      <w:sz w:val="16"/>
      <w:szCs w:val="16"/>
    </w:rPr>
  </w:style>
  <w:style w:type="paragraph" w:styleId="CommentText">
    <w:name w:val="annotation text"/>
    <w:basedOn w:val="Normal"/>
    <w:link w:val="CommentTextChar"/>
    <w:uiPriority w:val="99"/>
    <w:semiHidden/>
    <w:unhideWhenUsed/>
    <w:rsid w:val="007B7A0A"/>
    <w:pPr>
      <w:spacing w:line="240" w:lineRule="auto"/>
    </w:pPr>
    <w:rPr>
      <w:sz w:val="20"/>
      <w:szCs w:val="20"/>
    </w:rPr>
  </w:style>
  <w:style w:type="character" w:customStyle="1" w:styleId="CommentTextChar">
    <w:name w:val="Comment Text Char"/>
    <w:basedOn w:val="DefaultParagraphFont"/>
    <w:link w:val="CommentText"/>
    <w:uiPriority w:val="99"/>
    <w:semiHidden/>
    <w:rsid w:val="007B7A0A"/>
    <w:rPr>
      <w:sz w:val="20"/>
      <w:szCs w:val="20"/>
    </w:rPr>
  </w:style>
  <w:style w:type="paragraph" w:styleId="BalloonText">
    <w:name w:val="Balloon Text"/>
    <w:basedOn w:val="Normal"/>
    <w:link w:val="BalloonTextChar"/>
    <w:uiPriority w:val="99"/>
    <w:semiHidden/>
    <w:unhideWhenUsed/>
    <w:rsid w:val="007B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6A06-A5D1-4FC3-BAFD-4BDA1779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40</Pages>
  <Words>20001</Words>
  <Characters>114007</Characters>
  <Application>Microsoft Office Word</Application>
  <DocSecurity>0</DocSecurity>
  <PresentationFormat>15|.DOCX</PresentationFormat>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Pollock</dc:creator>
  <cp:lastModifiedBy>Ingalls, Sue</cp:lastModifiedBy>
  <cp:revision>15</cp:revision>
  <dcterms:created xsi:type="dcterms:W3CDTF">2016-12-12T20:51:00Z</dcterms:created>
  <dcterms:modified xsi:type="dcterms:W3CDTF">2016-12-14T23:04:00Z</dcterms:modified>
</cp:coreProperties>
</file>