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C" w:rsidRDefault="00CB3388" w:rsidP="00CB3388">
      <w:pPr>
        <w:jc w:val="center"/>
        <w:rPr>
          <w:rFonts w:ascii="Palatino Linotype" w:hAnsi="Palatino Linotype" w:cs="Arial"/>
          <w:b/>
          <w:sz w:val="22"/>
          <w:szCs w:val="22"/>
          <w:u w:val="single"/>
        </w:rPr>
      </w:pPr>
      <w:r>
        <w:rPr>
          <w:rFonts w:ascii="Palatino Linotype" w:hAnsi="Palatino Linotype" w:cs="Arial"/>
          <w:b/>
          <w:sz w:val="22"/>
          <w:szCs w:val="22"/>
          <w:u w:val="single"/>
        </w:rPr>
        <w:t xml:space="preserve">SUMMARY OF </w:t>
      </w:r>
      <w:r w:rsidR="009F7107">
        <w:rPr>
          <w:rFonts w:ascii="Palatino Linotype" w:hAnsi="Palatino Linotype" w:cs="Arial"/>
          <w:b/>
          <w:sz w:val="22"/>
          <w:szCs w:val="22"/>
          <w:u w:val="single"/>
        </w:rPr>
        <w:t xml:space="preserve">PRIOR BOARD OF SUPERVISOR ACTIONS </w:t>
      </w:r>
    </w:p>
    <w:p w:rsidR="00F911A3" w:rsidRPr="008429DD" w:rsidRDefault="009F7107" w:rsidP="00CB3388">
      <w:pPr>
        <w:jc w:val="center"/>
        <w:rPr>
          <w:rFonts w:ascii="Palatino Linotype" w:hAnsi="Palatino Linotype" w:cs="Arial"/>
          <w:b/>
          <w:sz w:val="22"/>
          <w:szCs w:val="22"/>
          <w:u w:val="single"/>
        </w:rPr>
      </w:pPr>
      <w:bookmarkStart w:id="0" w:name="_GoBack"/>
      <w:bookmarkEnd w:id="0"/>
      <w:r>
        <w:rPr>
          <w:rFonts w:ascii="Palatino Linotype" w:hAnsi="Palatino Linotype" w:cs="Arial"/>
          <w:b/>
          <w:sz w:val="22"/>
          <w:szCs w:val="22"/>
          <w:u w:val="single"/>
        </w:rPr>
        <w:t xml:space="preserve">REGARDING </w:t>
      </w:r>
      <w:r w:rsidR="00496FFC">
        <w:rPr>
          <w:rFonts w:ascii="Palatino Linotype" w:hAnsi="Palatino Linotype" w:cs="Arial"/>
          <w:b/>
          <w:sz w:val="22"/>
          <w:szCs w:val="22"/>
          <w:u w:val="single"/>
        </w:rPr>
        <w:t>AGRICULTURAL PROTECTION RECOMMENDATIONS</w:t>
      </w:r>
    </w:p>
    <w:p w:rsidR="00CB3388" w:rsidRPr="00CB3388" w:rsidRDefault="00CB3388" w:rsidP="00CB3388">
      <w:pPr>
        <w:tabs>
          <w:tab w:val="left" w:pos="540"/>
        </w:tabs>
        <w:rPr>
          <w:rFonts w:ascii="Palatino Linotype" w:hAnsi="Palatino Linotype" w:cs="Arial"/>
          <w:sz w:val="22"/>
          <w:szCs w:val="22"/>
        </w:rPr>
      </w:pPr>
    </w:p>
    <w:p w:rsidR="000925B7" w:rsidRPr="000925B7" w:rsidRDefault="000925B7" w:rsidP="000925B7">
      <w:pPr>
        <w:tabs>
          <w:tab w:val="left" w:pos="540"/>
        </w:tabs>
        <w:rPr>
          <w:rFonts w:ascii="Palatino Linotype" w:hAnsi="Palatino Linotype" w:cs="Arial"/>
          <w:sz w:val="22"/>
          <w:szCs w:val="22"/>
          <w:u w:val="single"/>
        </w:rPr>
      </w:pPr>
      <w:r w:rsidRPr="000925B7">
        <w:rPr>
          <w:rFonts w:ascii="Palatino Linotype" w:hAnsi="Palatino Linotype" w:cs="Arial"/>
          <w:sz w:val="22"/>
          <w:szCs w:val="22"/>
          <w:u w:val="single"/>
        </w:rPr>
        <w:t>APAC Recommendation No. 1:</w:t>
      </w:r>
    </w:p>
    <w:p w:rsidR="004323D9" w:rsidRPr="000925B7" w:rsidRDefault="00DA3F59" w:rsidP="000925B7">
      <w:pPr>
        <w:tabs>
          <w:tab w:val="left" w:pos="540"/>
        </w:tabs>
        <w:rPr>
          <w:rFonts w:ascii="Palatino Linotype" w:hAnsi="Palatino Linotype" w:cs="Arial"/>
          <w:sz w:val="22"/>
          <w:szCs w:val="22"/>
        </w:rPr>
      </w:pPr>
      <w:r w:rsidRPr="000925B7">
        <w:rPr>
          <w:rFonts w:ascii="Palatino Linotype" w:hAnsi="Palatino Linotype" w:cs="Arial"/>
          <w:sz w:val="22"/>
          <w:szCs w:val="22"/>
        </w:rPr>
        <w:t>Prepare guidelines for use by staff and decision</w:t>
      </w:r>
      <w:r w:rsidR="00A375C2">
        <w:rPr>
          <w:rFonts w:ascii="Palatino Linotype" w:hAnsi="Palatino Linotype" w:cs="Arial"/>
          <w:sz w:val="22"/>
          <w:szCs w:val="22"/>
        </w:rPr>
        <w:t>-</w:t>
      </w:r>
      <w:r w:rsidRPr="000925B7">
        <w:rPr>
          <w:rFonts w:ascii="Palatino Linotype" w:hAnsi="Palatino Linotype" w:cs="Arial"/>
          <w:sz w:val="22"/>
          <w:szCs w:val="22"/>
        </w:rPr>
        <w:t xml:space="preserve">makers regarding the </w:t>
      </w:r>
      <w:r w:rsidR="00646574" w:rsidRPr="000925B7">
        <w:rPr>
          <w:rFonts w:ascii="Palatino Linotype" w:hAnsi="Palatino Linotype" w:cs="Arial"/>
          <w:sz w:val="22"/>
          <w:szCs w:val="22"/>
        </w:rPr>
        <w:t xml:space="preserve">legal standards for the </w:t>
      </w:r>
      <w:r w:rsidRPr="000925B7">
        <w:rPr>
          <w:rFonts w:ascii="Palatino Linotype" w:hAnsi="Palatino Linotype" w:cs="Arial"/>
          <w:sz w:val="22"/>
          <w:szCs w:val="22"/>
        </w:rPr>
        <w:t xml:space="preserve">evaluation and consideration of variances, with an emphasis on avoiding </w:t>
      </w:r>
      <w:r w:rsidR="007D7BFA" w:rsidRPr="000925B7">
        <w:rPr>
          <w:rFonts w:ascii="Palatino Linotype" w:hAnsi="Palatino Linotype" w:cs="Arial"/>
          <w:sz w:val="22"/>
          <w:szCs w:val="22"/>
        </w:rPr>
        <w:t>the use of variances as a princip</w:t>
      </w:r>
      <w:r w:rsidR="00AF63FE">
        <w:rPr>
          <w:rFonts w:ascii="Palatino Linotype" w:hAnsi="Palatino Linotype" w:cs="Arial"/>
          <w:sz w:val="22"/>
          <w:szCs w:val="22"/>
        </w:rPr>
        <w:t>a</w:t>
      </w:r>
      <w:r w:rsidR="007D7BFA" w:rsidRPr="000925B7">
        <w:rPr>
          <w:rFonts w:ascii="Palatino Linotype" w:hAnsi="Palatino Linotype" w:cs="Arial"/>
          <w:sz w:val="22"/>
          <w:szCs w:val="22"/>
        </w:rPr>
        <w:t>l tool for achieving complianc</w:t>
      </w:r>
      <w:r w:rsidRPr="000925B7">
        <w:rPr>
          <w:rFonts w:ascii="Palatino Linotype" w:hAnsi="Palatino Linotype" w:cs="Arial"/>
          <w:sz w:val="22"/>
          <w:szCs w:val="22"/>
        </w:rPr>
        <w:t xml:space="preserve">e with land use regulations.  </w:t>
      </w:r>
    </w:p>
    <w:p w:rsidR="004323D9" w:rsidRPr="008429DD" w:rsidRDefault="004323D9" w:rsidP="00F50688">
      <w:pPr>
        <w:pStyle w:val="ListParagraph"/>
        <w:tabs>
          <w:tab w:val="left" w:pos="540"/>
        </w:tabs>
        <w:ind w:left="540" w:hanging="540"/>
        <w:rPr>
          <w:rFonts w:ascii="Palatino Linotype" w:hAnsi="Palatino Linotype" w:cs="Arial"/>
          <w:sz w:val="22"/>
          <w:szCs w:val="22"/>
        </w:rPr>
      </w:pPr>
    </w:p>
    <w:p w:rsidR="000925B7" w:rsidRPr="000B0758" w:rsidRDefault="000925B7" w:rsidP="000925B7">
      <w:pPr>
        <w:tabs>
          <w:tab w:val="left" w:pos="540"/>
        </w:tabs>
        <w:rPr>
          <w:rFonts w:ascii="Palatino Linotype" w:hAnsi="Palatino Linotype" w:cs="Arial"/>
          <w:sz w:val="22"/>
          <w:szCs w:val="22"/>
          <w:u w:val="single"/>
        </w:rPr>
      </w:pPr>
      <w:r w:rsidRPr="000B0758">
        <w:rPr>
          <w:rFonts w:ascii="Palatino Linotype" w:hAnsi="Palatino Linotype" w:cs="Arial"/>
          <w:sz w:val="22"/>
          <w:szCs w:val="22"/>
          <w:u w:val="single"/>
        </w:rPr>
        <w:t>APAC Recommendation No. 2:</w:t>
      </w:r>
    </w:p>
    <w:p w:rsidR="00533DDC" w:rsidRDefault="008A65D4" w:rsidP="000925B7">
      <w:pPr>
        <w:rPr>
          <w:rFonts w:ascii="Palatino Linotype" w:hAnsi="Palatino Linotype" w:cs="Arial"/>
          <w:sz w:val="22"/>
          <w:szCs w:val="22"/>
        </w:rPr>
      </w:pPr>
      <w:r w:rsidRPr="000B0758">
        <w:rPr>
          <w:rFonts w:ascii="Palatino Linotype" w:hAnsi="Palatino Linotype" w:cs="Arial"/>
          <w:sz w:val="22"/>
          <w:szCs w:val="22"/>
        </w:rPr>
        <w:t>Take no action with regards to Proposal X, as guidelines for infrastructure and site constraints are already addressed in the visitation comparison charts and locational criteria provided in Planning Commission Recommendation No. 13.</w:t>
      </w:r>
      <w:r>
        <w:rPr>
          <w:rFonts w:ascii="Palatino Linotype" w:hAnsi="Palatino Linotype" w:cs="Arial"/>
          <w:sz w:val="22"/>
          <w:szCs w:val="22"/>
        </w:rPr>
        <w:t xml:space="preserve"> </w:t>
      </w:r>
    </w:p>
    <w:p w:rsidR="008A65D4" w:rsidRDefault="008A65D4" w:rsidP="000925B7">
      <w:pPr>
        <w:rPr>
          <w:rFonts w:ascii="Palatino Linotype" w:hAnsi="Palatino Linotype" w:cs="Arial"/>
          <w:sz w:val="22"/>
          <w:szCs w:val="22"/>
        </w:rPr>
      </w:pPr>
    </w:p>
    <w:p w:rsidR="000925B7" w:rsidRPr="00AF63FE" w:rsidRDefault="000925B7" w:rsidP="000925B7">
      <w:pPr>
        <w:tabs>
          <w:tab w:val="left" w:pos="540"/>
        </w:tabs>
        <w:ind w:right="360"/>
        <w:rPr>
          <w:rFonts w:ascii="Palatino Linotype" w:hAnsi="Palatino Linotype" w:cs="Arial"/>
          <w:sz w:val="22"/>
          <w:szCs w:val="22"/>
          <w:u w:val="single"/>
        </w:rPr>
      </w:pPr>
      <w:r w:rsidRPr="000925B7">
        <w:rPr>
          <w:rFonts w:ascii="Palatino Linotype" w:hAnsi="Palatino Linotype" w:cs="Arial"/>
          <w:sz w:val="22"/>
          <w:szCs w:val="22"/>
          <w:u w:val="single"/>
        </w:rPr>
        <w:t xml:space="preserve">APAC </w:t>
      </w:r>
      <w:r w:rsidRPr="00AF63FE">
        <w:rPr>
          <w:rFonts w:ascii="Palatino Linotype" w:hAnsi="Palatino Linotype" w:cs="Arial"/>
          <w:sz w:val="22"/>
          <w:szCs w:val="22"/>
          <w:u w:val="single"/>
        </w:rPr>
        <w:t>Recommendation No. 3:</w:t>
      </w:r>
    </w:p>
    <w:p w:rsidR="000925B7" w:rsidRPr="00AF63FE" w:rsidRDefault="000925B7" w:rsidP="00AF63FE">
      <w:pPr>
        <w:autoSpaceDE w:val="0"/>
        <w:autoSpaceDN w:val="0"/>
        <w:adjustRightInd w:val="0"/>
        <w:rPr>
          <w:rFonts w:ascii="Palatino Linotype" w:hAnsi="Palatino Linotype" w:cs="Arial"/>
          <w:sz w:val="22"/>
          <w:szCs w:val="22"/>
        </w:rPr>
      </w:pPr>
      <w:r w:rsidRPr="00AF63FE">
        <w:rPr>
          <w:rFonts w:ascii="Palatino Linotype" w:hAnsi="Palatino Linotype" w:cs="Arial"/>
          <w:sz w:val="22"/>
          <w:szCs w:val="22"/>
        </w:rPr>
        <w:t xml:space="preserve">Take no action with regards to the definition of Agriculture, </w:t>
      </w:r>
      <w:r w:rsidR="00D850A8" w:rsidRPr="00AF63FE">
        <w:rPr>
          <w:rFonts w:ascii="Palatino Linotype" w:hAnsi="Palatino Linotype" w:cs="Arial"/>
          <w:sz w:val="22"/>
          <w:szCs w:val="22"/>
        </w:rPr>
        <w:t>re-</w:t>
      </w:r>
      <w:r w:rsidRPr="00AF63FE">
        <w:rPr>
          <w:rFonts w:ascii="Palatino Linotype" w:hAnsi="Palatino Linotype" w:cs="Arial"/>
          <w:sz w:val="22"/>
          <w:szCs w:val="22"/>
        </w:rPr>
        <w:t>con</w:t>
      </w:r>
      <w:r w:rsidR="00C12AAA" w:rsidRPr="00AF63FE">
        <w:rPr>
          <w:rFonts w:ascii="Palatino Linotype" w:hAnsi="Palatino Linotype" w:cs="Arial"/>
          <w:sz w:val="22"/>
          <w:szCs w:val="22"/>
        </w:rPr>
        <w:t>firming the</w:t>
      </w:r>
      <w:r w:rsidR="00AF63FE" w:rsidRPr="00AF63FE">
        <w:rPr>
          <w:rFonts w:ascii="Palatino Linotype" w:hAnsi="Palatino Linotype" w:cs="Arial"/>
          <w:sz w:val="22"/>
          <w:szCs w:val="22"/>
        </w:rPr>
        <w:t xml:space="preserve"> existing</w:t>
      </w:r>
      <w:r w:rsidR="00C12AAA" w:rsidRPr="00AF63FE">
        <w:rPr>
          <w:rFonts w:ascii="Palatino Linotype" w:hAnsi="Palatino Linotype" w:cs="Arial"/>
          <w:sz w:val="22"/>
          <w:szCs w:val="22"/>
        </w:rPr>
        <w:t xml:space="preserve"> definition as provided </w:t>
      </w:r>
      <w:r w:rsidRPr="00AF63FE">
        <w:rPr>
          <w:rFonts w:ascii="Palatino Linotype" w:hAnsi="Palatino Linotype" w:cs="Arial"/>
          <w:sz w:val="22"/>
          <w:szCs w:val="22"/>
        </w:rPr>
        <w:t>in Policy AG/LU-2 of the currently adopted General Plan.</w:t>
      </w:r>
      <w:r w:rsidR="00D850A8" w:rsidRPr="00AF63FE">
        <w:rPr>
          <w:rFonts w:ascii="Palatino Linotype" w:hAnsi="Palatino Linotype" w:cs="Arial"/>
          <w:sz w:val="22"/>
          <w:szCs w:val="22"/>
        </w:rPr>
        <w:t xml:space="preserve">  Complete General Plan Action Item</w:t>
      </w:r>
      <w:r w:rsidR="00AF63FE" w:rsidRPr="00AF63FE">
        <w:rPr>
          <w:rFonts w:ascii="Palatino Linotype" w:hAnsi="Palatino Linotype" w:cs="Arial"/>
          <w:sz w:val="22"/>
          <w:szCs w:val="22"/>
        </w:rPr>
        <w:t xml:space="preserve"> AG/LU-2.1  that would a</w:t>
      </w:r>
      <w:r w:rsidR="00AF63FE" w:rsidRPr="00AF63FE">
        <w:rPr>
          <w:rFonts w:ascii="Palatino Linotype" w:hAnsi="Palatino Linotype" w:cs="Garamond"/>
          <w:sz w:val="22"/>
          <w:szCs w:val="22"/>
        </w:rPr>
        <w:t>mend the County Code to make it consistent</w:t>
      </w:r>
      <w:r w:rsidR="00AF63FE">
        <w:rPr>
          <w:rFonts w:ascii="Palatino Linotype" w:hAnsi="Palatino Linotype" w:cs="Garamond"/>
          <w:sz w:val="22"/>
          <w:szCs w:val="22"/>
        </w:rPr>
        <w:t xml:space="preserve"> with Policy AG/LU-2, to: (1) </w:t>
      </w:r>
      <w:r w:rsidR="00AF63FE" w:rsidRPr="00AF63FE">
        <w:rPr>
          <w:rFonts w:ascii="Palatino Linotype" w:hAnsi="Palatino Linotype" w:cs="Garamond"/>
          <w:sz w:val="22"/>
          <w:szCs w:val="22"/>
        </w:rPr>
        <w:t>ensur</w:t>
      </w:r>
      <w:r w:rsidR="00AF63FE">
        <w:rPr>
          <w:rFonts w:ascii="Palatino Linotype" w:hAnsi="Palatino Linotype" w:cs="Garamond"/>
          <w:sz w:val="22"/>
          <w:szCs w:val="22"/>
        </w:rPr>
        <w:t xml:space="preserve">e </w:t>
      </w:r>
      <w:r w:rsidR="00AF63FE" w:rsidRPr="00AF63FE">
        <w:rPr>
          <w:rFonts w:ascii="Palatino Linotype" w:hAnsi="Palatino Linotype" w:cs="Garamond"/>
          <w:sz w:val="22"/>
          <w:szCs w:val="22"/>
        </w:rPr>
        <w:t>that wineries and other production facilities remain</w:t>
      </w:r>
      <w:r w:rsidR="00AF63FE">
        <w:rPr>
          <w:rFonts w:ascii="Palatino Linotype" w:hAnsi="Palatino Linotype" w:cs="Garamond"/>
          <w:sz w:val="22"/>
          <w:szCs w:val="22"/>
        </w:rPr>
        <w:t xml:space="preserve"> </w:t>
      </w:r>
      <w:r w:rsidR="00AF63FE" w:rsidRPr="00AF63FE">
        <w:rPr>
          <w:rFonts w:ascii="Palatino Linotype" w:hAnsi="Palatino Linotype" w:cs="Garamond"/>
          <w:sz w:val="22"/>
          <w:szCs w:val="22"/>
        </w:rPr>
        <w:t>as conditional uses except as provi</w:t>
      </w:r>
      <w:r w:rsidR="00AF63FE">
        <w:rPr>
          <w:rFonts w:ascii="Palatino Linotype" w:hAnsi="Palatino Linotype" w:cs="Garamond"/>
          <w:sz w:val="22"/>
          <w:szCs w:val="22"/>
        </w:rPr>
        <w:t xml:space="preserve">ded for in Policy AG/LU-16; and (2) </w:t>
      </w:r>
      <w:r w:rsidR="00AF63FE" w:rsidRPr="00AF63FE">
        <w:rPr>
          <w:rFonts w:ascii="Palatino Linotype" w:hAnsi="Palatino Linotype" w:cs="Garamond"/>
          <w:sz w:val="22"/>
          <w:szCs w:val="22"/>
        </w:rPr>
        <w:t>that marketing</w:t>
      </w:r>
      <w:r w:rsidR="00AF63FE">
        <w:rPr>
          <w:rFonts w:ascii="Palatino Linotype" w:hAnsi="Palatino Linotype" w:cs="Garamond"/>
          <w:sz w:val="22"/>
          <w:szCs w:val="22"/>
        </w:rPr>
        <w:t xml:space="preserve"> </w:t>
      </w:r>
      <w:r w:rsidR="00AF63FE" w:rsidRPr="00AF63FE">
        <w:rPr>
          <w:rFonts w:ascii="Palatino Linotype" w:hAnsi="Palatino Linotype" w:cs="Garamond"/>
          <w:sz w:val="22"/>
          <w:szCs w:val="22"/>
        </w:rPr>
        <w:t>activities and other accessory uses remain incidental and subordinate to the main use.</w:t>
      </w:r>
      <w:r w:rsidR="00D850A8" w:rsidRPr="00AF63FE">
        <w:rPr>
          <w:rFonts w:ascii="Palatino Linotype" w:hAnsi="Palatino Linotype" w:cs="Arial"/>
          <w:sz w:val="22"/>
          <w:szCs w:val="22"/>
          <w:highlight w:val="yellow"/>
        </w:rPr>
        <w:t xml:space="preserve"> </w:t>
      </w:r>
    </w:p>
    <w:p w:rsidR="000925B7" w:rsidRPr="000925B7" w:rsidRDefault="000925B7" w:rsidP="000925B7">
      <w:pPr>
        <w:rPr>
          <w:rFonts w:ascii="Palatino Linotype" w:hAnsi="Palatino Linotype" w:cs="Arial"/>
          <w:sz w:val="22"/>
          <w:szCs w:val="22"/>
        </w:rPr>
      </w:pPr>
    </w:p>
    <w:p w:rsidR="000925B7" w:rsidRDefault="000925B7" w:rsidP="000925B7">
      <w:pPr>
        <w:rPr>
          <w:rFonts w:ascii="Palatino Linotype" w:hAnsi="Palatino Linotype" w:cs="Arial"/>
          <w:sz w:val="22"/>
          <w:szCs w:val="22"/>
          <w:u w:val="single"/>
        </w:rPr>
      </w:pPr>
      <w:r w:rsidRPr="00F41F85">
        <w:rPr>
          <w:rFonts w:ascii="Palatino Linotype" w:hAnsi="Palatino Linotype" w:cs="Arial"/>
          <w:sz w:val="22"/>
          <w:szCs w:val="22"/>
          <w:u w:val="single"/>
        </w:rPr>
        <w:t>APAC Recommendation No. 4:</w:t>
      </w:r>
    </w:p>
    <w:p w:rsidR="000C245E" w:rsidRDefault="00C879D6" w:rsidP="00C879D6">
      <w:pPr>
        <w:rPr>
          <w:rFonts w:ascii="Palatino Linotype" w:hAnsi="Palatino Linotype" w:cs="Arial"/>
          <w:sz w:val="22"/>
          <w:szCs w:val="22"/>
        </w:rPr>
      </w:pPr>
      <w:r>
        <w:rPr>
          <w:rFonts w:ascii="Palatino Linotype" w:hAnsi="Palatino Linotype" w:cs="Arial"/>
          <w:sz w:val="22"/>
          <w:szCs w:val="22"/>
        </w:rPr>
        <w:t>This item is p</w:t>
      </w:r>
      <w:r w:rsidRPr="00C879D6">
        <w:rPr>
          <w:rFonts w:ascii="Palatino Linotype" w:hAnsi="Palatino Linotype" w:cs="Arial"/>
          <w:sz w:val="22"/>
          <w:szCs w:val="22"/>
        </w:rPr>
        <w:t>ending direction from the Board of Supervisors.</w:t>
      </w:r>
      <w:r w:rsidR="00CB3388">
        <w:rPr>
          <w:rFonts w:ascii="Palatino Linotype" w:hAnsi="Palatino Linotype" w:cs="Arial"/>
          <w:sz w:val="22"/>
          <w:szCs w:val="22"/>
        </w:rPr>
        <w:t xml:space="preserve"> </w:t>
      </w:r>
    </w:p>
    <w:p w:rsidR="00471B5E" w:rsidRDefault="00471B5E" w:rsidP="005B2C62">
      <w:pPr>
        <w:tabs>
          <w:tab w:val="center" w:pos="4815"/>
        </w:tabs>
        <w:rPr>
          <w:rFonts w:ascii="Palatino Linotype" w:hAnsi="Palatino Linotype" w:cs="Arial"/>
          <w:bCs/>
          <w:sz w:val="22"/>
          <w:szCs w:val="22"/>
          <w:u w:val="single"/>
        </w:rPr>
      </w:pPr>
    </w:p>
    <w:p w:rsidR="000925B7" w:rsidRPr="000925B7" w:rsidRDefault="000925B7" w:rsidP="005B2C62">
      <w:pPr>
        <w:tabs>
          <w:tab w:val="center" w:pos="4815"/>
        </w:tabs>
        <w:rPr>
          <w:rFonts w:ascii="Palatino Linotype" w:hAnsi="Palatino Linotype" w:cs="Arial"/>
          <w:bCs/>
          <w:sz w:val="22"/>
          <w:szCs w:val="22"/>
          <w:u w:val="single"/>
        </w:rPr>
      </w:pPr>
      <w:r w:rsidRPr="000925B7">
        <w:rPr>
          <w:rFonts w:ascii="Palatino Linotype" w:hAnsi="Palatino Linotype" w:cs="Arial"/>
          <w:bCs/>
          <w:sz w:val="22"/>
          <w:szCs w:val="22"/>
          <w:u w:val="single"/>
        </w:rPr>
        <w:t>APAC Recommendation No. 5:</w:t>
      </w:r>
    </w:p>
    <w:p w:rsidR="00C879D6" w:rsidRDefault="00C879D6" w:rsidP="000925B7">
      <w:pPr>
        <w:rPr>
          <w:rFonts w:ascii="Palatino Linotype" w:hAnsi="Palatino Linotype" w:cs="Arial"/>
          <w:sz w:val="22"/>
          <w:szCs w:val="22"/>
        </w:rPr>
      </w:pPr>
      <w:r>
        <w:rPr>
          <w:rFonts w:ascii="Palatino Linotype" w:hAnsi="Palatino Linotype" w:cs="Arial"/>
          <w:sz w:val="22"/>
          <w:szCs w:val="22"/>
        </w:rPr>
        <w:t>This item is p</w:t>
      </w:r>
      <w:r w:rsidRPr="00C879D6">
        <w:rPr>
          <w:rFonts w:ascii="Palatino Linotype" w:hAnsi="Palatino Linotype" w:cs="Arial"/>
          <w:sz w:val="22"/>
          <w:szCs w:val="22"/>
        </w:rPr>
        <w:t>ending direction from the Board of Supervisors.</w:t>
      </w:r>
    </w:p>
    <w:p w:rsidR="000925B7" w:rsidRDefault="00116F7A" w:rsidP="000925B7">
      <w:pPr>
        <w:rPr>
          <w:rFonts w:ascii="Palatino Linotype" w:hAnsi="Palatino Linotype" w:cs="Arial"/>
          <w:bCs/>
          <w:sz w:val="22"/>
          <w:szCs w:val="22"/>
        </w:rPr>
      </w:pPr>
      <w:r>
        <w:rPr>
          <w:rFonts w:ascii="Palatino Linotype" w:hAnsi="Palatino Linotype" w:cs="Arial"/>
          <w:bCs/>
          <w:sz w:val="22"/>
          <w:szCs w:val="22"/>
        </w:rPr>
        <w:t xml:space="preserve"> </w:t>
      </w:r>
    </w:p>
    <w:p w:rsidR="00D850A8" w:rsidRDefault="00D850A8" w:rsidP="000925B7">
      <w:pPr>
        <w:rPr>
          <w:rFonts w:ascii="Palatino Linotype" w:hAnsi="Palatino Linotype" w:cs="Arial"/>
          <w:bCs/>
          <w:sz w:val="22"/>
          <w:szCs w:val="22"/>
          <w:u w:val="single"/>
        </w:rPr>
      </w:pPr>
      <w:r w:rsidRPr="00D850A8">
        <w:rPr>
          <w:rFonts w:ascii="Palatino Linotype" w:hAnsi="Palatino Linotype" w:cs="Arial"/>
          <w:bCs/>
          <w:sz w:val="22"/>
          <w:szCs w:val="22"/>
          <w:u w:val="single"/>
        </w:rPr>
        <w:t>APAC Recommendation No. 6:</w:t>
      </w:r>
    </w:p>
    <w:p w:rsidR="00CB3388" w:rsidRDefault="00C879D6" w:rsidP="000925B7">
      <w:pPr>
        <w:rPr>
          <w:rFonts w:ascii="Palatino Linotype" w:hAnsi="Palatino Linotype" w:cs="Arial"/>
          <w:sz w:val="22"/>
          <w:szCs w:val="22"/>
        </w:rPr>
      </w:pPr>
      <w:r>
        <w:rPr>
          <w:rFonts w:ascii="Palatino Linotype" w:hAnsi="Palatino Linotype" w:cs="Arial"/>
          <w:sz w:val="22"/>
          <w:szCs w:val="22"/>
        </w:rPr>
        <w:t>This item is p</w:t>
      </w:r>
      <w:r w:rsidRPr="00C879D6">
        <w:rPr>
          <w:rFonts w:ascii="Palatino Linotype" w:hAnsi="Palatino Linotype" w:cs="Arial"/>
          <w:sz w:val="22"/>
          <w:szCs w:val="22"/>
        </w:rPr>
        <w:t>ending direction from the Board of Supervisors.</w:t>
      </w:r>
    </w:p>
    <w:p w:rsidR="00C879D6" w:rsidRPr="00D850A8" w:rsidRDefault="00C879D6" w:rsidP="000925B7">
      <w:pPr>
        <w:rPr>
          <w:rFonts w:ascii="Palatino Linotype" w:hAnsi="Palatino Linotype" w:cs="Arial"/>
          <w:bCs/>
          <w:sz w:val="22"/>
          <w:szCs w:val="22"/>
        </w:rPr>
      </w:pPr>
    </w:p>
    <w:p w:rsidR="000925B7" w:rsidRPr="000925B7" w:rsidRDefault="000925B7" w:rsidP="000925B7">
      <w:pPr>
        <w:rPr>
          <w:rFonts w:ascii="Palatino Linotype" w:hAnsi="Palatino Linotype" w:cs="Arial"/>
          <w:bCs/>
          <w:sz w:val="22"/>
          <w:szCs w:val="22"/>
          <w:u w:val="single"/>
        </w:rPr>
      </w:pPr>
      <w:r w:rsidRPr="000925B7">
        <w:rPr>
          <w:rFonts w:ascii="Palatino Linotype" w:hAnsi="Palatino Linotype" w:cs="Arial"/>
          <w:bCs/>
          <w:sz w:val="22"/>
          <w:szCs w:val="22"/>
          <w:u w:val="single"/>
        </w:rPr>
        <w:t>APAC Recommendation No. 7:</w:t>
      </w:r>
    </w:p>
    <w:p w:rsidR="007D7BFA" w:rsidRPr="000925B7" w:rsidRDefault="00AF63FE" w:rsidP="000925B7">
      <w:pPr>
        <w:tabs>
          <w:tab w:val="left" w:pos="540"/>
        </w:tabs>
        <w:rPr>
          <w:rFonts w:ascii="Palatino Linotype" w:hAnsi="Palatino Linotype" w:cs="Arial"/>
          <w:sz w:val="22"/>
          <w:szCs w:val="22"/>
          <w:highlight w:val="yellow"/>
        </w:rPr>
      </w:pPr>
      <w:r>
        <w:rPr>
          <w:rFonts w:ascii="Palatino Linotype" w:hAnsi="Palatino Linotype" w:cs="Arial"/>
          <w:sz w:val="22"/>
          <w:szCs w:val="22"/>
        </w:rPr>
        <w:t xml:space="preserve">Take no action at this time with regards to the use of hold and haul facilities.  Return to </w:t>
      </w:r>
      <w:r w:rsidRPr="00B356DD">
        <w:rPr>
          <w:rFonts w:ascii="Palatino Linotype" w:hAnsi="Palatino Linotype" w:cs="Arial"/>
          <w:sz w:val="22"/>
          <w:szCs w:val="22"/>
        </w:rPr>
        <w:t xml:space="preserve">the Board </w:t>
      </w:r>
      <w:r w:rsidR="00B356DD" w:rsidRPr="00B356DD">
        <w:rPr>
          <w:rFonts w:ascii="Palatino Linotype" w:hAnsi="Palatino Linotype" w:cs="Arial"/>
          <w:sz w:val="22"/>
          <w:szCs w:val="22"/>
        </w:rPr>
        <w:t xml:space="preserve">of Supervisors </w:t>
      </w:r>
      <w:r w:rsidRPr="00B356DD">
        <w:rPr>
          <w:rFonts w:ascii="Palatino Linotype" w:hAnsi="Palatino Linotype" w:cs="Arial"/>
          <w:sz w:val="22"/>
          <w:szCs w:val="22"/>
        </w:rPr>
        <w:t xml:space="preserve">in one year </w:t>
      </w:r>
      <w:r w:rsidR="00C12AAA" w:rsidRPr="00B356DD">
        <w:rPr>
          <w:rFonts w:ascii="Palatino Linotype" w:hAnsi="Palatino Linotype" w:cs="Arial"/>
          <w:sz w:val="22"/>
          <w:szCs w:val="22"/>
        </w:rPr>
        <w:t>to</w:t>
      </w:r>
      <w:r w:rsidR="00B356DD" w:rsidRPr="00B356DD">
        <w:rPr>
          <w:rFonts w:ascii="Palatino Linotype" w:hAnsi="Palatino Linotype" w:cs="Arial"/>
          <w:sz w:val="22"/>
          <w:szCs w:val="22"/>
        </w:rPr>
        <w:t xml:space="preserve">: (1) further </w:t>
      </w:r>
      <w:r w:rsidR="00C12AAA" w:rsidRPr="00B356DD">
        <w:rPr>
          <w:rFonts w:ascii="Palatino Linotype" w:hAnsi="Palatino Linotype" w:cs="Arial"/>
          <w:sz w:val="22"/>
          <w:szCs w:val="22"/>
        </w:rPr>
        <w:t xml:space="preserve">evaluate the feasibility of </w:t>
      </w:r>
      <w:r w:rsidR="005B2990">
        <w:rPr>
          <w:rFonts w:ascii="Palatino Linotype" w:hAnsi="Palatino Linotype" w:cs="Arial"/>
          <w:sz w:val="22"/>
          <w:szCs w:val="22"/>
        </w:rPr>
        <w:t xml:space="preserve">redirecting </w:t>
      </w:r>
      <w:r w:rsidR="007D7BFA" w:rsidRPr="00B356DD">
        <w:rPr>
          <w:rFonts w:ascii="Palatino Linotype" w:hAnsi="Palatino Linotype" w:cs="Arial"/>
          <w:sz w:val="22"/>
          <w:szCs w:val="22"/>
        </w:rPr>
        <w:t xml:space="preserve">hold and haul </w:t>
      </w:r>
      <w:r w:rsidR="005B2990">
        <w:rPr>
          <w:rFonts w:ascii="Palatino Linotype" w:hAnsi="Palatino Linotype" w:cs="Arial"/>
          <w:sz w:val="22"/>
          <w:szCs w:val="22"/>
        </w:rPr>
        <w:t xml:space="preserve">waste to proper disposal site(s) located </w:t>
      </w:r>
      <w:r w:rsidR="00B356DD" w:rsidRPr="00B356DD">
        <w:rPr>
          <w:rFonts w:ascii="Palatino Linotype" w:hAnsi="Palatino Linotype" w:cs="Arial"/>
          <w:sz w:val="22"/>
          <w:szCs w:val="22"/>
        </w:rPr>
        <w:t xml:space="preserve">within Napa County; and (2) determine the compatibility of </w:t>
      </w:r>
      <w:r w:rsidR="005B2990">
        <w:rPr>
          <w:rFonts w:ascii="Palatino Linotype" w:hAnsi="Palatino Linotype" w:cs="Arial"/>
          <w:sz w:val="22"/>
          <w:szCs w:val="22"/>
        </w:rPr>
        <w:t xml:space="preserve">future </w:t>
      </w:r>
      <w:r w:rsidR="00B356DD" w:rsidRPr="00B356DD">
        <w:rPr>
          <w:rFonts w:ascii="Palatino Linotype" w:hAnsi="Palatino Linotype" w:cs="Arial"/>
          <w:sz w:val="22"/>
          <w:szCs w:val="22"/>
        </w:rPr>
        <w:t xml:space="preserve">hold and haul </w:t>
      </w:r>
      <w:r w:rsidR="005B2990">
        <w:rPr>
          <w:rFonts w:ascii="Palatino Linotype" w:hAnsi="Palatino Linotype" w:cs="Arial"/>
          <w:sz w:val="22"/>
          <w:szCs w:val="22"/>
        </w:rPr>
        <w:t xml:space="preserve">uses </w:t>
      </w:r>
      <w:r w:rsidR="00B356DD" w:rsidRPr="00B356DD">
        <w:rPr>
          <w:rFonts w:ascii="Palatino Linotype" w:hAnsi="Palatino Linotype" w:cs="Arial"/>
          <w:sz w:val="22"/>
          <w:szCs w:val="22"/>
        </w:rPr>
        <w:t xml:space="preserve">with the new Winery Discharge Waiver and Local Agency Management Plan (LAMP) requirements. </w:t>
      </w:r>
      <w:r w:rsidR="00B356DD">
        <w:rPr>
          <w:rFonts w:ascii="Palatino Linotype" w:hAnsi="Palatino Linotype" w:cs="Arial"/>
          <w:sz w:val="22"/>
          <w:szCs w:val="22"/>
          <w:highlight w:val="yellow"/>
        </w:rPr>
        <w:t xml:space="preserve"> </w:t>
      </w:r>
    </w:p>
    <w:p w:rsidR="00F50688" w:rsidRPr="008429DD" w:rsidRDefault="00F50688" w:rsidP="00F50688">
      <w:pPr>
        <w:pStyle w:val="ListParagraph"/>
        <w:rPr>
          <w:rFonts w:ascii="Palatino Linotype" w:hAnsi="Palatino Linotype" w:cs="Arial"/>
          <w:sz w:val="22"/>
          <w:szCs w:val="22"/>
        </w:rPr>
      </w:pPr>
    </w:p>
    <w:p w:rsidR="005348F6" w:rsidRPr="000925B7" w:rsidRDefault="000925B7" w:rsidP="000925B7">
      <w:pPr>
        <w:rPr>
          <w:rFonts w:ascii="Palatino Linotype" w:hAnsi="Palatino Linotype" w:cs="Arial"/>
          <w:sz w:val="22"/>
          <w:szCs w:val="22"/>
          <w:u w:val="single"/>
        </w:rPr>
      </w:pPr>
      <w:r w:rsidRPr="000925B7">
        <w:rPr>
          <w:rFonts w:ascii="Palatino Linotype" w:hAnsi="Palatino Linotype" w:cs="Arial"/>
          <w:sz w:val="22"/>
          <w:szCs w:val="22"/>
          <w:u w:val="single"/>
        </w:rPr>
        <w:t>APAC Recommendation No. 8:</w:t>
      </w:r>
    </w:p>
    <w:p w:rsidR="005348F6" w:rsidRDefault="00DA3F59" w:rsidP="000925B7">
      <w:pPr>
        <w:tabs>
          <w:tab w:val="left" w:pos="540"/>
        </w:tabs>
        <w:rPr>
          <w:rFonts w:ascii="Palatino Linotype" w:hAnsi="Palatino Linotype" w:cs="Arial"/>
          <w:sz w:val="22"/>
          <w:szCs w:val="22"/>
        </w:rPr>
      </w:pPr>
      <w:r w:rsidRPr="000925B7">
        <w:rPr>
          <w:rFonts w:ascii="Palatino Linotype" w:hAnsi="Palatino Linotype" w:cs="Arial"/>
          <w:sz w:val="22"/>
          <w:szCs w:val="22"/>
        </w:rPr>
        <w:t>Prepare an ordinance to e</w:t>
      </w:r>
      <w:r w:rsidR="005348F6" w:rsidRPr="000925B7">
        <w:rPr>
          <w:rFonts w:ascii="Palatino Linotype" w:hAnsi="Palatino Linotype" w:cs="Arial"/>
          <w:sz w:val="22"/>
          <w:szCs w:val="22"/>
        </w:rPr>
        <w:t xml:space="preserve">stablish a process </w:t>
      </w:r>
      <w:r w:rsidRPr="000925B7">
        <w:rPr>
          <w:rFonts w:ascii="Palatino Linotype" w:hAnsi="Palatino Linotype" w:cs="Arial"/>
          <w:sz w:val="22"/>
          <w:szCs w:val="22"/>
        </w:rPr>
        <w:t xml:space="preserve">to streamline the consideration </w:t>
      </w:r>
      <w:r w:rsidR="005348F6" w:rsidRPr="000925B7">
        <w:rPr>
          <w:rFonts w:ascii="Palatino Linotype" w:hAnsi="Palatino Linotype" w:cs="Arial"/>
          <w:sz w:val="22"/>
          <w:szCs w:val="22"/>
        </w:rPr>
        <w:t xml:space="preserve">of use permits for </w:t>
      </w:r>
      <w:r w:rsidR="00AF63FE">
        <w:rPr>
          <w:rFonts w:ascii="Palatino Linotype" w:hAnsi="Palatino Linotype" w:cs="Arial"/>
          <w:sz w:val="22"/>
          <w:szCs w:val="22"/>
        </w:rPr>
        <w:t xml:space="preserve">those </w:t>
      </w:r>
      <w:r w:rsidR="005348F6" w:rsidRPr="000925B7">
        <w:rPr>
          <w:rFonts w:ascii="Palatino Linotype" w:hAnsi="Palatino Linotype" w:cs="Arial"/>
          <w:sz w:val="22"/>
          <w:szCs w:val="22"/>
        </w:rPr>
        <w:t>small wineries</w:t>
      </w:r>
      <w:r w:rsidR="00AF63FE">
        <w:rPr>
          <w:rFonts w:ascii="Palatino Linotype" w:hAnsi="Palatino Linotype" w:cs="Arial"/>
          <w:sz w:val="22"/>
          <w:szCs w:val="22"/>
        </w:rPr>
        <w:t xml:space="preserve"> that meet all of </w:t>
      </w:r>
      <w:r w:rsidR="00C12AAA">
        <w:rPr>
          <w:rFonts w:ascii="Palatino Linotype" w:hAnsi="Palatino Linotype" w:cs="Arial"/>
          <w:sz w:val="22"/>
          <w:szCs w:val="22"/>
        </w:rPr>
        <w:t>the</w:t>
      </w:r>
      <w:r w:rsidRPr="000925B7">
        <w:rPr>
          <w:rFonts w:ascii="Palatino Linotype" w:hAnsi="Palatino Linotype" w:cs="Arial"/>
          <w:sz w:val="22"/>
          <w:szCs w:val="22"/>
        </w:rPr>
        <w:t xml:space="preserve"> </w:t>
      </w:r>
      <w:r w:rsidR="00AF63FE">
        <w:rPr>
          <w:rFonts w:ascii="Palatino Linotype" w:hAnsi="Palatino Linotype" w:cs="Arial"/>
          <w:sz w:val="22"/>
          <w:szCs w:val="22"/>
        </w:rPr>
        <w:t xml:space="preserve">following </w:t>
      </w:r>
      <w:r w:rsidRPr="000925B7">
        <w:rPr>
          <w:rFonts w:ascii="Palatino Linotype" w:hAnsi="Palatino Linotype" w:cs="Arial"/>
          <w:sz w:val="22"/>
          <w:szCs w:val="22"/>
        </w:rPr>
        <w:t>criteria</w:t>
      </w:r>
      <w:r w:rsidR="00D850A8">
        <w:rPr>
          <w:rFonts w:ascii="Palatino Linotype" w:hAnsi="Palatino Linotype" w:cs="Arial"/>
          <w:sz w:val="22"/>
          <w:szCs w:val="22"/>
        </w:rPr>
        <w:t>:</w:t>
      </w:r>
      <w:r w:rsidR="007F1453">
        <w:rPr>
          <w:rFonts w:ascii="Palatino Linotype" w:hAnsi="Palatino Linotype" w:cs="Arial"/>
          <w:sz w:val="22"/>
          <w:szCs w:val="22"/>
        </w:rPr>
        <w:t xml:space="preserve">  </w:t>
      </w:r>
    </w:p>
    <w:p w:rsidR="00D850A8" w:rsidRPr="00AE35A9" w:rsidRDefault="00AF63FE" w:rsidP="00D850A8">
      <w:pPr>
        <w:pStyle w:val="ListParagraph"/>
        <w:numPr>
          <w:ilvl w:val="0"/>
          <w:numId w:val="9"/>
        </w:numPr>
        <w:autoSpaceDE w:val="0"/>
        <w:autoSpaceDN w:val="0"/>
        <w:adjustRightInd w:val="0"/>
        <w:rPr>
          <w:rFonts w:ascii="Palatino Linotype" w:hAnsi="Palatino Linotype" w:cs="ArialMT"/>
          <w:sz w:val="22"/>
          <w:szCs w:val="22"/>
        </w:rPr>
      </w:pPr>
      <w:r w:rsidRPr="00AE35A9">
        <w:rPr>
          <w:rFonts w:ascii="Palatino Linotype" w:hAnsi="Palatino Linotype" w:cs="ArialMT"/>
          <w:sz w:val="22"/>
          <w:szCs w:val="22"/>
        </w:rPr>
        <w:t xml:space="preserve">Have structures that total </w:t>
      </w:r>
      <w:r w:rsidR="00D850A8" w:rsidRPr="00AE35A9">
        <w:rPr>
          <w:rFonts w:ascii="Palatino Linotype" w:hAnsi="Palatino Linotype" w:cs="ArialMT"/>
          <w:sz w:val="22"/>
          <w:szCs w:val="22"/>
        </w:rPr>
        <w:t>less than 5,000 square feet in size</w:t>
      </w:r>
      <w:r w:rsidRPr="00AE35A9">
        <w:rPr>
          <w:rFonts w:ascii="Palatino Linotype" w:hAnsi="Palatino Linotype" w:cs="ArialMT"/>
          <w:sz w:val="22"/>
          <w:szCs w:val="22"/>
        </w:rPr>
        <w:t>,</w:t>
      </w:r>
      <w:r w:rsidR="00D850A8" w:rsidRPr="00AE35A9">
        <w:rPr>
          <w:rFonts w:ascii="Palatino Linotype" w:hAnsi="Palatino Linotype" w:cs="ArialMT"/>
          <w:sz w:val="22"/>
          <w:szCs w:val="22"/>
        </w:rPr>
        <w:t xml:space="preserve"> excluding caves</w:t>
      </w:r>
      <w:r w:rsidRPr="00AE35A9">
        <w:rPr>
          <w:rFonts w:ascii="Palatino Linotype" w:hAnsi="Palatino Linotype" w:cs="ArialMT"/>
          <w:sz w:val="22"/>
          <w:szCs w:val="22"/>
        </w:rPr>
        <w:t>;</w:t>
      </w:r>
    </w:p>
    <w:p w:rsidR="00D850A8" w:rsidRPr="00AE35A9" w:rsidRDefault="00D850A8" w:rsidP="00D850A8">
      <w:pPr>
        <w:pStyle w:val="ListParagraph"/>
        <w:numPr>
          <w:ilvl w:val="0"/>
          <w:numId w:val="9"/>
        </w:numPr>
        <w:autoSpaceDE w:val="0"/>
        <w:autoSpaceDN w:val="0"/>
        <w:adjustRightInd w:val="0"/>
        <w:rPr>
          <w:rFonts w:ascii="Palatino Linotype" w:hAnsi="Palatino Linotype" w:cs="ArialMT"/>
          <w:sz w:val="22"/>
          <w:szCs w:val="22"/>
        </w:rPr>
      </w:pPr>
      <w:r w:rsidRPr="00AE35A9">
        <w:rPr>
          <w:rFonts w:ascii="Palatino Linotype" w:hAnsi="Palatino Linotype" w:cs="ArialMT"/>
          <w:sz w:val="22"/>
          <w:szCs w:val="22"/>
        </w:rPr>
        <w:t>Involve either no cave excavation, or excavation sufficient to create no more than 5,000 additional square feet</w:t>
      </w:r>
      <w:r w:rsidR="00AF63FE" w:rsidRPr="00AE35A9">
        <w:rPr>
          <w:rFonts w:ascii="Palatino Linotype" w:hAnsi="Palatino Linotype" w:cs="ArialMT"/>
          <w:sz w:val="22"/>
          <w:szCs w:val="22"/>
        </w:rPr>
        <w:t>,</w:t>
      </w:r>
      <w:r w:rsidRPr="00AE35A9">
        <w:rPr>
          <w:rFonts w:ascii="Palatino Linotype" w:hAnsi="Palatino Linotype" w:cs="ArialMT"/>
          <w:sz w:val="22"/>
          <w:szCs w:val="22"/>
        </w:rPr>
        <w:t xml:space="preserve"> with all of the excavated cave spoils to be used on site</w:t>
      </w:r>
      <w:r w:rsidR="00AF63FE" w:rsidRPr="00AE35A9">
        <w:rPr>
          <w:rFonts w:ascii="Palatino Linotype" w:hAnsi="Palatino Linotype" w:cs="ArialMT"/>
          <w:sz w:val="22"/>
          <w:szCs w:val="22"/>
        </w:rPr>
        <w:t>;</w:t>
      </w:r>
    </w:p>
    <w:p w:rsidR="00D850A8" w:rsidRPr="00D850A8" w:rsidRDefault="00D850A8" w:rsidP="00D850A8">
      <w:pPr>
        <w:pStyle w:val="ListParagraph"/>
        <w:numPr>
          <w:ilvl w:val="0"/>
          <w:numId w:val="9"/>
        </w:numPr>
        <w:autoSpaceDE w:val="0"/>
        <w:autoSpaceDN w:val="0"/>
        <w:adjustRightInd w:val="0"/>
        <w:rPr>
          <w:rFonts w:ascii="Palatino Linotype" w:hAnsi="Palatino Linotype" w:cs="ArialMT"/>
          <w:sz w:val="22"/>
          <w:szCs w:val="22"/>
        </w:rPr>
      </w:pPr>
      <w:r w:rsidRPr="00AE35A9">
        <w:rPr>
          <w:rFonts w:ascii="Palatino Linotype" w:hAnsi="Palatino Linotype" w:cs="ArialMT"/>
          <w:sz w:val="22"/>
          <w:szCs w:val="22"/>
        </w:rPr>
        <w:t xml:space="preserve">Produce 30,000 gallons </w:t>
      </w:r>
      <w:r w:rsidR="00AF63FE" w:rsidRPr="00AE35A9">
        <w:rPr>
          <w:rFonts w:ascii="Palatino Linotype" w:hAnsi="Palatino Linotype" w:cs="ArialMT"/>
          <w:sz w:val="22"/>
          <w:szCs w:val="22"/>
        </w:rPr>
        <w:t xml:space="preserve">of wine </w:t>
      </w:r>
      <w:r w:rsidRPr="00AE35A9">
        <w:rPr>
          <w:rFonts w:ascii="Palatino Linotype" w:hAnsi="Palatino Linotype" w:cs="ArialMT"/>
          <w:sz w:val="22"/>
          <w:szCs w:val="22"/>
        </w:rPr>
        <w:t>or less per yea</w:t>
      </w:r>
      <w:r w:rsidRPr="00D850A8">
        <w:rPr>
          <w:rFonts w:ascii="Palatino Linotype" w:hAnsi="Palatino Linotype" w:cs="ArialMT"/>
          <w:sz w:val="22"/>
          <w:szCs w:val="22"/>
        </w:rPr>
        <w:t>r</w:t>
      </w:r>
      <w:r w:rsidR="00AF63FE">
        <w:rPr>
          <w:rFonts w:ascii="Palatino Linotype" w:hAnsi="Palatino Linotype" w:cs="ArialMT"/>
          <w:sz w:val="22"/>
          <w:szCs w:val="22"/>
        </w:rPr>
        <w:t>;</w:t>
      </w:r>
    </w:p>
    <w:p w:rsidR="00D850A8" w:rsidRPr="00D850A8" w:rsidRDefault="00D850A8" w:rsidP="00D850A8">
      <w:pPr>
        <w:pStyle w:val="ListParagraph"/>
        <w:numPr>
          <w:ilvl w:val="0"/>
          <w:numId w:val="9"/>
        </w:numPr>
        <w:autoSpaceDE w:val="0"/>
        <w:autoSpaceDN w:val="0"/>
        <w:adjustRightInd w:val="0"/>
        <w:rPr>
          <w:rFonts w:ascii="Palatino Linotype" w:hAnsi="Palatino Linotype" w:cs="ArialMT"/>
          <w:sz w:val="22"/>
          <w:szCs w:val="22"/>
        </w:rPr>
      </w:pPr>
      <w:r w:rsidRPr="00D850A8">
        <w:rPr>
          <w:rFonts w:ascii="Palatino Linotype" w:hAnsi="Palatino Linotype" w:cs="ArialMT"/>
          <w:sz w:val="22"/>
          <w:szCs w:val="22"/>
        </w:rPr>
        <w:t>Generate less than 40 vehicle trips per day and 5 peak hour trips</w:t>
      </w:r>
      <w:r w:rsidR="00AF63FE">
        <w:rPr>
          <w:rFonts w:ascii="Palatino Linotype" w:hAnsi="Palatino Linotype" w:cs="ArialMT"/>
          <w:sz w:val="22"/>
          <w:szCs w:val="22"/>
        </w:rPr>
        <w:t>,</w:t>
      </w:r>
      <w:r w:rsidRPr="00D850A8">
        <w:rPr>
          <w:rFonts w:ascii="Palatino Linotype" w:hAnsi="Palatino Linotype" w:cs="ArialMT"/>
          <w:sz w:val="22"/>
          <w:szCs w:val="22"/>
        </w:rPr>
        <w:t xml:space="preserve"> except on those days</w:t>
      </w:r>
      <w:r>
        <w:rPr>
          <w:rFonts w:ascii="Palatino Linotype" w:hAnsi="Palatino Linotype" w:cs="ArialMT"/>
          <w:sz w:val="22"/>
          <w:szCs w:val="22"/>
        </w:rPr>
        <w:t xml:space="preserve"> </w:t>
      </w:r>
      <w:r w:rsidRPr="00D850A8">
        <w:rPr>
          <w:rFonts w:ascii="Palatino Linotype" w:hAnsi="Palatino Linotype" w:cs="ArialMT"/>
          <w:sz w:val="22"/>
          <w:szCs w:val="22"/>
        </w:rPr>
        <w:t>when marketing events are taking place</w:t>
      </w:r>
      <w:r w:rsidR="00AF63FE">
        <w:rPr>
          <w:rFonts w:ascii="Palatino Linotype" w:hAnsi="Palatino Linotype" w:cs="ArialMT"/>
          <w:sz w:val="22"/>
          <w:szCs w:val="22"/>
        </w:rPr>
        <w:t>;</w:t>
      </w:r>
    </w:p>
    <w:p w:rsidR="00D850A8" w:rsidRPr="00D850A8" w:rsidRDefault="00D850A8" w:rsidP="00D850A8">
      <w:pPr>
        <w:pStyle w:val="ListParagraph"/>
        <w:numPr>
          <w:ilvl w:val="0"/>
          <w:numId w:val="9"/>
        </w:numPr>
        <w:autoSpaceDE w:val="0"/>
        <w:autoSpaceDN w:val="0"/>
        <w:adjustRightInd w:val="0"/>
        <w:rPr>
          <w:rFonts w:ascii="Palatino Linotype" w:hAnsi="Palatino Linotype" w:cs="ArialMT"/>
          <w:sz w:val="22"/>
          <w:szCs w:val="22"/>
        </w:rPr>
      </w:pPr>
      <w:r w:rsidRPr="00D850A8">
        <w:rPr>
          <w:rFonts w:ascii="Palatino Linotype" w:hAnsi="Palatino Linotype" w:cs="ArialMT"/>
          <w:sz w:val="22"/>
          <w:szCs w:val="22"/>
        </w:rPr>
        <w:lastRenderedPageBreak/>
        <w:t>Hold no more than 10 marketing events per year, each with no more than 30 attendees,</w:t>
      </w:r>
      <w:r>
        <w:rPr>
          <w:rFonts w:ascii="Palatino Linotype" w:hAnsi="Palatino Linotype" w:cs="ArialMT"/>
          <w:sz w:val="22"/>
          <w:szCs w:val="22"/>
        </w:rPr>
        <w:t xml:space="preserve"> </w:t>
      </w:r>
      <w:r w:rsidR="00AF63FE">
        <w:rPr>
          <w:rFonts w:ascii="Palatino Linotype" w:hAnsi="Palatino Linotype" w:cs="ArialMT"/>
          <w:sz w:val="22"/>
          <w:szCs w:val="22"/>
        </w:rPr>
        <w:t xml:space="preserve">with one additional </w:t>
      </w:r>
      <w:r w:rsidRPr="00D850A8">
        <w:rPr>
          <w:rFonts w:ascii="Palatino Linotype" w:hAnsi="Palatino Linotype" w:cs="ArialMT"/>
          <w:sz w:val="22"/>
          <w:szCs w:val="22"/>
        </w:rPr>
        <w:t xml:space="preserve">wine auction event </w:t>
      </w:r>
      <w:r w:rsidR="00AF63FE">
        <w:rPr>
          <w:rFonts w:ascii="Palatino Linotype" w:hAnsi="Palatino Linotype" w:cs="ArialMT"/>
          <w:sz w:val="22"/>
          <w:szCs w:val="22"/>
        </w:rPr>
        <w:t xml:space="preserve">of up to 100 attendees; and </w:t>
      </w:r>
    </w:p>
    <w:p w:rsidR="00D850A8" w:rsidRPr="00D850A8" w:rsidRDefault="00D850A8" w:rsidP="00D850A8">
      <w:pPr>
        <w:pStyle w:val="ListParagraph"/>
        <w:numPr>
          <w:ilvl w:val="0"/>
          <w:numId w:val="9"/>
        </w:numPr>
        <w:tabs>
          <w:tab w:val="left" w:pos="540"/>
        </w:tabs>
        <w:rPr>
          <w:rStyle w:val="Strong"/>
          <w:rFonts w:ascii="Palatino Linotype" w:hAnsi="Palatino Linotype" w:cs="Arial"/>
          <w:b w:val="0"/>
          <w:bCs w:val="0"/>
          <w:sz w:val="22"/>
          <w:szCs w:val="22"/>
        </w:rPr>
      </w:pPr>
      <w:r w:rsidRPr="00D850A8">
        <w:rPr>
          <w:rFonts w:ascii="Palatino Linotype" w:hAnsi="Palatino Linotype" w:cs="ArialMT"/>
          <w:sz w:val="22"/>
          <w:szCs w:val="22"/>
        </w:rPr>
        <w:t xml:space="preserve"> </w:t>
      </w:r>
      <w:r>
        <w:rPr>
          <w:rFonts w:ascii="Palatino Linotype" w:hAnsi="Palatino Linotype" w:cs="ArialMT"/>
          <w:sz w:val="22"/>
          <w:szCs w:val="22"/>
        </w:rPr>
        <w:tab/>
      </w:r>
      <w:r w:rsidRPr="00D850A8">
        <w:rPr>
          <w:rFonts w:ascii="Palatino Linotype" w:hAnsi="Palatino Linotype" w:cs="ArialMT"/>
          <w:sz w:val="22"/>
          <w:szCs w:val="22"/>
        </w:rPr>
        <w:t>Hold no temporary events.</w:t>
      </w:r>
      <w:r w:rsidR="001971DE">
        <w:rPr>
          <w:rFonts w:ascii="Palatino Linotype" w:hAnsi="Palatino Linotype" w:cs="ArialMT"/>
          <w:sz w:val="22"/>
          <w:szCs w:val="22"/>
        </w:rPr>
        <w:t xml:space="preserve"> </w:t>
      </w:r>
    </w:p>
    <w:p w:rsidR="00F54A24" w:rsidRDefault="00F54A24" w:rsidP="004323D9">
      <w:pPr>
        <w:pStyle w:val="ListParagraph"/>
        <w:tabs>
          <w:tab w:val="left" w:pos="720"/>
        </w:tabs>
        <w:ind w:hanging="720"/>
        <w:rPr>
          <w:rFonts w:ascii="Palatino Linotype" w:hAnsi="Palatino Linotype" w:cs="Arial"/>
          <w:sz w:val="22"/>
          <w:szCs w:val="22"/>
        </w:rPr>
      </w:pPr>
    </w:p>
    <w:p w:rsidR="000925B7" w:rsidRPr="006E528E" w:rsidRDefault="000925B7" w:rsidP="004323D9">
      <w:pPr>
        <w:pStyle w:val="ListParagraph"/>
        <w:tabs>
          <w:tab w:val="left" w:pos="720"/>
        </w:tabs>
        <w:ind w:hanging="720"/>
        <w:rPr>
          <w:rFonts w:ascii="Palatino Linotype" w:hAnsi="Palatino Linotype" w:cs="Arial"/>
          <w:sz w:val="22"/>
          <w:szCs w:val="22"/>
          <w:u w:val="single"/>
        </w:rPr>
      </w:pPr>
      <w:r w:rsidRPr="006E528E">
        <w:rPr>
          <w:rFonts w:ascii="Palatino Linotype" w:hAnsi="Palatino Linotype" w:cs="Arial"/>
          <w:sz w:val="22"/>
          <w:szCs w:val="22"/>
          <w:u w:val="single"/>
        </w:rPr>
        <w:t>APAC Recommendation No. 9:</w:t>
      </w:r>
    </w:p>
    <w:p w:rsidR="001736B5" w:rsidRDefault="00C879D6" w:rsidP="001736B5">
      <w:pPr>
        <w:rPr>
          <w:rFonts w:ascii="Palatino Linotype" w:hAnsi="Palatino Linotype" w:cs="Arial"/>
          <w:sz w:val="22"/>
          <w:szCs w:val="22"/>
        </w:rPr>
      </w:pPr>
      <w:r>
        <w:rPr>
          <w:rFonts w:ascii="Palatino Linotype" w:hAnsi="Palatino Linotype" w:cs="Arial"/>
          <w:sz w:val="22"/>
          <w:szCs w:val="22"/>
        </w:rPr>
        <w:t>This item is p</w:t>
      </w:r>
      <w:r w:rsidRPr="00C879D6">
        <w:rPr>
          <w:rFonts w:ascii="Palatino Linotype" w:hAnsi="Palatino Linotype" w:cs="Arial"/>
          <w:sz w:val="22"/>
          <w:szCs w:val="22"/>
        </w:rPr>
        <w:t>ending direction from the Board of Supervisors.</w:t>
      </w:r>
    </w:p>
    <w:p w:rsidR="00C879D6" w:rsidRPr="00E33A55" w:rsidRDefault="00C879D6" w:rsidP="001736B5">
      <w:pPr>
        <w:rPr>
          <w:rFonts w:ascii="Palatino Linotype" w:hAnsi="Palatino Linotype"/>
          <w:sz w:val="22"/>
          <w:szCs w:val="22"/>
        </w:rPr>
      </w:pPr>
    </w:p>
    <w:p w:rsidR="00D850A8" w:rsidRPr="00D850A8" w:rsidRDefault="00D850A8" w:rsidP="00A305A9">
      <w:pPr>
        <w:tabs>
          <w:tab w:val="left" w:pos="720"/>
        </w:tabs>
        <w:rPr>
          <w:rFonts w:ascii="Palatino Linotype" w:hAnsi="Palatino Linotype" w:cs="Arial"/>
          <w:sz w:val="22"/>
          <w:szCs w:val="22"/>
          <w:u w:val="single"/>
        </w:rPr>
      </w:pPr>
      <w:r w:rsidRPr="00D850A8">
        <w:rPr>
          <w:rFonts w:ascii="Palatino Linotype" w:hAnsi="Palatino Linotype" w:cs="Arial"/>
          <w:sz w:val="22"/>
          <w:szCs w:val="22"/>
          <w:u w:val="single"/>
        </w:rPr>
        <w:t>APAC Recommendation No. 10:</w:t>
      </w:r>
    </w:p>
    <w:p w:rsidR="00D850A8" w:rsidRPr="00116F7A" w:rsidRDefault="00CB3388" w:rsidP="00116F7A">
      <w:pPr>
        <w:autoSpaceDE w:val="0"/>
        <w:autoSpaceDN w:val="0"/>
        <w:adjustRightInd w:val="0"/>
        <w:rPr>
          <w:rFonts w:ascii="Palatino Linotype" w:hAnsi="Palatino Linotype" w:cs="ArialMT"/>
          <w:sz w:val="22"/>
          <w:szCs w:val="22"/>
        </w:rPr>
      </w:pPr>
      <w:r w:rsidRPr="00CB3388">
        <w:rPr>
          <w:rFonts w:ascii="Palatino Linotype" w:hAnsi="Palatino Linotype" w:cs="ArialMT"/>
          <w:sz w:val="22"/>
          <w:szCs w:val="22"/>
        </w:rPr>
        <w:t xml:space="preserve">Establish a </w:t>
      </w:r>
      <w:r w:rsidR="00D72B38">
        <w:rPr>
          <w:rFonts w:ascii="Palatino Linotype" w:hAnsi="Palatino Linotype" w:cs="ArialMT"/>
          <w:sz w:val="22"/>
          <w:szCs w:val="22"/>
        </w:rPr>
        <w:t>working</w:t>
      </w:r>
      <w:r w:rsidRPr="00CB3388">
        <w:rPr>
          <w:rFonts w:ascii="Palatino Linotype" w:hAnsi="Palatino Linotype" w:cs="ArialMT"/>
          <w:sz w:val="22"/>
          <w:szCs w:val="22"/>
        </w:rPr>
        <w:t xml:space="preserve"> schedule for implementation of actions </w:t>
      </w:r>
      <w:r w:rsidR="00D850A8" w:rsidRPr="00CB3388">
        <w:rPr>
          <w:rFonts w:ascii="Palatino Linotype" w:hAnsi="Palatino Linotype" w:cs="ArialMT"/>
          <w:sz w:val="22"/>
          <w:szCs w:val="22"/>
        </w:rPr>
        <w:t>identified in the Napa County General Plan.</w:t>
      </w:r>
      <w:r w:rsidRPr="00CB3388">
        <w:rPr>
          <w:rFonts w:ascii="Palatino Linotype" w:hAnsi="Palatino Linotype" w:cs="ArialMT"/>
          <w:sz w:val="22"/>
          <w:szCs w:val="22"/>
        </w:rPr>
        <w:t xml:space="preserve">  </w:t>
      </w:r>
      <w:r w:rsidR="00116F7A" w:rsidRPr="00CB3388">
        <w:rPr>
          <w:rFonts w:ascii="Palatino Linotype" w:hAnsi="Palatino Linotype" w:cs="ArialMT"/>
          <w:sz w:val="22"/>
          <w:szCs w:val="22"/>
        </w:rPr>
        <w:t>Develop</w:t>
      </w:r>
      <w:r w:rsidR="00116F7A" w:rsidRPr="00116F7A">
        <w:rPr>
          <w:rFonts w:ascii="Palatino Linotype" w:hAnsi="Palatino Linotype" w:cs="ArialMT"/>
          <w:sz w:val="22"/>
          <w:szCs w:val="22"/>
        </w:rPr>
        <w:t xml:space="preserve"> a Code Compliance Policies and Procedures Manual to ensure that </w:t>
      </w:r>
      <w:r w:rsidR="00D850A8" w:rsidRPr="00116F7A">
        <w:rPr>
          <w:rFonts w:ascii="Palatino Linotype" w:hAnsi="Palatino Linotype" w:cs="ArialMT"/>
          <w:sz w:val="22"/>
          <w:szCs w:val="22"/>
        </w:rPr>
        <w:t xml:space="preserve">all current regulations </w:t>
      </w:r>
      <w:r w:rsidR="00116F7A" w:rsidRPr="00116F7A">
        <w:rPr>
          <w:rFonts w:ascii="Palatino Linotype" w:hAnsi="Palatino Linotype" w:cs="ArialMT"/>
          <w:sz w:val="22"/>
          <w:szCs w:val="22"/>
        </w:rPr>
        <w:t xml:space="preserve">are enforced </w:t>
      </w:r>
      <w:r w:rsidR="00B356DD">
        <w:rPr>
          <w:rFonts w:ascii="Palatino Linotype" w:hAnsi="Palatino Linotype" w:cs="ArialMT"/>
          <w:sz w:val="22"/>
          <w:szCs w:val="22"/>
        </w:rPr>
        <w:t xml:space="preserve">fairly and consistently, for consideration by the Board of Supervisors. </w:t>
      </w:r>
      <w:r w:rsidR="00D72B38">
        <w:rPr>
          <w:rFonts w:ascii="Palatino Linotype" w:hAnsi="Palatino Linotype" w:cs="ArialMT"/>
          <w:sz w:val="22"/>
          <w:szCs w:val="22"/>
        </w:rPr>
        <w:t>Prepare an updated Checklist for Development Projects to ensure consistency in application material</w:t>
      </w:r>
      <w:r w:rsidR="000F6D51">
        <w:rPr>
          <w:rFonts w:ascii="Palatino Linotype" w:hAnsi="Palatino Linotype" w:cs="ArialMT"/>
          <w:sz w:val="22"/>
          <w:szCs w:val="22"/>
        </w:rPr>
        <w:t xml:space="preserve"> request</w:t>
      </w:r>
      <w:r w:rsidR="00D72B38">
        <w:rPr>
          <w:rFonts w:ascii="Palatino Linotype" w:hAnsi="Palatino Linotype" w:cs="ArialMT"/>
          <w:sz w:val="22"/>
          <w:szCs w:val="22"/>
        </w:rPr>
        <w:t xml:space="preserve">s.  </w:t>
      </w:r>
      <w:r w:rsidR="00D850A8" w:rsidRPr="00116F7A">
        <w:rPr>
          <w:rFonts w:ascii="Palatino Linotype" w:hAnsi="Palatino Linotype" w:cs="ArialMT"/>
          <w:sz w:val="22"/>
          <w:szCs w:val="22"/>
        </w:rPr>
        <w:t xml:space="preserve">Complete the </w:t>
      </w:r>
      <w:r w:rsidR="00116F7A" w:rsidRPr="00116F7A">
        <w:rPr>
          <w:rFonts w:ascii="Palatino Linotype" w:hAnsi="Palatino Linotype" w:cs="ArialMT"/>
          <w:sz w:val="22"/>
          <w:szCs w:val="22"/>
        </w:rPr>
        <w:t xml:space="preserve">direction provided by the </w:t>
      </w:r>
      <w:r w:rsidR="00D850A8" w:rsidRPr="00116F7A">
        <w:rPr>
          <w:rFonts w:ascii="Palatino Linotype" w:hAnsi="Palatino Linotype" w:cs="ArialMT"/>
          <w:sz w:val="22"/>
          <w:szCs w:val="22"/>
        </w:rPr>
        <w:t>Board of Supervisors at the joint special hearing on March 10, including:</w:t>
      </w:r>
      <w:r w:rsidR="00116F7A" w:rsidRPr="00116F7A">
        <w:rPr>
          <w:rFonts w:ascii="Palatino Linotype" w:hAnsi="Palatino Linotype" w:cs="ArialMT"/>
          <w:sz w:val="22"/>
          <w:szCs w:val="22"/>
        </w:rPr>
        <w:t xml:space="preserve"> adoption of the </w:t>
      </w:r>
      <w:r w:rsidR="00D850A8" w:rsidRPr="00116F7A">
        <w:rPr>
          <w:rFonts w:ascii="Palatino Linotype" w:hAnsi="Palatino Linotype" w:cs="ArialMT"/>
          <w:sz w:val="22"/>
          <w:szCs w:val="22"/>
        </w:rPr>
        <w:t>Climate Action Plan</w:t>
      </w:r>
      <w:r w:rsidR="00116F7A" w:rsidRPr="00116F7A">
        <w:rPr>
          <w:rFonts w:ascii="Palatino Linotype" w:hAnsi="Palatino Linotype" w:cs="ArialMT"/>
          <w:sz w:val="22"/>
          <w:szCs w:val="22"/>
        </w:rPr>
        <w:t>; adoption of the revised Ci</w:t>
      </w:r>
      <w:r w:rsidR="00D850A8" w:rsidRPr="00116F7A">
        <w:rPr>
          <w:rFonts w:ascii="Palatino Linotype" w:hAnsi="Palatino Linotype" w:cs="ArialMT"/>
          <w:sz w:val="22"/>
          <w:szCs w:val="22"/>
        </w:rPr>
        <w:t>rculation Element of the General Plan</w:t>
      </w:r>
      <w:r w:rsidR="00116F7A" w:rsidRPr="00116F7A">
        <w:rPr>
          <w:rFonts w:ascii="Palatino Linotype" w:hAnsi="Palatino Linotype" w:cs="ArialMT"/>
          <w:sz w:val="22"/>
          <w:szCs w:val="22"/>
        </w:rPr>
        <w:t xml:space="preserve">; and </w:t>
      </w:r>
      <w:r w:rsidR="002A596D">
        <w:rPr>
          <w:rFonts w:ascii="Palatino Linotype" w:hAnsi="Palatino Linotype" w:cs="ArialMT"/>
          <w:sz w:val="22"/>
          <w:szCs w:val="22"/>
        </w:rPr>
        <w:t xml:space="preserve">continuing discussions </w:t>
      </w:r>
      <w:r w:rsidR="002A596D" w:rsidRPr="002A596D">
        <w:rPr>
          <w:rFonts w:ascii="Palatino Linotype" w:hAnsi="Palatino Linotype" w:cs="ArialMT"/>
          <w:sz w:val="22"/>
          <w:szCs w:val="22"/>
        </w:rPr>
        <w:t xml:space="preserve">among </w:t>
      </w:r>
      <w:r w:rsidR="00D850A8" w:rsidRPr="002A596D">
        <w:rPr>
          <w:rFonts w:ascii="Palatino Linotype" w:hAnsi="Palatino Linotype" w:cs="ArialMT"/>
          <w:sz w:val="22"/>
          <w:szCs w:val="22"/>
        </w:rPr>
        <w:t xml:space="preserve">County, City, and Town </w:t>
      </w:r>
      <w:r w:rsidR="000F6D51">
        <w:rPr>
          <w:rFonts w:ascii="Palatino Linotype" w:hAnsi="Palatino Linotype" w:cs="ArialMT"/>
          <w:sz w:val="22"/>
          <w:szCs w:val="22"/>
        </w:rPr>
        <w:t>staff</w:t>
      </w:r>
      <w:r w:rsidR="002A596D">
        <w:rPr>
          <w:rFonts w:ascii="Palatino Linotype" w:hAnsi="Palatino Linotype" w:cs="ArialMT"/>
          <w:sz w:val="22"/>
          <w:szCs w:val="22"/>
        </w:rPr>
        <w:t xml:space="preserve"> </w:t>
      </w:r>
      <w:r w:rsidR="002A596D" w:rsidRPr="002A596D">
        <w:rPr>
          <w:rFonts w:ascii="Palatino Linotype" w:hAnsi="Palatino Linotype" w:cs="ArialMT"/>
          <w:sz w:val="22"/>
          <w:szCs w:val="22"/>
        </w:rPr>
        <w:t>to coordinate on regi</w:t>
      </w:r>
      <w:r w:rsidR="00D850A8" w:rsidRPr="002A596D">
        <w:rPr>
          <w:rFonts w:ascii="Palatino Linotype" w:hAnsi="Palatino Linotype" w:cs="ArialMT"/>
          <w:sz w:val="22"/>
          <w:szCs w:val="22"/>
        </w:rPr>
        <w:t>onal land use</w:t>
      </w:r>
      <w:r w:rsidR="002A596D" w:rsidRPr="002A596D">
        <w:rPr>
          <w:rFonts w:ascii="Palatino Linotype" w:hAnsi="Palatino Linotype" w:cs="ArialMT"/>
          <w:sz w:val="22"/>
          <w:szCs w:val="22"/>
        </w:rPr>
        <w:t>, water,</w:t>
      </w:r>
      <w:r w:rsidR="00D850A8" w:rsidRPr="002A596D">
        <w:rPr>
          <w:rFonts w:ascii="Palatino Linotype" w:hAnsi="Palatino Linotype" w:cs="ArialMT"/>
          <w:sz w:val="22"/>
          <w:szCs w:val="22"/>
        </w:rPr>
        <w:t xml:space="preserve"> and transportation issues.</w:t>
      </w:r>
    </w:p>
    <w:p w:rsidR="00D850A8" w:rsidRDefault="00D850A8" w:rsidP="00A305A9">
      <w:pPr>
        <w:tabs>
          <w:tab w:val="left" w:pos="720"/>
        </w:tabs>
        <w:rPr>
          <w:rFonts w:ascii="Palatino Linotype" w:hAnsi="Palatino Linotype" w:cs="Arial"/>
          <w:sz w:val="22"/>
          <w:szCs w:val="22"/>
        </w:rPr>
      </w:pPr>
    </w:p>
    <w:p w:rsidR="00D850A8" w:rsidRPr="00D850A8" w:rsidRDefault="00D850A8" w:rsidP="00A305A9">
      <w:pPr>
        <w:tabs>
          <w:tab w:val="left" w:pos="720"/>
        </w:tabs>
        <w:rPr>
          <w:rFonts w:ascii="Palatino Linotype" w:hAnsi="Palatino Linotype" w:cs="Arial"/>
          <w:sz w:val="22"/>
          <w:szCs w:val="22"/>
          <w:u w:val="single"/>
        </w:rPr>
      </w:pPr>
      <w:r w:rsidRPr="00D850A8">
        <w:rPr>
          <w:rFonts w:ascii="Palatino Linotype" w:hAnsi="Palatino Linotype" w:cs="Arial"/>
          <w:sz w:val="22"/>
          <w:szCs w:val="22"/>
          <w:u w:val="single"/>
        </w:rPr>
        <w:t>APAC Recommendation No. 11:</w:t>
      </w:r>
    </w:p>
    <w:p w:rsidR="00D850A8" w:rsidRDefault="00D850A8" w:rsidP="00D850A8">
      <w:pPr>
        <w:autoSpaceDE w:val="0"/>
        <w:autoSpaceDN w:val="0"/>
        <w:adjustRightInd w:val="0"/>
        <w:rPr>
          <w:rFonts w:ascii="Palatino Linotype" w:hAnsi="Palatino Linotype" w:cs="ArialMT"/>
          <w:sz w:val="22"/>
          <w:szCs w:val="22"/>
        </w:rPr>
      </w:pPr>
      <w:r w:rsidRPr="00D850A8">
        <w:rPr>
          <w:rFonts w:ascii="Palatino Linotype" w:hAnsi="Palatino Linotype" w:cs="ArialMT"/>
          <w:sz w:val="22"/>
          <w:szCs w:val="22"/>
        </w:rPr>
        <w:t>Share the County’s production reporting methodology with the five other</w:t>
      </w:r>
      <w:r>
        <w:rPr>
          <w:rFonts w:ascii="Palatino Linotype" w:hAnsi="Palatino Linotype" w:cs="ArialMT"/>
          <w:sz w:val="22"/>
          <w:szCs w:val="22"/>
        </w:rPr>
        <w:t xml:space="preserve"> </w:t>
      </w:r>
      <w:r w:rsidRPr="00D850A8">
        <w:rPr>
          <w:rFonts w:ascii="Palatino Linotype" w:hAnsi="Palatino Linotype" w:cs="ArialMT"/>
          <w:sz w:val="22"/>
          <w:szCs w:val="22"/>
        </w:rPr>
        <w:t>Napa County jurisdictions and encourage annual winery data collection from wineries located in</w:t>
      </w:r>
      <w:r>
        <w:rPr>
          <w:rFonts w:ascii="Palatino Linotype" w:hAnsi="Palatino Linotype" w:cs="ArialMT"/>
          <w:sz w:val="22"/>
          <w:szCs w:val="22"/>
        </w:rPr>
        <w:t xml:space="preserve"> </w:t>
      </w:r>
      <w:r w:rsidRPr="00D850A8">
        <w:rPr>
          <w:rFonts w:ascii="Palatino Linotype" w:hAnsi="Palatino Linotype" w:cs="ArialMT"/>
          <w:sz w:val="22"/>
          <w:szCs w:val="22"/>
        </w:rPr>
        <w:t xml:space="preserve">the incorporated areas for the purposes of capturing more complete </w:t>
      </w:r>
      <w:r w:rsidR="00B356DD">
        <w:rPr>
          <w:rFonts w:ascii="Palatino Linotype" w:hAnsi="Palatino Linotype" w:cs="ArialMT"/>
          <w:sz w:val="22"/>
          <w:szCs w:val="22"/>
        </w:rPr>
        <w:t>and comprehensive data regarding industry-wide issues.</w:t>
      </w:r>
    </w:p>
    <w:p w:rsidR="002F24EB" w:rsidRPr="00D850A8" w:rsidRDefault="002F24EB" w:rsidP="00D850A8">
      <w:pPr>
        <w:autoSpaceDE w:val="0"/>
        <w:autoSpaceDN w:val="0"/>
        <w:adjustRightInd w:val="0"/>
        <w:rPr>
          <w:rFonts w:ascii="Palatino Linotype" w:hAnsi="Palatino Linotype" w:cs="ArialMT"/>
          <w:sz w:val="22"/>
          <w:szCs w:val="22"/>
        </w:rPr>
      </w:pPr>
    </w:p>
    <w:p w:rsidR="000925B7" w:rsidRPr="006E528E" w:rsidRDefault="006E528E" w:rsidP="004323D9">
      <w:pPr>
        <w:pStyle w:val="ListParagraph"/>
        <w:tabs>
          <w:tab w:val="left" w:pos="720"/>
        </w:tabs>
        <w:ind w:hanging="720"/>
        <w:rPr>
          <w:rFonts w:ascii="Palatino Linotype" w:hAnsi="Palatino Linotype" w:cs="Arial"/>
          <w:sz w:val="22"/>
          <w:szCs w:val="22"/>
          <w:u w:val="single"/>
        </w:rPr>
      </w:pPr>
      <w:r w:rsidRPr="00D850A8">
        <w:rPr>
          <w:rFonts w:ascii="Palatino Linotype" w:hAnsi="Palatino Linotype" w:cs="Arial"/>
          <w:sz w:val="22"/>
          <w:szCs w:val="22"/>
          <w:u w:val="single"/>
        </w:rPr>
        <w:t>APAC Recommendation</w:t>
      </w:r>
      <w:r w:rsidRPr="006E528E">
        <w:rPr>
          <w:rFonts w:ascii="Palatino Linotype" w:hAnsi="Palatino Linotype" w:cs="Arial"/>
          <w:sz w:val="22"/>
          <w:szCs w:val="22"/>
          <w:u w:val="single"/>
        </w:rPr>
        <w:t xml:space="preserve"> No. 12:</w:t>
      </w:r>
    </w:p>
    <w:p w:rsidR="00E94A28" w:rsidRPr="006E528E" w:rsidRDefault="00646574" w:rsidP="006E528E">
      <w:pPr>
        <w:tabs>
          <w:tab w:val="left" w:pos="540"/>
        </w:tabs>
        <w:rPr>
          <w:rFonts w:ascii="Palatino Linotype" w:hAnsi="Palatino Linotype" w:cs="Arial"/>
          <w:sz w:val="22"/>
          <w:szCs w:val="22"/>
        </w:rPr>
      </w:pPr>
      <w:r w:rsidRPr="006E528E">
        <w:rPr>
          <w:rFonts w:ascii="Palatino Linotype" w:hAnsi="Palatino Linotype" w:cs="Arial"/>
          <w:sz w:val="22"/>
          <w:szCs w:val="22"/>
        </w:rPr>
        <w:t>Take no action regarding th</w:t>
      </w:r>
      <w:r w:rsidR="007D7BFA" w:rsidRPr="006E528E">
        <w:rPr>
          <w:rFonts w:ascii="Palatino Linotype" w:hAnsi="Palatino Linotype" w:cs="Arial"/>
          <w:sz w:val="22"/>
          <w:szCs w:val="22"/>
        </w:rPr>
        <w:t>e net loss of vineyards</w:t>
      </w:r>
      <w:r w:rsidRPr="006E528E">
        <w:rPr>
          <w:rFonts w:ascii="Palatino Linotype" w:hAnsi="Palatino Linotype" w:cs="Arial"/>
          <w:sz w:val="22"/>
          <w:szCs w:val="22"/>
        </w:rPr>
        <w:t xml:space="preserve">, confirming the County’s historic and continuing practice of allowing the incidental removal and replacement of vineyards </w:t>
      </w:r>
      <w:r w:rsidR="007D7BFA" w:rsidRPr="006E528E">
        <w:rPr>
          <w:rFonts w:ascii="Palatino Linotype" w:hAnsi="Palatino Linotype" w:cs="Arial"/>
          <w:sz w:val="22"/>
          <w:szCs w:val="22"/>
        </w:rPr>
        <w:t xml:space="preserve">as a part of </w:t>
      </w:r>
      <w:r w:rsidRPr="006E528E">
        <w:rPr>
          <w:rFonts w:ascii="Palatino Linotype" w:hAnsi="Palatino Linotype" w:cs="Arial"/>
          <w:sz w:val="22"/>
          <w:szCs w:val="22"/>
        </w:rPr>
        <w:t>winery operations.</w:t>
      </w:r>
    </w:p>
    <w:p w:rsidR="00F911A3" w:rsidRPr="00C12AAA" w:rsidRDefault="00F911A3" w:rsidP="00C12AAA">
      <w:pPr>
        <w:rPr>
          <w:rFonts w:ascii="Palatino Linotype" w:hAnsi="Palatino Linotype" w:cs="Arial"/>
          <w:sz w:val="22"/>
          <w:szCs w:val="22"/>
        </w:rPr>
      </w:pPr>
    </w:p>
    <w:p w:rsidR="00DA3F59" w:rsidRPr="006E528E" w:rsidRDefault="006E528E" w:rsidP="006E528E">
      <w:pPr>
        <w:rPr>
          <w:rFonts w:ascii="Palatino Linotype" w:hAnsi="Palatino Linotype" w:cs="Arial"/>
          <w:sz w:val="22"/>
          <w:szCs w:val="22"/>
          <w:u w:val="single"/>
        </w:rPr>
      </w:pPr>
      <w:r w:rsidRPr="006E528E">
        <w:rPr>
          <w:rFonts w:ascii="Palatino Linotype" w:hAnsi="Palatino Linotype" w:cs="Arial"/>
          <w:sz w:val="22"/>
          <w:szCs w:val="22"/>
          <w:u w:val="single"/>
        </w:rPr>
        <w:t>Planning Commission Recommendation No. 13:</w:t>
      </w:r>
    </w:p>
    <w:p w:rsidR="009F21D8" w:rsidRPr="00876A8B" w:rsidRDefault="00C12AAA" w:rsidP="006E528E">
      <w:pPr>
        <w:tabs>
          <w:tab w:val="left" w:pos="540"/>
        </w:tabs>
        <w:rPr>
          <w:rFonts w:ascii="Palatino Linotype" w:hAnsi="Palatino Linotype" w:cs="Arial"/>
          <w:sz w:val="22"/>
          <w:szCs w:val="22"/>
        </w:rPr>
      </w:pPr>
      <w:r w:rsidRPr="00876A8B">
        <w:rPr>
          <w:rFonts w:ascii="Palatino Linotype" w:hAnsi="Palatino Linotype" w:cs="Arial"/>
          <w:sz w:val="22"/>
          <w:szCs w:val="22"/>
        </w:rPr>
        <w:t>Prepare</w:t>
      </w:r>
      <w:r w:rsidR="00E5465E" w:rsidRPr="00876A8B">
        <w:rPr>
          <w:rFonts w:ascii="Palatino Linotype" w:hAnsi="Palatino Linotype" w:cs="Arial"/>
          <w:sz w:val="22"/>
          <w:szCs w:val="22"/>
        </w:rPr>
        <w:t xml:space="preserve"> guidelines </w:t>
      </w:r>
      <w:r w:rsidR="00197ADC" w:rsidRPr="00876A8B">
        <w:rPr>
          <w:rFonts w:ascii="Palatino Linotype" w:hAnsi="Palatino Linotype" w:cs="Arial"/>
          <w:sz w:val="22"/>
          <w:szCs w:val="22"/>
        </w:rPr>
        <w:t>to i</w:t>
      </w:r>
      <w:r w:rsidR="00F911A3" w:rsidRPr="00876A8B">
        <w:rPr>
          <w:rFonts w:ascii="Palatino Linotype" w:hAnsi="Palatino Linotype" w:cs="Arial"/>
          <w:sz w:val="22"/>
          <w:szCs w:val="22"/>
        </w:rPr>
        <w:t xml:space="preserve">nclude </w:t>
      </w:r>
      <w:r w:rsidR="00197ADC" w:rsidRPr="00876A8B">
        <w:rPr>
          <w:rFonts w:ascii="Palatino Linotype" w:hAnsi="Palatino Linotype" w:cs="Arial"/>
          <w:sz w:val="22"/>
          <w:szCs w:val="22"/>
        </w:rPr>
        <w:t xml:space="preserve">comparison and </w:t>
      </w:r>
      <w:r w:rsidRPr="00876A8B">
        <w:rPr>
          <w:rFonts w:ascii="Palatino Linotype" w:hAnsi="Palatino Linotype" w:cs="Arial"/>
          <w:sz w:val="22"/>
          <w:szCs w:val="22"/>
        </w:rPr>
        <w:t xml:space="preserve">locational </w:t>
      </w:r>
      <w:r w:rsidR="00197ADC" w:rsidRPr="00C879D6">
        <w:rPr>
          <w:rFonts w:ascii="Palatino Linotype" w:hAnsi="Palatino Linotype" w:cs="Arial"/>
          <w:sz w:val="22"/>
          <w:szCs w:val="22"/>
        </w:rPr>
        <w:t xml:space="preserve">criteria </w:t>
      </w:r>
      <w:r w:rsidR="00771870" w:rsidRPr="00C879D6">
        <w:rPr>
          <w:rFonts w:ascii="Palatino Linotype" w:hAnsi="Palatino Linotype" w:cs="Arial"/>
          <w:sz w:val="22"/>
          <w:szCs w:val="22"/>
        </w:rPr>
        <w:t xml:space="preserve">information </w:t>
      </w:r>
      <w:r w:rsidR="00F911A3" w:rsidRPr="00C879D6">
        <w:rPr>
          <w:rFonts w:ascii="Palatino Linotype" w:hAnsi="Palatino Linotype" w:cs="Arial"/>
          <w:sz w:val="22"/>
          <w:szCs w:val="22"/>
        </w:rPr>
        <w:t xml:space="preserve">in staff reports </w:t>
      </w:r>
      <w:r w:rsidR="00876A8B" w:rsidRPr="00C879D6">
        <w:rPr>
          <w:rFonts w:ascii="Palatino Linotype" w:hAnsi="Palatino Linotype" w:cs="Arial"/>
          <w:sz w:val="22"/>
          <w:szCs w:val="22"/>
        </w:rPr>
        <w:t>for consideration by decision-makers of winery use permits.</w:t>
      </w:r>
      <w:r w:rsidR="001971DE" w:rsidRPr="00C879D6">
        <w:rPr>
          <w:rFonts w:ascii="Palatino Linotype" w:hAnsi="Palatino Linotype" w:cs="Arial"/>
          <w:sz w:val="22"/>
          <w:szCs w:val="22"/>
        </w:rPr>
        <w:t xml:space="preserve"> </w:t>
      </w:r>
    </w:p>
    <w:p w:rsidR="00197ADC" w:rsidRDefault="00197ADC" w:rsidP="00876A8B">
      <w:pPr>
        <w:jc w:val="center"/>
        <w:rPr>
          <w:rFonts w:ascii="Palatino Linotype" w:hAnsi="Palatino Linotype" w:cs="Arial"/>
          <w:b/>
          <w:sz w:val="22"/>
          <w:szCs w:val="22"/>
        </w:rPr>
      </w:pPr>
    </w:p>
    <w:p w:rsidR="0037413C" w:rsidRPr="0037413C" w:rsidRDefault="0037413C" w:rsidP="0037413C">
      <w:pPr>
        <w:rPr>
          <w:rFonts w:ascii="Palatino Linotype" w:hAnsi="Palatino Linotype" w:cs="Arial"/>
          <w:sz w:val="22"/>
          <w:szCs w:val="22"/>
          <w:u w:val="single"/>
        </w:rPr>
      </w:pPr>
      <w:r w:rsidRPr="0037413C">
        <w:rPr>
          <w:rFonts w:ascii="Palatino Linotype" w:hAnsi="Palatino Linotype" w:cs="Arial"/>
          <w:sz w:val="22"/>
          <w:szCs w:val="22"/>
          <w:u w:val="single"/>
        </w:rPr>
        <w:t>Planning Commission Recommendation No. 14:</w:t>
      </w:r>
    </w:p>
    <w:p w:rsidR="0037413C" w:rsidRDefault="0037413C" w:rsidP="0037413C">
      <w:pPr>
        <w:pStyle w:val="Default"/>
        <w:rPr>
          <w:sz w:val="22"/>
          <w:szCs w:val="22"/>
        </w:rPr>
      </w:pPr>
      <w:r>
        <w:rPr>
          <w:sz w:val="22"/>
          <w:szCs w:val="22"/>
        </w:rPr>
        <w:t xml:space="preserve">Provide an annual report to the Planning Commission on prior year winery activity that includes the following information: </w:t>
      </w:r>
    </w:p>
    <w:p w:rsidR="0037413C" w:rsidRDefault="0037413C" w:rsidP="0037413C">
      <w:pPr>
        <w:pStyle w:val="Default"/>
        <w:numPr>
          <w:ilvl w:val="0"/>
          <w:numId w:val="11"/>
        </w:numPr>
        <w:spacing w:after="43"/>
        <w:rPr>
          <w:sz w:val="22"/>
          <w:szCs w:val="22"/>
        </w:rPr>
      </w:pPr>
      <w:r>
        <w:rPr>
          <w:sz w:val="22"/>
          <w:szCs w:val="22"/>
        </w:rPr>
        <w:t xml:space="preserve">Total </w:t>
      </w:r>
      <w:r w:rsidR="007F1453">
        <w:rPr>
          <w:sz w:val="22"/>
          <w:szCs w:val="22"/>
        </w:rPr>
        <w:t xml:space="preserve">aggregate </w:t>
      </w:r>
      <w:r>
        <w:rPr>
          <w:sz w:val="22"/>
          <w:szCs w:val="22"/>
        </w:rPr>
        <w:t xml:space="preserve">permitted and actual wine production; </w:t>
      </w:r>
    </w:p>
    <w:p w:rsidR="0037413C" w:rsidRDefault="0037413C" w:rsidP="0037413C">
      <w:pPr>
        <w:pStyle w:val="Default"/>
        <w:numPr>
          <w:ilvl w:val="0"/>
          <w:numId w:val="11"/>
        </w:numPr>
        <w:spacing w:after="43"/>
        <w:rPr>
          <w:sz w:val="22"/>
          <w:szCs w:val="22"/>
        </w:rPr>
      </w:pPr>
      <w:r>
        <w:rPr>
          <w:sz w:val="22"/>
          <w:szCs w:val="22"/>
        </w:rPr>
        <w:t xml:space="preserve">Total wine grape acreage and </w:t>
      </w:r>
      <w:r w:rsidR="007F1453">
        <w:rPr>
          <w:sz w:val="22"/>
          <w:szCs w:val="22"/>
        </w:rPr>
        <w:t xml:space="preserve">aggregate </w:t>
      </w:r>
      <w:r>
        <w:rPr>
          <w:sz w:val="22"/>
          <w:szCs w:val="22"/>
        </w:rPr>
        <w:t xml:space="preserve">production; </w:t>
      </w:r>
    </w:p>
    <w:p w:rsidR="0037413C" w:rsidRDefault="0037413C" w:rsidP="0037413C">
      <w:pPr>
        <w:pStyle w:val="Default"/>
        <w:numPr>
          <w:ilvl w:val="0"/>
          <w:numId w:val="11"/>
        </w:numPr>
        <w:spacing w:after="43"/>
        <w:rPr>
          <w:sz w:val="22"/>
          <w:szCs w:val="22"/>
        </w:rPr>
      </w:pPr>
      <w:r>
        <w:rPr>
          <w:sz w:val="22"/>
          <w:szCs w:val="22"/>
        </w:rPr>
        <w:t xml:space="preserve">Total </w:t>
      </w:r>
      <w:r w:rsidR="007F1453">
        <w:rPr>
          <w:sz w:val="22"/>
          <w:szCs w:val="22"/>
        </w:rPr>
        <w:t xml:space="preserve">aggregate </w:t>
      </w:r>
      <w:r>
        <w:rPr>
          <w:sz w:val="22"/>
          <w:szCs w:val="22"/>
        </w:rPr>
        <w:t xml:space="preserve">amount of wine crushed within Napa County, </w:t>
      </w:r>
      <w:r w:rsidR="007F1453">
        <w:rPr>
          <w:sz w:val="22"/>
          <w:szCs w:val="22"/>
        </w:rPr>
        <w:t xml:space="preserve">aggregate </w:t>
      </w:r>
      <w:r>
        <w:rPr>
          <w:sz w:val="22"/>
          <w:szCs w:val="22"/>
        </w:rPr>
        <w:t xml:space="preserve">amount of grapes imported into Napa, and </w:t>
      </w:r>
      <w:r w:rsidR="007F1453">
        <w:rPr>
          <w:sz w:val="22"/>
          <w:szCs w:val="22"/>
        </w:rPr>
        <w:t xml:space="preserve">aggregate </w:t>
      </w:r>
      <w:r>
        <w:rPr>
          <w:sz w:val="22"/>
          <w:szCs w:val="22"/>
        </w:rPr>
        <w:t xml:space="preserve">amount of grapes exported out of the County; </w:t>
      </w:r>
    </w:p>
    <w:p w:rsidR="0037413C" w:rsidRDefault="0037413C" w:rsidP="0037413C">
      <w:pPr>
        <w:pStyle w:val="Default"/>
        <w:numPr>
          <w:ilvl w:val="0"/>
          <w:numId w:val="11"/>
        </w:numPr>
        <w:spacing w:after="43"/>
        <w:rPr>
          <w:sz w:val="22"/>
          <w:szCs w:val="22"/>
        </w:rPr>
      </w:pPr>
      <w:r>
        <w:rPr>
          <w:sz w:val="22"/>
          <w:szCs w:val="22"/>
        </w:rPr>
        <w:t xml:space="preserve">Total production, tasting room visitation, marketing visitation, and variances permitted by the County; </w:t>
      </w:r>
    </w:p>
    <w:p w:rsidR="0037413C" w:rsidRDefault="0037413C" w:rsidP="0037413C">
      <w:pPr>
        <w:pStyle w:val="Default"/>
        <w:numPr>
          <w:ilvl w:val="0"/>
          <w:numId w:val="11"/>
        </w:numPr>
        <w:spacing w:after="43"/>
        <w:rPr>
          <w:sz w:val="22"/>
          <w:szCs w:val="22"/>
        </w:rPr>
      </w:pPr>
      <w:r>
        <w:rPr>
          <w:sz w:val="22"/>
          <w:szCs w:val="22"/>
        </w:rPr>
        <w:t xml:space="preserve">Gross and net loss of vineyards and farmland; </w:t>
      </w:r>
    </w:p>
    <w:p w:rsidR="0037413C" w:rsidRDefault="0037413C" w:rsidP="0037413C">
      <w:pPr>
        <w:pStyle w:val="Default"/>
        <w:numPr>
          <w:ilvl w:val="0"/>
          <w:numId w:val="11"/>
        </w:numPr>
        <w:spacing w:after="43"/>
        <w:rPr>
          <w:sz w:val="22"/>
          <w:szCs w:val="22"/>
        </w:rPr>
      </w:pPr>
      <w:r>
        <w:rPr>
          <w:sz w:val="22"/>
          <w:szCs w:val="22"/>
        </w:rPr>
        <w:t xml:space="preserve">Average and median visitation numbers for groups of wineries based on production levels. </w:t>
      </w:r>
    </w:p>
    <w:p w:rsidR="0037413C" w:rsidRPr="00C879D6" w:rsidRDefault="0037413C" w:rsidP="0037413C">
      <w:pPr>
        <w:pStyle w:val="Default"/>
        <w:numPr>
          <w:ilvl w:val="0"/>
          <w:numId w:val="11"/>
        </w:numPr>
        <w:rPr>
          <w:rFonts w:cs="Arial"/>
          <w:b/>
          <w:sz w:val="22"/>
          <w:szCs w:val="22"/>
        </w:rPr>
      </w:pPr>
      <w:r w:rsidRPr="00C879D6">
        <w:rPr>
          <w:sz w:val="22"/>
          <w:szCs w:val="22"/>
        </w:rPr>
        <w:t xml:space="preserve">Number of temporary event permits issued, and number of visitors allowed. </w:t>
      </w:r>
    </w:p>
    <w:sectPr w:rsidR="0037413C" w:rsidRPr="00C879D6" w:rsidSect="00724391">
      <w:headerReference w:type="even" r:id="rId9"/>
      <w:headerReference w:type="default" r:id="rId10"/>
      <w:footerReference w:type="even" r:id="rId11"/>
      <w:footerReference w:type="default" r:id="rId12"/>
      <w:headerReference w:type="first" r:id="rId13"/>
      <w:footerReference w:type="first" r:id="rId14"/>
      <w:pgSz w:w="12240" w:h="15840"/>
      <w:pgMar w:top="1080" w:right="153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24" w:rsidRDefault="00F54A24">
      <w:r>
        <w:separator/>
      </w:r>
    </w:p>
  </w:endnote>
  <w:endnote w:type="continuationSeparator" w:id="0">
    <w:p w:rsidR="00F54A24" w:rsidRDefault="00F5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35" w:rsidRDefault="00216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35470"/>
      <w:docPartObj>
        <w:docPartGallery w:val="Page Numbers (Bottom of Page)"/>
        <w:docPartUnique/>
      </w:docPartObj>
    </w:sdtPr>
    <w:sdtEndPr>
      <w:rPr>
        <w:noProof/>
      </w:rPr>
    </w:sdtEndPr>
    <w:sdtContent>
      <w:p w:rsidR="00F54A24" w:rsidRDefault="00F54A24">
        <w:pPr>
          <w:pStyle w:val="Footer"/>
          <w:jc w:val="center"/>
        </w:pPr>
        <w:r>
          <w:fldChar w:fldCharType="begin"/>
        </w:r>
        <w:r>
          <w:instrText xml:space="preserve"> PAGE   \* MERGEFORMAT </w:instrText>
        </w:r>
        <w:r>
          <w:fldChar w:fldCharType="separate"/>
        </w:r>
        <w:r w:rsidR="00496FFC">
          <w:rPr>
            <w:noProof/>
          </w:rPr>
          <w:t>2</w:t>
        </w:r>
        <w:r>
          <w:rPr>
            <w:noProof/>
          </w:rPr>
          <w:fldChar w:fldCharType="end"/>
        </w:r>
      </w:p>
    </w:sdtContent>
  </w:sdt>
  <w:p w:rsidR="00F54A24" w:rsidRDefault="00F54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35" w:rsidRDefault="0021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24" w:rsidRDefault="00F54A24">
      <w:r>
        <w:separator/>
      </w:r>
    </w:p>
  </w:footnote>
  <w:footnote w:type="continuationSeparator" w:id="0">
    <w:p w:rsidR="00F54A24" w:rsidRDefault="00F5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35" w:rsidRDefault="00216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35" w:rsidRDefault="00216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36010"/>
      <w:docPartObj>
        <w:docPartGallery w:val="Watermarks"/>
        <w:docPartUnique/>
      </w:docPartObj>
    </w:sdtPr>
    <w:sdtEndPr/>
    <w:sdtContent>
      <w:p w:rsidR="00216135" w:rsidRDefault="004F3C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B00"/>
    <w:multiLevelType w:val="hybridMultilevel"/>
    <w:tmpl w:val="37C86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569DA"/>
    <w:multiLevelType w:val="hybridMultilevel"/>
    <w:tmpl w:val="5FB4163A"/>
    <w:lvl w:ilvl="0" w:tplc="EDC0A3D0">
      <w:start w:val="1"/>
      <w:numFmt w:val="lowerLetter"/>
      <w:lvlText w:val="%1."/>
      <w:lvlJc w:val="left"/>
      <w:pPr>
        <w:ind w:left="1260" w:hanging="360"/>
      </w:pPr>
      <w:rPr>
        <w:rFonts w:ascii="Palatino Linotype" w:hAnsi="Palatino Linotype"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6A1D30"/>
    <w:multiLevelType w:val="hybridMultilevel"/>
    <w:tmpl w:val="022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63F61"/>
    <w:multiLevelType w:val="hybridMultilevel"/>
    <w:tmpl w:val="6EDE94FE"/>
    <w:lvl w:ilvl="0" w:tplc="0409000F">
      <w:start w:val="1"/>
      <w:numFmt w:val="decimal"/>
      <w:lvlText w:val="%1."/>
      <w:lvlJc w:val="left"/>
      <w:pPr>
        <w:ind w:left="720" w:hanging="360"/>
      </w:pPr>
    </w:lvl>
    <w:lvl w:ilvl="1" w:tplc="24FE86A4">
      <w:start w:val="5"/>
      <w:numFmt w:val="bullet"/>
      <w:lvlText w:val="•"/>
      <w:lvlJc w:val="left"/>
      <w:pPr>
        <w:ind w:left="1440" w:hanging="360"/>
      </w:pPr>
      <w:rPr>
        <w:rFonts w:ascii="Arial" w:eastAsiaTheme="minorHAns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4629A"/>
    <w:multiLevelType w:val="hybridMultilevel"/>
    <w:tmpl w:val="F0F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16C2F"/>
    <w:multiLevelType w:val="hybridMultilevel"/>
    <w:tmpl w:val="147E8BC8"/>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03A3B"/>
    <w:multiLevelType w:val="hybridMultilevel"/>
    <w:tmpl w:val="8600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735E00"/>
    <w:multiLevelType w:val="hybridMultilevel"/>
    <w:tmpl w:val="E3D86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6358E"/>
    <w:multiLevelType w:val="hybridMultilevel"/>
    <w:tmpl w:val="9A3A4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C2D18"/>
    <w:multiLevelType w:val="hybridMultilevel"/>
    <w:tmpl w:val="703C1AF4"/>
    <w:lvl w:ilvl="0" w:tplc="24FE86A4">
      <w:start w:val="5"/>
      <w:numFmt w:val="bullet"/>
      <w:lvlText w:val="•"/>
      <w:lvlJc w:val="left"/>
      <w:pPr>
        <w:ind w:left="1260" w:hanging="360"/>
      </w:pPr>
      <w:rPr>
        <w:rFonts w:ascii="Arial" w:eastAsiaTheme="minorHAnsi" w:hAnsi="Arial" w:cs="Aria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E3F4622"/>
    <w:multiLevelType w:val="hybridMultilevel"/>
    <w:tmpl w:val="967210DE"/>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7E921142">
      <w:start w:val="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A5A50"/>
    <w:multiLevelType w:val="hybridMultilevel"/>
    <w:tmpl w:val="D31A0DC6"/>
    <w:lvl w:ilvl="0" w:tplc="BDD401CC">
      <w:start w:val="1"/>
      <w:numFmt w:val="decimal"/>
      <w:lvlText w:val="%1."/>
      <w:lvlJc w:val="left"/>
      <w:pPr>
        <w:ind w:left="630" w:hanging="360"/>
      </w:pPr>
      <w:rPr>
        <w:rFonts w:ascii="Palatino Linotype" w:hAnsi="Palatino Linotype" w:cs="Arial" w:hint="default"/>
        <w:sz w:val="22"/>
        <w:szCs w:val="22"/>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5"/>
  </w:num>
  <w:num w:numId="5">
    <w:abstractNumId w:val="10"/>
  </w:num>
  <w:num w:numId="6">
    <w:abstractNumId w:val="9"/>
  </w:num>
  <w:num w:numId="7">
    <w:abstractNumId w:val="1"/>
  </w:num>
  <w:num w:numId="8">
    <w:abstractNumId w:val="2"/>
  </w:num>
  <w:num w:numId="9">
    <w:abstractNumId w:val="4"/>
  </w:num>
  <w:num w:numId="10">
    <w:abstractNumId w:val="6"/>
  </w:num>
  <w:num w:numId="11">
    <w:abstractNumId w:val="8"/>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61"/>
    <o:shapelayout v:ext="edit">
      <o:idmap v:ext="edit" data="4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2ED"/>
    <w:rsid w:val="00001C29"/>
    <w:rsid w:val="00002D3F"/>
    <w:rsid w:val="000131D1"/>
    <w:rsid w:val="000132FC"/>
    <w:rsid w:val="000142AD"/>
    <w:rsid w:val="00015FA1"/>
    <w:rsid w:val="00021A82"/>
    <w:rsid w:val="00021E2E"/>
    <w:rsid w:val="000226A2"/>
    <w:rsid w:val="00022EB0"/>
    <w:rsid w:val="00023677"/>
    <w:rsid w:val="00024267"/>
    <w:rsid w:val="00025F22"/>
    <w:rsid w:val="00032ABF"/>
    <w:rsid w:val="00033BFE"/>
    <w:rsid w:val="000349D9"/>
    <w:rsid w:val="0004396B"/>
    <w:rsid w:val="0004472E"/>
    <w:rsid w:val="00046887"/>
    <w:rsid w:val="00050CDE"/>
    <w:rsid w:val="00050EA8"/>
    <w:rsid w:val="000517F7"/>
    <w:rsid w:val="000527F3"/>
    <w:rsid w:val="00053738"/>
    <w:rsid w:val="000572C4"/>
    <w:rsid w:val="00060806"/>
    <w:rsid w:val="00061178"/>
    <w:rsid w:val="00061BC7"/>
    <w:rsid w:val="000628B2"/>
    <w:rsid w:val="0007222E"/>
    <w:rsid w:val="00074356"/>
    <w:rsid w:val="000745A5"/>
    <w:rsid w:val="000760BB"/>
    <w:rsid w:val="00083957"/>
    <w:rsid w:val="00083FE5"/>
    <w:rsid w:val="00086822"/>
    <w:rsid w:val="0009145C"/>
    <w:rsid w:val="00091C56"/>
    <w:rsid w:val="000925B7"/>
    <w:rsid w:val="00094832"/>
    <w:rsid w:val="000A013A"/>
    <w:rsid w:val="000A0521"/>
    <w:rsid w:val="000A1952"/>
    <w:rsid w:val="000A4E6A"/>
    <w:rsid w:val="000A5092"/>
    <w:rsid w:val="000A5AA0"/>
    <w:rsid w:val="000B0758"/>
    <w:rsid w:val="000C245E"/>
    <w:rsid w:val="000C5A98"/>
    <w:rsid w:val="000D1FD6"/>
    <w:rsid w:val="000D37DF"/>
    <w:rsid w:val="000D56FD"/>
    <w:rsid w:val="000F0B05"/>
    <w:rsid w:val="000F40C8"/>
    <w:rsid w:val="000F581C"/>
    <w:rsid w:val="000F6D51"/>
    <w:rsid w:val="00100525"/>
    <w:rsid w:val="00103AC1"/>
    <w:rsid w:val="00113FF3"/>
    <w:rsid w:val="00114BAC"/>
    <w:rsid w:val="00116F7A"/>
    <w:rsid w:val="00120125"/>
    <w:rsid w:val="0012254D"/>
    <w:rsid w:val="0012297D"/>
    <w:rsid w:val="001243D1"/>
    <w:rsid w:val="001268EC"/>
    <w:rsid w:val="00131BF5"/>
    <w:rsid w:val="00131E40"/>
    <w:rsid w:val="00132730"/>
    <w:rsid w:val="00144481"/>
    <w:rsid w:val="001642E2"/>
    <w:rsid w:val="0016733B"/>
    <w:rsid w:val="0017080B"/>
    <w:rsid w:val="00170AC0"/>
    <w:rsid w:val="00172D3F"/>
    <w:rsid w:val="001736B5"/>
    <w:rsid w:val="00175ACA"/>
    <w:rsid w:val="0017685D"/>
    <w:rsid w:val="0017775C"/>
    <w:rsid w:val="001812F9"/>
    <w:rsid w:val="00183E23"/>
    <w:rsid w:val="00184819"/>
    <w:rsid w:val="00185F72"/>
    <w:rsid w:val="001878C8"/>
    <w:rsid w:val="00187F30"/>
    <w:rsid w:val="00190590"/>
    <w:rsid w:val="001916AF"/>
    <w:rsid w:val="001928DE"/>
    <w:rsid w:val="001930EE"/>
    <w:rsid w:val="001949C2"/>
    <w:rsid w:val="001971DE"/>
    <w:rsid w:val="00197ADC"/>
    <w:rsid w:val="001B2177"/>
    <w:rsid w:val="001B3645"/>
    <w:rsid w:val="001D2174"/>
    <w:rsid w:val="001D3047"/>
    <w:rsid w:val="001D3238"/>
    <w:rsid w:val="001D341B"/>
    <w:rsid w:val="001E08EF"/>
    <w:rsid w:val="001E6641"/>
    <w:rsid w:val="001F3C11"/>
    <w:rsid w:val="001F76B6"/>
    <w:rsid w:val="002002B0"/>
    <w:rsid w:val="002007F8"/>
    <w:rsid w:val="00204518"/>
    <w:rsid w:val="0020590F"/>
    <w:rsid w:val="00210822"/>
    <w:rsid w:val="00213D9A"/>
    <w:rsid w:val="0021421E"/>
    <w:rsid w:val="00216135"/>
    <w:rsid w:val="00221AEB"/>
    <w:rsid w:val="00222E34"/>
    <w:rsid w:val="00224826"/>
    <w:rsid w:val="002272F4"/>
    <w:rsid w:val="00230D35"/>
    <w:rsid w:val="00231427"/>
    <w:rsid w:val="002336DC"/>
    <w:rsid w:val="00233BE0"/>
    <w:rsid w:val="0023444D"/>
    <w:rsid w:val="00235DE9"/>
    <w:rsid w:val="00240F34"/>
    <w:rsid w:val="00241F16"/>
    <w:rsid w:val="00245714"/>
    <w:rsid w:val="00245B09"/>
    <w:rsid w:val="00250043"/>
    <w:rsid w:val="002503A4"/>
    <w:rsid w:val="00252C5D"/>
    <w:rsid w:val="00252F33"/>
    <w:rsid w:val="002555D3"/>
    <w:rsid w:val="00255841"/>
    <w:rsid w:val="00256C6D"/>
    <w:rsid w:val="002579A0"/>
    <w:rsid w:val="0026134A"/>
    <w:rsid w:val="00266A25"/>
    <w:rsid w:val="002723FC"/>
    <w:rsid w:val="002730A7"/>
    <w:rsid w:val="002772CD"/>
    <w:rsid w:val="002809ED"/>
    <w:rsid w:val="00285799"/>
    <w:rsid w:val="00285835"/>
    <w:rsid w:val="00293736"/>
    <w:rsid w:val="00295A91"/>
    <w:rsid w:val="002967D1"/>
    <w:rsid w:val="002A0A78"/>
    <w:rsid w:val="002A0FE5"/>
    <w:rsid w:val="002A2BB9"/>
    <w:rsid w:val="002A4360"/>
    <w:rsid w:val="002A53BC"/>
    <w:rsid w:val="002A596D"/>
    <w:rsid w:val="002B18C2"/>
    <w:rsid w:val="002B2300"/>
    <w:rsid w:val="002B29ED"/>
    <w:rsid w:val="002B4EDC"/>
    <w:rsid w:val="002C0328"/>
    <w:rsid w:val="002C2B00"/>
    <w:rsid w:val="002C5A20"/>
    <w:rsid w:val="002C5FEA"/>
    <w:rsid w:val="002D2548"/>
    <w:rsid w:val="002D2829"/>
    <w:rsid w:val="002D4D8E"/>
    <w:rsid w:val="002D7A8C"/>
    <w:rsid w:val="002E17D2"/>
    <w:rsid w:val="002E5D93"/>
    <w:rsid w:val="002E6058"/>
    <w:rsid w:val="002F24EB"/>
    <w:rsid w:val="002F3BA5"/>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D16"/>
    <w:rsid w:val="00341E69"/>
    <w:rsid w:val="00344883"/>
    <w:rsid w:val="00344ECE"/>
    <w:rsid w:val="003467F5"/>
    <w:rsid w:val="00350B78"/>
    <w:rsid w:val="00355346"/>
    <w:rsid w:val="00355BB0"/>
    <w:rsid w:val="0035602F"/>
    <w:rsid w:val="00356697"/>
    <w:rsid w:val="00357AEB"/>
    <w:rsid w:val="003603D9"/>
    <w:rsid w:val="00367533"/>
    <w:rsid w:val="00371043"/>
    <w:rsid w:val="0037413C"/>
    <w:rsid w:val="003758EE"/>
    <w:rsid w:val="0037700C"/>
    <w:rsid w:val="0038337F"/>
    <w:rsid w:val="003868F5"/>
    <w:rsid w:val="00390B0F"/>
    <w:rsid w:val="0039346B"/>
    <w:rsid w:val="003A00CF"/>
    <w:rsid w:val="003A178B"/>
    <w:rsid w:val="003A3742"/>
    <w:rsid w:val="003A5A85"/>
    <w:rsid w:val="003B3A7E"/>
    <w:rsid w:val="003B49C3"/>
    <w:rsid w:val="003C1D56"/>
    <w:rsid w:val="003C575E"/>
    <w:rsid w:val="003C586A"/>
    <w:rsid w:val="003C64A9"/>
    <w:rsid w:val="003D0B6A"/>
    <w:rsid w:val="003D11D7"/>
    <w:rsid w:val="003D4739"/>
    <w:rsid w:val="003D77E4"/>
    <w:rsid w:val="003E05E7"/>
    <w:rsid w:val="003E266C"/>
    <w:rsid w:val="003E42BF"/>
    <w:rsid w:val="003E73E0"/>
    <w:rsid w:val="003F666F"/>
    <w:rsid w:val="003F6948"/>
    <w:rsid w:val="003F7521"/>
    <w:rsid w:val="003F792B"/>
    <w:rsid w:val="003F7E52"/>
    <w:rsid w:val="00405453"/>
    <w:rsid w:val="004174B0"/>
    <w:rsid w:val="00420535"/>
    <w:rsid w:val="004236C8"/>
    <w:rsid w:val="00426047"/>
    <w:rsid w:val="004323D9"/>
    <w:rsid w:val="00432BE8"/>
    <w:rsid w:val="00434863"/>
    <w:rsid w:val="004379E2"/>
    <w:rsid w:val="004429EC"/>
    <w:rsid w:val="004442F2"/>
    <w:rsid w:val="00450394"/>
    <w:rsid w:val="00452F84"/>
    <w:rsid w:val="00453A49"/>
    <w:rsid w:val="00463011"/>
    <w:rsid w:val="00471B5E"/>
    <w:rsid w:val="00471DC0"/>
    <w:rsid w:val="00472499"/>
    <w:rsid w:val="0047352A"/>
    <w:rsid w:val="0047728B"/>
    <w:rsid w:val="00480117"/>
    <w:rsid w:val="00490C7A"/>
    <w:rsid w:val="004919E0"/>
    <w:rsid w:val="00496FFC"/>
    <w:rsid w:val="00497909"/>
    <w:rsid w:val="004A003A"/>
    <w:rsid w:val="004A03B6"/>
    <w:rsid w:val="004A3612"/>
    <w:rsid w:val="004A4EC1"/>
    <w:rsid w:val="004A7152"/>
    <w:rsid w:val="004B0138"/>
    <w:rsid w:val="004B0AFA"/>
    <w:rsid w:val="004B1FAA"/>
    <w:rsid w:val="004B4071"/>
    <w:rsid w:val="004C00C5"/>
    <w:rsid w:val="004D5225"/>
    <w:rsid w:val="004D53F2"/>
    <w:rsid w:val="004D7F13"/>
    <w:rsid w:val="004E2047"/>
    <w:rsid w:val="004E503E"/>
    <w:rsid w:val="004F4961"/>
    <w:rsid w:val="004F53DE"/>
    <w:rsid w:val="0050310C"/>
    <w:rsid w:val="005067C9"/>
    <w:rsid w:val="005157E5"/>
    <w:rsid w:val="00517512"/>
    <w:rsid w:val="00523CBB"/>
    <w:rsid w:val="00533DDC"/>
    <w:rsid w:val="005348F6"/>
    <w:rsid w:val="00543722"/>
    <w:rsid w:val="00545411"/>
    <w:rsid w:val="00546BBA"/>
    <w:rsid w:val="00553EE4"/>
    <w:rsid w:val="0055627B"/>
    <w:rsid w:val="005604D2"/>
    <w:rsid w:val="00560621"/>
    <w:rsid w:val="00560796"/>
    <w:rsid w:val="00575E94"/>
    <w:rsid w:val="005818E1"/>
    <w:rsid w:val="00587041"/>
    <w:rsid w:val="00587AAA"/>
    <w:rsid w:val="00590FB7"/>
    <w:rsid w:val="005A1132"/>
    <w:rsid w:val="005A16F4"/>
    <w:rsid w:val="005A2594"/>
    <w:rsid w:val="005A518A"/>
    <w:rsid w:val="005B28CE"/>
    <w:rsid w:val="005B2990"/>
    <w:rsid w:val="005B2C62"/>
    <w:rsid w:val="005C00E7"/>
    <w:rsid w:val="005C5D9F"/>
    <w:rsid w:val="005C6D02"/>
    <w:rsid w:val="005D07EC"/>
    <w:rsid w:val="005E1030"/>
    <w:rsid w:val="005E4B8B"/>
    <w:rsid w:val="005F0384"/>
    <w:rsid w:val="005F054B"/>
    <w:rsid w:val="005F10E7"/>
    <w:rsid w:val="005F122F"/>
    <w:rsid w:val="005F2DB8"/>
    <w:rsid w:val="005F7929"/>
    <w:rsid w:val="005F7DB9"/>
    <w:rsid w:val="006034E0"/>
    <w:rsid w:val="00605DA9"/>
    <w:rsid w:val="00606A99"/>
    <w:rsid w:val="006079F7"/>
    <w:rsid w:val="006113FA"/>
    <w:rsid w:val="006143F2"/>
    <w:rsid w:val="006174D8"/>
    <w:rsid w:val="00617EFC"/>
    <w:rsid w:val="00620734"/>
    <w:rsid w:val="00621327"/>
    <w:rsid w:val="00623F17"/>
    <w:rsid w:val="00627374"/>
    <w:rsid w:val="00630893"/>
    <w:rsid w:val="00631FC0"/>
    <w:rsid w:val="006337F7"/>
    <w:rsid w:val="00637224"/>
    <w:rsid w:val="0064231C"/>
    <w:rsid w:val="00642EFF"/>
    <w:rsid w:val="00646574"/>
    <w:rsid w:val="00646BEF"/>
    <w:rsid w:val="00650B7E"/>
    <w:rsid w:val="00651622"/>
    <w:rsid w:val="00651E75"/>
    <w:rsid w:val="00654823"/>
    <w:rsid w:val="006558A9"/>
    <w:rsid w:val="00655F81"/>
    <w:rsid w:val="0065771A"/>
    <w:rsid w:val="006625F4"/>
    <w:rsid w:val="006628F5"/>
    <w:rsid w:val="00662CF8"/>
    <w:rsid w:val="00670BE7"/>
    <w:rsid w:val="0067619F"/>
    <w:rsid w:val="006769D4"/>
    <w:rsid w:val="00677CE5"/>
    <w:rsid w:val="00680ABF"/>
    <w:rsid w:val="006908AA"/>
    <w:rsid w:val="00692992"/>
    <w:rsid w:val="00697405"/>
    <w:rsid w:val="006A07B7"/>
    <w:rsid w:val="006A1F45"/>
    <w:rsid w:val="006B025A"/>
    <w:rsid w:val="006B02C4"/>
    <w:rsid w:val="006B1BFC"/>
    <w:rsid w:val="006B1CDB"/>
    <w:rsid w:val="006B73A6"/>
    <w:rsid w:val="006C08FC"/>
    <w:rsid w:val="006C24EA"/>
    <w:rsid w:val="006D4A8D"/>
    <w:rsid w:val="006E528E"/>
    <w:rsid w:val="006F001F"/>
    <w:rsid w:val="006F0A57"/>
    <w:rsid w:val="006F2877"/>
    <w:rsid w:val="006F38FF"/>
    <w:rsid w:val="006F39B4"/>
    <w:rsid w:val="006F7F96"/>
    <w:rsid w:val="007069B8"/>
    <w:rsid w:val="007074C2"/>
    <w:rsid w:val="00707C27"/>
    <w:rsid w:val="00712DE9"/>
    <w:rsid w:val="007147BB"/>
    <w:rsid w:val="00714BC8"/>
    <w:rsid w:val="007153A4"/>
    <w:rsid w:val="0071797D"/>
    <w:rsid w:val="00720264"/>
    <w:rsid w:val="007225AC"/>
    <w:rsid w:val="00723CA4"/>
    <w:rsid w:val="00724391"/>
    <w:rsid w:val="00726AC6"/>
    <w:rsid w:val="0073315A"/>
    <w:rsid w:val="0073496F"/>
    <w:rsid w:val="0074288B"/>
    <w:rsid w:val="00742CA6"/>
    <w:rsid w:val="00745D53"/>
    <w:rsid w:val="00747984"/>
    <w:rsid w:val="007521F1"/>
    <w:rsid w:val="00753002"/>
    <w:rsid w:val="0075671D"/>
    <w:rsid w:val="00762C7D"/>
    <w:rsid w:val="00763C78"/>
    <w:rsid w:val="00765998"/>
    <w:rsid w:val="00766008"/>
    <w:rsid w:val="0076613B"/>
    <w:rsid w:val="00770E8D"/>
    <w:rsid w:val="00771870"/>
    <w:rsid w:val="00774B76"/>
    <w:rsid w:val="00777D1B"/>
    <w:rsid w:val="0078053B"/>
    <w:rsid w:val="007851C8"/>
    <w:rsid w:val="00785211"/>
    <w:rsid w:val="007932D8"/>
    <w:rsid w:val="00793751"/>
    <w:rsid w:val="007937A0"/>
    <w:rsid w:val="00796D10"/>
    <w:rsid w:val="007A1C8F"/>
    <w:rsid w:val="007A3862"/>
    <w:rsid w:val="007A6B50"/>
    <w:rsid w:val="007A7254"/>
    <w:rsid w:val="007B0423"/>
    <w:rsid w:val="007B18B2"/>
    <w:rsid w:val="007B31FE"/>
    <w:rsid w:val="007B3D7B"/>
    <w:rsid w:val="007B5B1A"/>
    <w:rsid w:val="007B65AC"/>
    <w:rsid w:val="007C5B72"/>
    <w:rsid w:val="007C6B53"/>
    <w:rsid w:val="007C731D"/>
    <w:rsid w:val="007D2025"/>
    <w:rsid w:val="007D6B5F"/>
    <w:rsid w:val="007D7BFA"/>
    <w:rsid w:val="007E5176"/>
    <w:rsid w:val="007F1453"/>
    <w:rsid w:val="007F1563"/>
    <w:rsid w:val="007F1DB3"/>
    <w:rsid w:val="00801F7D"/>
    <w:rsid w:val="00804921"/>
    <w:rsid w:val="00806083"/>
    <w:rsid w:val="008121BD"/>
    <w:rsid w:val="00812663"/>
    <w:rsid w:val="00813CA8"/>
    <w:rsid w:val="008151ED"/>
    <w:rsid w:val="00825091"/>
    <w:rsid w:val="00827FFB"/>
    <w:rsid w:val="00832F22"/>
    <w:rsid w:val="0083356B"/>
    <w:rsid w:val="00837BE6"/>
    <w:rsid w:val="00840C92"/>
    <w:rsid w:val="008429D0"/>
    <w:rsid w:val="008429DD"/>
    <w:rsid w:val="008435C2"/>
    <w:rsid w:val="008458D0"/>
    <w:rsid w:val="00853B55"/>
    <w:rsid w:val="00860901"/>
    <w:rsid w:val="00860E2F"/>
    <w:rsid w:val="008679F9"/>
    <w:rsid w:val="00871005"/>
    <w:rsid w:val="00874413"/>
    <w:rsid w:val="00876052"/>
    <w:rsid w:val="00876A8B"/>
    <w:rsid w:val="008775DA"/>
    <w:rsid w:val="00880184"/>
    <w:rsid w:val="00886247"/>
    <w:rsid w:val="0088676E"/>
    <w:rsid w:val="00887945"/>
    <w:rsid w:val="008905EB"/>
    <w:rsid w:val="00890C82"/>
    <w:rsid w:val="008927D8"/>
    <w:rsid w:val="00895F72"/>
    <w:rsid w:val="008A04DF"/>
    <w:rsid w:val="008A1081"/>
    <w:rsid w:val="008A11CD"/>
    <w:rsid w:val="008A2EF9"/>
    <w:rsid w:val="008A34F0"/>
    <w:rsid w:val="008A65D4"/>
    <w:rsid w:val="008A6902"/>
    <w:rsid w:val="008A782F"/>
    <w:rsid w:val="008B4E49"/>
    <w:rsid w:val="008C1882"/>
    <w:rsid w:val="008C1CEC"/>
    <w:rsid w:val="008C2FA7"/>
    <w:rsid w:val="008C4BEC"/>
    <w:rsid w:val="008C730D"/>
    <w:rsid w:val="008D0D53"/>
    <w:rsid w:val="008D1325"/>
    <w:rsid w:val="008D1B4B"/>
    <w:rsid w:val="008D635E"/>
    <w:rsid w:val="008D7AC6"/>
    <w:rsid w:val="008E72D8"/>
    <w:rsid w:val="008E7B88"/>
    <w:rsid w:val="008F5355"/>
    <w:rsid w:val="008F5A2F"/>
    <w:rsid w:val="008F7180"/>
    <w:rsid w:val="0090209D"/>
    <w:rsid w:val="00904373"/>
    <w:rsid w:val="009067BC"/>
    <w:rsid w:val="009100CC"/>
    <w:rsid w:val="00910550"/>
    <w:rsid w:val="00910C51"/>
    <w:rsid w:val="00912EFA"/>
    <w:rsid w:val="00917367"/>
    <w:rsid w:val="00924013"/>
    <w:rsid w:val="00925858"/>
    <w:rsid w:val="00931D97"/>
    <w:rsid w:val="0093524C"/>
    <w:rsid w:val="00936B45"/>
    <w:rsid w:val="009407BD"/>
    <w:rsid w:val="0094155D"/>
    <w:rsid w:val="00942245"/>
    <w:rsid w:val="0094449C"/>
    <w:rsid w:val="00947D06"/>
    <w:rsid w:val="009502CE"/>
    <w:rsid w:val="009506D5"/>
    <w:rsid w:val="00954166"/>
    <w:rsid w:val="00960117"/>
    <w:rsid w:val="009606ED"/>
    <w:rsid w:val="00960CE0"/>
    <w:rsid w:val="009614A9"/>
    <w:rsid w:val="00961E6B"/>
    <w:rsid w:val="009711D2"/>
    <w:rsid w:val="00972B29"/>
    <w:rsid w:val="0097322D"/>
    <w:rsid w:val="009775E1"/>
    <w:rsid w:val="00987D02"/>
    <w:rsid w:val="009912A8"/>
    <w:rsid w:val="009915E5"/>
    <w:rsid w:val="00991EE5"/>
    <w:rsid w:val="00995DC3"/>
    <w:rsid w:val="009A0471"/>
    <w:rsid w:val="009A1838"/>
    <w:rsid w:val="009A31F0"/>
    <w:rsid w:val="009A76CC"/>
    <w:rsid w:val="009A7BE6"/>
    <w:rsid w:val="009A7C53"/>
    <w:rsid w:val="009B11CF"/>
    <w:rsid w:val="009B1A46"/>
    <w:rsid w:val="009B24DD"/>
    <w:rsid w:val="009B380A"/>
    <w:rsid w:val="009C0977"/>
    <w:rsid w:val="009C261F"/>
    <w:rsid w:val="009C41C3"/>
    <w:rsid w:val="009D2086"/>
    <w:rsid w:val="009D26F9"/>
    <w:rsid w:val="009D47E3"/>
    <w:rsid w:val="009D61BA"/>
    <w:rsid w:val="009E1BBD"/>
    <w:rsid w:val="009E7AB3"/>
    <w:rsid w:val="009F21D8"/>
    <w:rsid w:val="009F693B"/>
    <w:rsid w:val="009F7107"/>
    <w:rsid w:val="00A048EA"/>
    <w:rsid w:val="00A05365"/>
    <w:rsid w:val="00A0740E"/>
    <w:rsid w:val="00A11193"/>
    <w:rsid w:val="00A21691"/>
    <w:rsid w:val="00A240DF"/>
    <w:rsid w:val="00A24879"/>
    <w:rsid w:val="00A305A9"/>
    <w:rsid w:val="00A313AE"/>
    <w:rsid w:val="00A3147D"/>
    <w:rsid w:val="00A34A1F"/>
    <w:rsid w:val="00A375C2"/>
    <w:rsid w:val="00A44113"/>
    <w:rsid w:val="00A46429"/>
    <w:rsid w:val="00A5199E"/>
    <w:rsid w:val="00A614DD"/>
    <w:rsid w:val="00A65916"/>
    <w:rsid w:val="00A66991"/>
    <w:rsid w:val="00A67DBC"/>
    <w:rsid w:val="00A709A9"/>
    <w:rsid w:val="00A71D19"/>
    <w:rsid w:val="00A72156"/>
    <w:rsid w:val="00A76D49"/>
    <w:rsid w:val="00A7732E"/>
    <w:rsid w:val="00A81F7B"/>
    <w:rsid w:val="00A92994"/>
    <w:rsid w:val="00A94809"/>
    <w:rsid w:val="00AA0A52"/>
    <w:rsid w:val="00AA4305"/>
    <w:rsid w:val="00AA47FA"/>
    <w:rsid w:val="00AB1960"/>
    <w:rsid w:val="00AB25B5"/>
    <w:rsid w:val="00AB72BF"/>
    <w:rsid w:val="00AB7AF9"/>
    <w:rsid w:val="00AC00B2"/>
    <w:rsid w:val="00AC134F"/>
    <w:rsid w:val="00AC3185"/>
    <w:rsid w:val="00AD2000"/>
    <w:rsid w:val="00AD2D64"/>
    <w:rsid w:val="00AE35A9"/>
    <w:rsid w:val="00AF473F"/>
    <w:rsid w:val="00AF62F7"/>
    <w:rsid w:val="00AF63FE"/>
    <w:rsid w:val="00B1142A"/>
    <w:rsid w:val="00B15C97"/>
    <w:rsid w:val="00B233A1"/>
    <w:rsid w:val="00B239F3"/>
    <w:rsid w:val="00B23A87"/>
    <w:rsid w:val="00B24614"/>
    <w:rsid w:val="00B2786C"/>
    <w:rsid w:val="00B32586"/>
    <w:rsid w:val="00B34FB5"/>
    <w:rsid w:val="00B356DD"/>
    <w:rsid w:val="00B35DBC"/>
    <w:rsid w:val="00B3641E"/>
    <w:rsid w:val="00B41EB5"/>
    <w:rsid w:val="00B46026"/>
    <w:rsid w:val="00B469A9"/>
    <w:rsid w:val="00B46DE9"/>
    <w:rsid w:val="00B51609"/>
    <w:rsid w:val="00B541A2"/>
    <w:rsid w:val="00B572AF"/>
    <w:rsid w:val="00B67779"/>
    <w:rsid w:val="00B72E70"/>
    <w:rsid w:val="00B8040C"/>
    <w:rsid w:val="00B80EBF"/>
    <w:rsid w:val="00B8110E"/>
    <w:rsid w:val="00B84BE0"/>
    <w:rsid w:val="00B86588"/>
    <w:rsid w:val="00B906F9"/>
    <w:rsid w:val="00B91F75"/>
    <w:rsid w:val="00B9214E"/>
    <w:rsid w:val="00B94C44"/>
    <w:rsid w:val="00B95469"/>
    <w:rsid w:val="00B974E8"/>
    <w:rsid w:val="00BA0426"/>
    <w:rsid w:val="00BA3BD4"/>
    <w:rsid w:val="00BA63A2"/>
    <w:rsid w:val="00BA72C2"/>
    <w:rsid w:val="00BB386D"/>
    <w:rsid w:val="00BB4403"/>
    <w:rsid w:val="00BB497D"/>
    <w:rsid w:val="00BB5646"/>
    <w:rsid w:val="00BC20F3"/>
    <w:rsid w:val="00BC24C7"/>
    <w:rsid w:val="00BC2A39"/>
    <w:rsid w:val="00BC3F95"/>
    <w:rsid w:val="00BC54D1"/>
    <w:rsid w:val="00BC74CF"/>
    <w:rsid w:val="00BD32B5"/>
    <w:rsid w:val="00BD60D0"/>
    <w:rsid w:val="00BE1E32"/>
    <w:rsid w:val="00BE47EC"/>
    <w:rsid w:val="00BE5BAB"/>
    <w:rsid w:val="00BE7142"/>
    <w:rsid w:val="00BE7844"/>
    <w:rsid w:val="00BF11F0"/>
    <w:rsid w:val="00BF13D7"/>
    <w:rsid w:val="00BF1885"/>
    <w:rsid w:val="00BF5250"/>
    <w:rsid w:val="00BF57D4"/>
    <w:rsid w:val="00C05873"/>
    <w:rsid w:val="00C10004"/>
    <w:rsid w:val="00C12AAA"/>
    <w:rsid w:val="00C12C4B"/>
    <w:rsid w:val="00C15F35"/>
    <w:rsid w:val="00C16DE8"/>
    <w:rsid w:val="00C17BEE"/>
    <w:rsid w:val="00C21FFC"/>
    <w:rsid w:val="00C23664"/>
    <w:rsid w:val="00C320C0"/>
    <w:rsid w:val="00C32EA2"/>
    <w:rsid w:val="00C369A0"/>
    <w:rsid w:val="00C417D9"/>
    <w:rsid w:val="00C44F25"/>
    <w:rsid w:val="00C45C7C"/>
    <w:rsid w:val="00C47C9F"/>
    <w:rsid w:val="00C51D98"/>
    <w:rsid w:val="00C60C60"/>
    <w:rsid w:val="00C62033"/>
    <w:rsid w:val="00C6327C"/>
    <w:rsid w:val="00C659EA"/>
    <w:rsid w:val="00C67D66"/>
    <w:rsid w:val="00C705BE"/>
    <w:rsid w:val="00C71E02"/>
    <w:rsid w:val="00C720F9"/>
    <w:rsid w:val="00C7579C"/>
    <w:rsid w:val="00C76DF6"/>
    <w:rsid w:val="00C861FA"/>
    <w:rsid w:val="00C862D2"/>
    <w:rsid w:val="00C87523"/>
    <w:rsid w:val="00C8784C"/>
    <w:rsid w:val="00C879D6"/>
    <w:rsid w:val="00CA0FFC"/>
    <w:rsid w:val="00CA2EC5"/>
    <w:rsid w:val="00CA4FA2"/>
    <w:rsid w:val="00CA65DA"/>
    <w:rsid w:val="00CB2359"/>
    <w:rsid w:val="00CB3388"/>
    <w:rsid w:val="00CB43F1"/>
    <w:rsid w:val="00CB5F8E"/>
    <w:rsid w:val="00CB6003"/>
    <w:rsid w:val="00CB7EAE"/>
    <w:rsid w:val="00CC0190"/>
    <w:rsid w:val="00CC1015"/>
    <w:rsid w:val="00CC41E9"/>
    <w:rsid w:val="00CC43CE"/>
    <w:rsid w:val="00CD01DE"/>
    <w:rsid w:val="00CD0F0D"/>
    <w:rsid w:val="00CD13B2"/>
    <w:rsid w:val="00CD21FC"/>
    <w:rsid w:val="00CD6AC5"/>
    <w:rsid w:val="00CD725A"/>
    <w:rsid w:val="00CE03B6"/>
    <w:rsid w:val="00CE36F1"/>
    <w:rsid w:val="00CE3F17"/>
    <w:rsid w:val="00CE7816"/>
    <w:rsid w:val="00CF116C"/>
    <w:rsid w:val="00CF1973"/>
    <w:rsid w:val="00D10191"/>
    <w:rsid w:val="00D105DC"/>
    <w:rsid w:val="00D123A6"/>
    <w:rsid w:val="00D17068"/>
    <w:rsid w:val="00D172FC"/>
    <w:rsid w:val="00D214D0"/>
    <w:rsid w:val="00D22323"/>
    <w:rsid w:val="00D2439D"/>
    <w:rsid w:val="00D24CB4"/>
    <w:rsid w:val="00D257D8"/>
    <w:rsid w:val="00D27239"/>
    <w:rsid w:val="00D3204A"/>
    <w:rsid w:val="00D320D3"/>
    <w:rsid w:val="00D324D5"/>
    <w:rsid w:val="00D333B2"/>
    <w:rsid w:val="00D340F4"/>
    <w:rsid w:val="00D348D6"/>
    <w:rsid w:val="00D36362"/>
    <w:rsid w:val="00D40E18"/>
    <w:rsid w:val="00D43254"/>
    <w:rsid w:val="00D46976"/>
    <w:rsid w:val="00D50E4F"/>
    <w:rsid w:val="00D525BA"/>
    <w:rsid w:val="00D529D4"/>
    <w:rsid w:val="00D54682"/>
    <w:rsid w:val="00D55025"/>
    <w:rsid w:val="00D57C99"/>
    <w:rsid w:val="00D60497"/>
    <w:rsid w:val="00D611E1"/>
    <w:rsid w:val="00D63563"/>
    <w:rsid w:val="00D655A9"/>
    <w:rsid w:val="00D7279A"/>
    <w:rsid w:val="00D72B38"/>
    <w:rsid w:val="00D850A8"/>
    <w:rsid w:val="00D8589C"/>
    <w:rsid w:val="00D86EF1"/>
    <w:rsid w:val="00D918CA"/>
    <w:rsid w:val="00D968AE"/>
    <w:rsid w:val="00DA1CC9"/>
    <w:rsid w:val="00DA2932"/>
    <w:rsid w:val="00DA3F59"/>
    <w:rsid w:val="00DB1B63"/>
    <w:rsid w:val="00DB4964"/>
    <w:rsid w:val="00DB49AA"/>
    <w:rsid w:val="00DB4CC2"/>
    <w:rsid w:val="00DB5E3F"/>
    <w:rsid w:val="00DB6430"/>
    <w:rsid w:val="00DB65B0"/>
    <w:rsid w:val="00DB7904"/>
    <w:rsid w:val="00DC03AC"/>
    <w:rsid w:val="00DC1071"/>
    <w:rsid w:val="00DC46AF"/>
    <w:rsid w:val="00DD168C"/>
    <w:rsid w:val="00DD3C05"/>
    <w:rsid w:val="00DE149A"/>
    <w:rsid w:val="00DE20E1"/>
    <w:rsid w:val="00DE58B8"/>
    <w:rsid w:val="00DE6E3F"/>
    <w:rsid w:val="00DF179A"/>
    <w:rsid w:val="00DF271C"/>
    <w:rsid w:val="00DF3FE2"/>
    <w:rsid w:val="00DF4147"/>
    <w:rsid w:val="00DF4EC8"/>
    <w:rsid w:val="00DF77EB"/>
    <w:rsid w:val="00E02E52"/>
    <w:rsid w:val="00E05979"/>
    <w:rsid w:val="00E11304"/>
    <w:rsid w:val="00E12E95"/>
    <w:rsid w:val="00E14334"/>
    <w:rsid w:val="00E15BD0"/>
    <w:rsid w:val="00E16076"/>
    <w:rsid w:val="00E16769"/>
    <w:rsid w:val="00E167C7"/>
    <w:rsid w:val="00E17991"/>
    <w:rsid w:val="00E20221"/>
    <w:rsid w:val="00E2039E"/>
    <w:rsid w:val="00E23C84"/>
    <w:rsid w:val="00E26457"/>
    <w:rsid w:val="00E27A0C"/>
    <w:rsid w:val="00E27E19"/>
    <w:rsid w:val="00E30014"/>
    <w:rsid w:val="00E32049"/>
    <w:rsid w:val="00E33A55"/>
    <w:rsid w:val="00E35CB1"/>
    <w:rsid w:val="00E4387A"/>
    <w:rsid w:val="00E439FD"/>
    <w:rsid w:val="00E43B7A"/>
    <w:rsid w:val="00E462A7"/>
    <w:rsid w:val="00E47F7D"/>
    <w:rsid w:val="00E53990"/>
    <w:rsid w:val="00E5465E"/>
    <w:rsid w:val="00E54DD9"/>
    <w:rsid w:val="00E61830"/>
    <w:rsid w:val="00E61ABF"/>
    <w:rsid w:val="00E63C6E"/>
    <w:rsid w:val="00E6429B"/>
    <w:rsid w:val="00E650FC"/>
    <w:rsid w:val="00E66479"/>
    <w:rsid w:val="00E737B1"/>
    <w:rsid w:val="00E8562C"/>
    <w:rsid w:val="00E85B74"/>
    <w:rsid w:val="00E87470"/>
    <w:rsid w:val="00E907B5"/>
    <w:rsid w:val="00E91A85"/>
    <w:rsid w:val="00E94A28"/>
    <w:rsid w:val="00E9560B"/>
    <w:rsid w:val="00EA1770"/>
    <w:rsid w:val="00EA7E97"/>
    <w:rsid w:val="00EA7FF8"/>
    <w:rsid w:val="00EB0957"/>
    <w:rsid w:val="00EB2164"/>
    <w:rsid w:val="00EB3F7D"/>
    <w:rsid w:val="00EB42D9"/>
    <w:rsid w:val="00EB5129"/>
    <w:rsid w:val="00EB55D6"/>
    <w:rsid w:val="00EC05A7"/>
    <w:rsid w:val="00EC0671"/>
    <w:rsid w:val="00EC2252"/>
    <w:rsid w:val="00EC43A6"/>
    <w:rsid w:val="00ED074F"/>
    <w:rsid w:val="00ED561E"/>
    <w:rsid w:val="00ED639E"/>
    <w:rsid w:val="00EE76D0"/>
    <w:rsid w:val="00EF318E"/>
    <w:rsid w:val="00EF3F05"/>
    <w:rsid w:val="00EF7386"/>
    <w:rsid w:val="00F00B29"/>
    <w:rsid w:val="00F0742C"/>
    <w:rsid w:val="00F07790"/>
    <w:rsid w:val="00F161CB"/>
    <w:rsid w:val="00F214BC"/>
    <w:rsid w:val="00F2193F"/>
    <w:rsid w:val="00F222C8"/>
    <w:rsid w:val="00F227B7"/>
    <w:rsid w:val="00F37D8C"/>
    <w:rsid w:val="00F41568"/>
    <w:rsid w:val="00F416F1"/>
    <w:rsid w:val="00F41F85"/>
    <w:rsid w:val="00F44717"/>
    <w:rsid w:val="00F473C2"/>
    <w:rsid w:val="00F50551"/>
    <w:rsid w:val="00F50688"/>
    <w:rsid w:val="00F52252"/>
    <w:rsid w:val="00F52A87"/>
    <w:rsid w:val="00F53F6B"/>
    <w:rsid w:val="00F54A24"/>
    <w:rsid w:val="00F606A1"/>
    <w:rsid w:val="00F60E6A"/>
    <w:rsid w:val="00F6179A"/>
    <w:rsid w:val="00F64084"/>
    <w:rsid w:val="00F657AD"/>
    <w:rsid w:val="00F67A78"/>
    <w:rsid w:val="00F73ACD"/>
    <w:rsid w:val="00F805F7"/>
    <w:rsid w:val="00F83B83"/>
    <w:rsid w:val="00F85C99"/>
    <w:rsid w:val="00F85E56"/>
    <w:rsid w:val="00F867DD"/>
    <w:rsid w:val="00F90492"/>
    <w:rsid w:val="00F911A3"/>
    <w:rsid w:val="00F9205C"/>
    <w:rsid w:val="00F93D18"/>
    <w:rsid w:val="00F94A76"/>
    <w:rsid w:val="00F959C0"/>
    <w:rsid w:val="00F96E47"/>
    <w:rsid w:val="00FA0C1D"/>
    <w:rsid w:val="00FA1988"/>
    <w:rsid w:val="00FA43EA"/>
    <w:rsid w:val="00FA572C"/>
    <w:rsid w:val="00FA5BE2"/>
    <w:rsid w:val="00FB1037"/>
    <w:rsid w:val="00FB1C95"/>
    <w:rsid w:val="00FB5ECD"/>
    <w:rsid w:val="00FB647D"/>
    <w:rsid w:val="00FC165E"/>
    <w:rsid w:val="00FC1EED"/>
    <w:rsid w:val="00FD2811"/>
    <w:rsid w:val="00FD709E"/>
    <w:rsid w:val="00FE05BB"/>
    <w:rsid w:val="00FE3179"/>
    <w:rsid w:val="00FE3A2A"/>
    <w:rsid w:val="00FE3F31"/>
    <w:rsid w:val="00FE450F"/>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 w:type="character" w:styleId="Strong">
    <w:name w:val="Strong"/>
    <w:basedOn w:val="DefaultParagraphFont"/>
    <w:uiPriority w:val="22"/>
    <w:qFormat/>
    <w:rsid w:val="00013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22"/>
    <w:rPr>
      <w:sz w:val="24"/>
      <w:szCs w:val="24"/>
    </w:rPr>
  </w:style>
  <w:style w:type="paragraph" w:styleId="Heading2">
    <w:name w:val="heading 2"/>
    <w:basedOn w:val="Normal"/>
    <w:next w:val="Normal"/>
    <w:qFormat/>
    <w:rsid w:val="00765998"/>
    <w:pPr>
      <w:keepNext/>
      <w:tabs>
        <w:tab w:val="left" w:pos="-720"/>
      </w:tabs>
      <w:suppressAutoHyphens/>
      <w:ind w:right="72"/>
      <w:jc w:val="center"/>
      <w:outlineLvl w:val="1"/>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4D1"/>
    <w:rPr>
      <w:rFonts w:ascii="Tahoma" w:hAnsi="Tahoma" w:cs="Tahoma"/>
      <w:sz w:val="16"/>
      <w:szCs w:val="16"/>
    </w:rPr>
  </w:style>
  <w:style w:type="character" w:customStyle="1" w:styleId="BalloonTextChar">
    <w:name w:val="Balloon Text Char"/>
    <w:basedOn w:val="DefaultParagraphFont"/>
    <w:link w:val="BalloonText"/>
    <w:uiPriority w:val="99"/>
    <w:semiHidden/>
    <w:rsid w:val="00677CE5"/>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character" w:customStyle="1" w:styleId="HeaderChar">
    <w:name w:val="Header Char"/>
    <w:basedOn w:val="DefaultParagraphFont"/>
    <w:link w:val="Header"/>
    <w:uiPriority w:val="99"/>
    <w:rsid w:val="00677CE5"/>
    <w:rPr>
      <w:sz w:val="24"/>
      <w:szCs w:val="24"/>
    </w:rPr>
  </w:style>
  <w:style w:type="paragraph" w:styleId="Footer">
    <w:name w:val="footer"/>
    <w:basedOn w:val="Normal"/>
    <w:link w:val="FooterChar"/>
    <w:uiPriority w:val="99"/>
    <w:rsid w:val="00BC54D1"/>
    <w:pPr>
      <w:tabs>
        <w:tab w:val="center" w:pos="4320"/>
        <w:tab w:val="right" w:pos="8640"/>
      </w:tabs>
    </w:pPr>
  </w:style>
  <w:style w:type="character" w:customStyle="1" w:styleId="FooterChar">
    <w:name w:val="Footer Char"/>
    <w:basedOn w:val="DefaultParagraphFont"/>
    <w:link w:val="Footer"/>
    <w:uiPriority w:val="99"/>
    <w:rsid w:val="00BF5250"/>
    <w:rPr>
      <w:sz w:val="24"/>
      <w:szCs w:val="24"/>
    </w:r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uiPriority w:val="59"/>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5998"/>
    <w:pPr>
      <w:spacing w:after="240"/>
      <w:jc w:val="both"/>
    </w:pPr>
    <w:rPr>
      <w:rFonts w:ascii="Arial" w:hAnsi="Arial"/>
      <w:i/>
      <w:iCs/>
    </w:rPr>
  </w:style>
  <w:style w:type="character" w:styleId="PageNumber">
    <w:name w:val="page number"/>
    <w:basedOn w:val="DefaultParagraphFont"/>
    <w:rsid w:val="00765998"/>
  </w:style>
  <w:style w:type="paragraph" w:styleId="BodyTextIndent">
    <w:name w:val="Body Text Indent"/>
    <w:basedOn w:val="Normal"/>
    <w:rsid w:val="00765998"/>
    <w:pPr>
      <w:ind w:left="1800"/>
    </w:pPr>
    <w:rPr>
      <w:rFonts w:ascii="Arial" w:hAnsi="Arial"/>
    </w:rPr>
  </w:style>
  <w:style w:type="paragraph" w:styleId="BodyTextIndent3">
    <w:name w:val="Body Text Indent 3"/>
    <w:basedOn w:val="Normal"/>
    <w:rsid w:val="00765998"/>
    <w:pPr>
      <w:spacing w:after="120"/>
      <w:ind w:left="360"/>
    </w:pPr>
    <w:rPr>
      <w:rFonts w:ascii="Arial" w:hAnsi="Arial"/>
      <w:sz w:val="16"/>
      <w:szCs w:val="16"/>
    </w:rPr>
  </w:style>
  <w:style w:type="paragraph" w:styleId="BlockText">
    <w:name w:val="Block Text"/>
    <w:basedOn w:val="Normal"/>
    <w:rsid w:val="00DB65B0"/>
    <w:pPr>
      <w:ind w:left="720" w:right="720"/>
      <w:jc w:val="both"/>
    </w:pPr>
    <w:rPr>
      <w:rFonts w:ascii="Univers" w:hAnsi="Univers"/>
      <w:szCs w:val="20"/>
    </w:rPr>
  </w:style>
  <w:style w:type="paragraph" w:customStyle="1" w:styleId="Default">
    <w:name w:val="Default"/>
    <w:rsid w:val="007074C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D105DC"/>
    <w:pPr>
      <w:ind w:left="720"/>
      <w:contextualSpacing/>
    </w:pPr>
  </w:style>
  <w:style w:type="table" w:customStyle="1" w:styleId="TableGrid2">
    <w:name w:val="Table Grid2"/>
    <w:basedOn w:val="TableNormal"/>
    <w:next w:val="TableGrid"/>
    <w:uiPriority w:val="59"/>
    <w:rsid w:val="00677C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FFC"/>
    <w:pPr>
      <w:spacing w:before="100" w:beforeAutospacing="1" w:after="100" w:afterAutospacing="1"/>
    </w:pPr>
  </w:style>
  <w:style w:type="character" w:customStyle="1" w:styleId="apple-tab-span">
    <w:name w:val="apple-tab-span"/>
    <w:basedOn w:val="DefaultParagraphFont"/>
    <w:rsid w:val="00083FE5"/>
  </w:style>
  <w:style w:type="character" w:styleId="Strong">
    <w:name w:val="Strong"/>
    <w:basedOn w:val="DefaultParagraphFont"/>
    <w:uiPriority w:val="22"/>
    <w:qFormat/>
    <w:rsid w:val="00013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6840">
      <w:bodyDiv w:val="1"/>
      <w:marLeft w:val="0"/>
      <w:marRight w:val="0"/>
      <w:marTop w:val="0"/>
      <w:marBottom w:val="0"/>
      <w:divBdr>
        <w:top w:val="none" w:sz="0" w:space="0" w:color="auto"/>
        <w:left w:val="none" w:sz="0" w:space="0" w:color="auto"/>
        <w:bottom w:val="none" w:sz="0" w:space="0" w:color="auto"/>
        <w:right w:val="none" w:sz="0" w:space="0" w:color="auto"/>
      </w:divBdr>
    </w:div>
    <w:div w:id="572469418">
      <w:bodyDiv w:val="1"/>
      <w:marLeft w:val="0"/>
      <w:marRight w:val="0"/>
      <w:marTop w:val="0"/>
      <w:marBottom w:val="0"/>
      <w:divBdr>
        <w:top w:val="none" w:sz="0" w:space="0" w:color="auto"/>
        <w:left w:val="none" w:sz="0" w:space="0" w:color="auto"/>
        <w:bottom w:val="none" w:sz="0" w:space="0" w:color="auto"/>
        <w:right w:val="none" w:sz="0" w:space="0" w:color="auto"/>
      </w:divBdr>
    </w:div>
    <w:div w:id="640307882">
      <w:bodyDiv w:val="1"/>
      <w:marLeft w:val="0"/>
      <w:marRight w:val="0"/>
      <w:marTop w:val="0"/>
      <w:marBottom w:val="0"/>
      <w:divBdr>
        <w:top w:val="none" w:sz="0" w:space="0" w:color="auto"/>
        <w:left w:val="none" w:sz="0" w:space="0" w:color="auto"/>
        <w:bottom w:val="none" w:sz="0" w:space="0" w:color="auto"/>
        <w:right w:val="none" w:sz="0" w:space="0" w:color="auto"/>
      </w:divBdr>
    </w:div>
    <w:div w:id="657542923">
      <w:bodyDiv w:val="1"/>
      <w:marLeft w:val="0"/>
      <w:marRight w:val="0"/>
      <w:marTop w:val="0"/>
      <w:marBottom w:val="0"/>
      <w:divBdr>
        <w:top w:val="none" w:sz="0" w:space="0" w:color="auto"/>
        <w:left w:val="none" w:sz="0" w:space="0" w:color="auto"/>
        <w:bottom w:val="none" w:sz="0" w:space="0" w:color="auto"/>
        <w:right w:val="none" w:sz="0" w:space="0" w:color="auto"/>
      </w:divBdr>
    </w:div>
    <w:div w:id="780806366">
      <w:bodyDiv w:val="1"/>
      <w:marLeft w:val="0"/>
      <w:marRight w:val="0"/>
      <w:marTop w:val="0"/>
      <w:marBottom w:val="0"/>
      <w:divBdr>
        <w:top w:val="none" w:sz="0" w:space="0" w:color="auto"/>
        <w:left w:val="none" w:sz="0" w:space="0" w:color="auto"/>
        <w:bottom w:val="none" w:sz="0" w:space="0" w:color="auto"/>
        <w:right w:val="none" w:sz="0" w:space="0" w:color="auto"/>
      </w:divBdr>
    </w:div>
    <w:div w:id="882592882">
      <w:bodyDiv w:val="1"/>
      <w:marLeft w:val="0"/>
      <w:marRight w:val="0"/>
      <w:marTop w:val="0"/>
      <w:marBottom w:val="0"/>
      <w:divBdr>
        <w:top w:val="none" w:sz="0" w:space="0" w:color="auto"/>
        <w:left w:val="none" w:sz="0" w:space="0" w:color="auto"/>
        <w:bottom w:val="none" w:sz="0" w:space="0" w:color="auto"/>
        <w:right w:val="none" w:sz="0" w:space="0" w:color="auto"/>
      </w:divBdr>
    </w:div>
    <w:div w:id="1062754560">
      <w:bodyDiv w:val="1"/>
      <w:marLeft w:val="0"/>
      <w:marRight w:val="0"/>
      <w:marTop w:val="0"/>
      <w:marBottom w:val="0"/>
      <w:divBdr>
        <w:top w:val="none" w:sz="0" w:space="0" w:color="auto"/>
        <w:left w:val="none" w:sz="0" w:space="0" w:color="auto"/>
        <w:bottom w:val="none" w:sz="0" w:space="0" w:color="auto"/>
        <w:right w:val="none" w:sz="0" w:space="0" w:color="auto"/>
      </w:divBdr>
    </w:div>
    <w:div w:id="16660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664A-F7E6-416E-A298-9B885E21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5086</CharactersWithSpaces>
  <SharedDoc>false</SharedDoc>
  <HLinks>
    <vt:vector size="6" baseType="variant">
      <vt:variant>
        <vt:i4>262248</vt:i4>
      </vt:variant>
      <vt:variant>
        <vt:i4>0</vt:i4>
      </vt:variant>
      <vt:variant>
        <vt:i4>0</vt:i4>
      </vt:variant>
      <vt:variant>
        <vt:i4>5</vt:i4>
      </vt:variant>
      <vt:variant>
        <vt:lpwstr>mailto:John.McDowell@countyofnapa.org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Design Guidelines</dc:subject>
  <dc:creator>County of Napa</dc:creator>
  <cp:lastModifiedBy>Morrison, David</cp:lastModifiedBy>
  <cp:revision>2</cp:revision>
  <cp:lastPrinted>2016-02-24T16:33:00Z</cp:lastPrinted>
  <dcterms:created xsi:type="dcterms:W3CDTF">2016-02-25T19:10:00Z</dcterms:created>
  <dcterms:modified xsi:type="dcterms:W3CDTF">2016-02-25T19:10:00Z</dcterms:modified>
</cp:coreProperties>
</file>