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8" w:rsidRPr="006E51FF" w:rsidRDefault="00125360" w:rsidP="009173C3">
      <w:pPr>
        <w:ind w:left="864" w:right="864"/>
        <w:jc w:val="center"/>
        <w:rPr>
          <w:b/>
        </w:rPr>
      </w:pPr>
      <w:r>
        <w:rPr>
          <w:b/>
        </w:rPr>
        <w:t>RESOLUTION NO. 2015-70</w:t>
      </w:r>
    </w:p>
    <w:p w:rsidR="004717DD" w:rsidRPr="006E51FF" w:rsidRDefault="004717DD" w:rsidP="009173C3">
      <w:pPr>
        <w:ind w:left="864" w:right="864"/>
        <w:jc w:val="center"/>
        <w:rPr>
          <w:b/>
        </w:rPr>
      </w:pPr>
    </w:p>
    <w:p w:rsidR="00686C24" w:rsidRPr="00686C24" w:rsidRDefault="004717DD" w:rsidP="00FC152F">
      <w:pPr>
        <w:ind w:left="864" w:right="864"/>
        <w:jc w:val="both"/>
        <w:rPr>
          <w:b/>
        </w:rPr>
      </w:pPr>
      <w:r w:rsidRPr="006E51FF">
        <w:rPr>
          <w:b/>
        </w:rPr>
        <w:t xml:space="preserve">RESOLUTION OF THE BOARD OF SUPERVISORS OF </w:t>
      </w:r>
      <w:r w:rsidR="002E09F8">
        <w:rPr>
          <w:b/>
        </w:rPr>
        <w:t xml:space="preserve">NAPA </w:t>
      </w:r>
      <w:r w:rsidRPr="006E51FF">
        <w:rPr>
          <w:b/>
        </w:rPr>
        <w:t xml:space="preserve">COUNTY, STATE OF CALIFORNIA, REGARDING ADJUSTMENTS IN THE ALLOCATION OF PROPERTY TAXES AS A RESULT OF </w:t>
      </w:r>
      <w:r w:rsidR="007303E8">
        <w:rPr>
          <w:b/>
        </w:rPr>
        <w:t xml:space="preserve">THE ANNEXATION OF </w:t>
      </w:r>
      <w:r w:rsidRPr="006E51FF">
        <w:rPr>
          <w:b/>
        </w:rPr>
        <w:t>CERTAIN PROPERTY</w:t>
      </w:r>
      <w:r w:rsidR="004F4034">
        <w:rPr>
          <w:b/>
        </w:rPr>
        <w:t xml:space="preserve"> (</w:t>
      </w:r>
      <w:r w:rsidR="00686C24">
        <w:rPr>
          <w:b/>
        </w:rPr>
        <w:t xml:space="preserve">COMMONLY KNOWN AS </w:t>
      </w:r>
      <w:r w:rsidR="002E09F8">
        <w:rPr>
          <w:b/>
        </w:rPr>
        <w:t>CANYON ESTATES</w:t>
      </w:r>
      <w:r w:rsidR="004F4034">
        <w:rPr>
          <w:b/>
        </w:rPr>
        <w:t>)</w:t>
      </w:r>
      <w:r w:rsidR="004F4034" w:rsidRPr="006E51FF">
        <w:rPr>
          <w:b/>
        </w:rPr>
        <w:t xml:space="preserve"> </w:t>
      </w:r>
      <w:r w:rsidRPr="006E51FF">
        <w:rPr>
          <w:b/>
        </w:rPr>
        <w:t xml:space="preserve">TO THE CITY </w:t>
      </w:r>
      <w:r w:rsidR="007F00DC">
        <w:rPr>
          <w:b/>
        </w:rPr>
        <w:t xml:space="preserve">OF </w:t>
      </w:r>
      <w:r w:rsidR="00686C24">
        <w:rPr>
          <w:b/>
        </w:rPr>
        <w:t xml:space="preserve">AMERICAN CANYON </w:t>
      </w:r>
      <w:r w:rsidR="00686C24" w:rsidRPr="00686C24">
        <w:rPr>
          <w:b/>
        </w:rPr>
        <w:t>AND THE AMERICAN CANYON FIRE PROTECTION DISTRICT</w:t>
      </w:r>
    </w:p>
    <w:p w:rsidR="004717DD" w:rsidRPr="009173C3" w:rsidRDefault="004717DD" w:rsidP="004717DD">
      <w:pPr>
        <w:ind w:left="720" w:right="720" w:hanging="720"/>
      </w:pPr>
    </w:p>
    <w:p w:rsidR="00686C24" w:rsidRDefault="004717DD" w:rsidP="009173C3">
      <w:pPr>
        <w:rPr>
          <w:rFonts w:ascii="Times New Roman TUR" w:hAnsi="Times New Roman TUR"/>
        </w:rPr>
      </w:pPr>
      <w:r>
        <w:tab/>
      </w:r>
      <w:r w:rsidR="00686C24" w:rsidRPr="009874F1">
        <w:rPr>
          <w:rFonts w:ascii="Times New Roman TUR" w:hAnsi="Times New Roman TUR"/>
          <w:b/>
        </w:rPr>
        <w:t>WHEREAS</w:t>
      </w:r>
      <w:r w:rsidR="00686C24">
        <w:rPr>
          <w:rFonts w:ascii="Times New Roman TUR" w:hAnsi="Times New Roman TUR"/>
        </w:rPr>
        <w:t>, on July 3, 2008, the City of American Canyon (“City</w:t>
      </w:r>
      <w:r w:rsidR="0015036A">
        <w:rPr>
          <w:rFonts w:ascii="Times New Roman TUR" w:hAnsi="Times New Roman TUR"/>
        </w:rPr>
        <w:t>”)</w:t>
      </w:r>
      <w:r w:rsidR="00686C24">
        <w:rPr>
          <w:rFonts w:ascii="Times New Roman TUR" w:hAnsi="Times New Roman TUR"/>
        </w:rPr>
        <w:t xml:space="preserve"> and </w:t>
      </w:r>
      <w:r w:rsidR="009D4077">
        <w:rPr>
          <w:rFonts w:ascii="Times New Roman TUR" w:hAnsi="Times New Roman TUR"/>
        </w:rPr>
        <w:t>Napa County</w:t>
      </w:r>
      <w:r w:rsidR="00686C24">
        <w:rPr>
          <w:rFonts w:ascii="Times New Roman TUR" w:hAnsi="Times New Roman TUR"/>
        </w:rPr>
        <w:t xml:space="preserve"> (“County”) entered into County Agreement No. 7070/City Agreement N</w:t>
      </w:r>
      <w:r w:rsidR="009173C3">
        <w:rPr>
          <w:rFonts w:ascii="Times New Roman TUR" w:hAnsi="Times New Roman TUR"/>
        </w:rPr>
        <w:t xml:space="preserve">o. 2008-93 </w:t>
      </w:r>
      <w:r w:rsidR="00686C24">
        <w:rPr>
          <w:rFonts w:ascii="Times New Roman TUR" w:hAnsi="Times New Roman TUR"/>
        </w:rPr>
        <w:t>(hereafter “July 2008 Agreement”) relating to City’s urban growth boundary and other matters of mutual interest in the South County area; and</w:t>
      </w:r>
    </w:p>
    <w:p w:rsidR="00686C24" w:rsidRDefault="00686C24" w:rsidP="009173C3">
      <w:pPr>
        <w:ind w:firstLine="720"/>
        <w:rPr>
          <w:rFonts w:ascii="Times New Roman TUR" w:hAnsi="Times New Roman TUR"/>
        </w:rPr>
      </w:pPr>
    </w:p>
    <w:p w:rsidR="00686C24" w:rsidRDefault="00686C24" w:rsidP="009173C3">
      <w:pPr>
        <w:ind w:firstLine="720"/>
        <w:rPr>
          <w:rFonts w:ascii="Times New Roman TUR" w:hAnsi="Times New Roman TUR"/>
        </w:rPr>
      </w:pPr>
      <w:r w:rsidRPr="009874F1">
        <w:rPr>
          <w:rFonts w:ascii="Times New Roman TUR" w:hAnsi="Times New Roman TUR"/>
          <w:b/>
        </w:rPr>
        <w:t>WHEREAS</w:t>
      </w:r>
      <w:r>
        <w:rPr>
          <w:rFonts w:ascii="Times New Roman TUR" w:hAnsi="Times New Roman TUR"/>
        </w:rPr>
        <w:t xml:space="preserve">, the July 2008 Agreement contemplates inclusion of </w:t>
      </w:r>
      <w:r w:rsidR="00530306">
        <w:rPr>
          <w:rFonts w:ascii="Times New Roman TUR" w:hAnsi="Times New Roman TUR"/>
        </w:rPr>
        <w:t>the propert</w:t>
      </w:r>
      <w:r w:rsidR="00F57D53">
        <w:rPr>
          <w:rFonts w:ascii="Times New Roman TUR" w:hAnsi="Times New Roman TUR"/>
        </w:rPr>
        <w:t>y</w:t>
      </w:r>
      <w:r w:rsidR="00530306">
        <w:rPr>
          <w:rFonts w:ascii="Times New Roman TUR" w:hAnsi="Times New Roman TUR"/>
        </w:rPr>
        <w:t xml:space="preserve"> commonly known </w:t>
      </w:r>
      <w:r w:rsidR="00F57D53">
        <w:rPr>
          <w:rFonts w:ascii="Times New Roman TUR" w:hAnsi="Times New Roman TUR"/>
        </w:rPr>
        <w:t>as</w:t>
      </w:r>
      <w:r w:rsidR="00530306">
        <w:rPr>
          <w:rFonts w:ascii="Times New Roman TUR" w:hAnsi="Times New Roman TUR"/>
        </w:rPr>
        <w:t xml:space="preserve"> </w:t>
      </w:r>
      <w:r w:rsidR="00B93DBF">
        <w:rPr>
          <w:rFonts w:ascii="Times New Roman TUR" w:hAnsi="Times New Roman TUR"/>
        </w:rPr>
        <w:t>Canyon Estates</w:t>
      </w:r>
      <w:r w:rsidR="00530306">
        <w:rPr>
          <w:rFonts w:ascii="Times New Roman TUR" w:hAnsi="Times New Roman TUR"/>
        </w:rPr>
        <w:t xml:space="preserve"> </w:t>
      </w:r>
      <w:r w:rsidR="0015036A">
        <w:rPr>
          <w:rFonts w:ascii="Times New Roman TUR" w:hAnsi="Times New Roman TUR"/>
        </w:rPr>
        <w:t>and</w:t>
      </w:r>
      <w:r>
        <w:rPr>
          <w:rFonts w:ascii="Times New Roman TUR" w:hAnsi="Times New Roman TUR"/>
        </w:rPr>
        <w:t xml:space="preserve"> as more particularly described </w:t>
      </w:r>
      <w:r w:rsidR="0015036A">
        <w:rPr>
          <w:rFonts w:ascii="Times New Roman TUR" w:hAnsi="Times New Roman TUR"/>
        </w:rPr>
        <w:t xml:space="preserve">in </w:t>
      </w:r>
      <w:r w:rsidR="005913B1">
        <w:rPr>
          <w:rFonts w:ascii="Times New Roman TUR" w:hAnsi="Times New Roman TUR"/>
        </w:rPr>
        <w:t xml:space="preserve">the </w:t>
      </w:r>
      <w:r w:rsidR="00C0012A">
        <w:t xml:space="preserve">Property Tax Revenue Sharing Agreement </w:t>
      </w:r>
      <w:r w:rsidR="005913B1">
        <w:rPr>
          <w:rFonts w:ascii="Times New Roman TUR" w:hAnsi="Times New Roman TUR"/>
        </w:rPr>
        <w:t xml:space="preserve">attached hereto as </w:t>
      </w:r>
      <w:r w:rsidR="0015036A">
        <w:rPr>
          <w:rFonts w:ascii="Times New Roman TUR" w:hAnsi="Times New Roman TUR"/>
        </w:rPr>
        <w:t>Exhibit A</w:t>
      </w:r>
      <w:r>
        <w:rPr>
          <w:rFonts w:ascii="Times New Roman TUR" w:hAnsi="Times New Roman TUR"/>
        </w:rPr>
        <w:t>, in the City’s Sphere of Influence and wit</w:t>
      </w:r>
      <w:r w:rsidR="00C0012A">
        <w:rPr>
          <w:rFonts w:ascii="Times New Roman TUR" w:hAnsi="Times New Roman TUR"/>
        </w:rPr>
        <w:t>hin the City’s Urban Limit Line</w:t>
      </w:r>
      <w:r>
        <w:rPr>
          <w:rFonts w:ascii="Times New Roman TUR" w:hAnsi="Times New Roman TUR"/>
        </w:rPr>
        <w:t>; and</w:t>
      </w:r>
    </w:p>
    <w:p w:rsidR="00686C24" w:rsidRDefault="00686C24" w:rsidP="009173C3">
      <w:pPr>
        <w:ind w:firstLine="720"/>
        <w:rPr>
          <w:rFonts w:ascii="Times New Roman TUR" w:hAnsi="Times New Roman TUR"/>
        </w:rPr>
      </w:pPr>
      <w:r>
        <w:rPr>
          <w:rFonts w:ascii="Times New Roman TUR" w:hAnsi="Times New Roman TUR"/>
        </w:rPr>
        <w:tab/>
      </w:r>
    </w:p>
    <w:p w:rsidR="00686C24" w:rsidRDefault="00686C24" w:rsidP="009173C3">
      <w:pPr>
        <w:ind w:firstLine="720"/>
        <w:rPr>
          <w:rFonts w:ascii="Times New Roman TUR" w:hAnsi="Times New Roman TUR"/>
        </w:rPr>
      </w:pPr>
      <w:r w:rsidRPr="009874F1">
        <w:rPr>
          <w:rFonts w:ascii="Times New Roman TUR" w:hAnsi="Times New Roman TUR"/>
          <w:b/>
        </w:rPr>
        <w:t>WHEREAS</w:t>
      </w:r>
      <w:r>
        <w:rPr>
          <w:rFonts w:ascii="Times New Roman TUR" w:hAnsi="Times New Roman TUR"/>
        </w:rPr>
        <w:t xml:space="preserve">, section 99 of the Revenue and Taxation Code provides that negotiations be entered into between the County, the City and the </w:t>
      </w:r>
      <w:r w:rsidR="0015036A">
        <w:rPr>
          <w:rFonts w:ascii="Times New Roman TUR" w:hAnsi="Times New Roman TUR"/>
        </w:rPr>
        <w:t xml:space="preserve">American Canyon Fire Protection </w:t>
      </w:r>
      <w:r>
        <w:rPr>
          <w:rFonts w:ascii="Times New Roman TUR" w:hAnsi="Times New Roman TUR"/>
        </w:rPr>
        <w:t>District</w:t>
      </w:r>
      <w:r w:rsidR="0015036A">
        <w:rPr>
          <w:rFonts w:ascii="Times New Roman TUR" w:hAnsi="Times New Roman TUR"/>
        </w:rPr>
        <w:t xml:space="preserve"> (“District”)</w:t>
      </w:r>
      <w:r>
        <w:rPr>
          <w:rFonts w:ascii="Times New Roman TUR" w:hAnsi="Times New Roman TUR"/>
        </w:rPr>
        <w:t xml:space="preserve"> regarding adjustments in the allocation of property taxes whenever a “jurisdictional change” involving annexations are proposed; and</w:t>
      </w:r>
    </w:p>
    <w:p w:rsidR="00686C24" w:rsidRDefault="00686C24" w:rsidP="009173C3">
      <w:pPr>
        <w:ind w:firstLine="720"/>
        <w:rPr>
          <w:rFonts w:ascii="Times New Roman TUR" w:hAnsi="Times New Roman TUR"/>
        </w:rPr>
      </w:pPr>
    </w:p>
    <w:p w:rsidR="00686C24" w:rsidRDefault="00686C24" w:rsidP="009173C3">
      <w:pPr>
        <w:ind w:firstLine="720"/>
        <w:rPr>
          <w:rFonts w:ascii="Times New Roman TUR" w:hAnsi="Times New Roman TUR"/>
        </w:rPr>
      </w:pPr>
      <w:r w:rsidRPr="009874F1">
        <w:rPr>
          <w:rFonts w:ascii="Times New Roman TUR" w:hAnsi="Times New Roman TUR"/>
          <w:b/>
        </w:rPr>
        <w:t>WHEREAS</w:t>
      </w:r>
      <w:r>
        <w:rPr>
          <w:rFonts w:ascii="Times New Roman TUR" w:hAnsi="Times New Roman TUR"/>
        </w:rPr>
        <w:t xml:space="preserve">, Revenue and Taxation Code section 99(b)(6) provides that the Executive Officer </w:t>
      </w:r>
      <w:r w:rsidR="0015036A">
        <w:rPr>
          <w:rFonts w:ascii="Times New Roman TUR" w:hAnsi="Times New Roman TUR"/>
        </w:rPr>
        <w:t xml:space="preserve">of the Local Agency Formation </w:t>
      </w:r>
      <w:r w:rsidR="009D4077">
        <w:rPr>
          <w:rFonts w:ascii="Times New Roman TUR" w:hAnsi="Times New Roman TUR"/>
        </w:rPr>
        <w:t>Commission</w:t>
      </w:r>
      <w:r w:rsidR="0015036A">
        <w:rPr>
          <w:rFonts w:ascii="Times New Roman TUR" w:hAnsi="Times New Roman TUR"/>
        </w:rPr>
        <w:t xml:space="preserve"> (“</w:t>
      </w:r>
      <w:r w:rsidR="009D4077">
        <w:rPr>
          <w:rFonts w:ascii="Times New Roman TUR" w:hAnsi="Times New Roman TUR"/>
        </w:rPr>
        <w:t>LAFCO</w:t>
      </w:r>
      <w:r w:rsidR="0015036A">
        <w:rPr>
          <w:rFonts w:ascii="Times New Roman TUR" w:hAnsi="Times New Roman TUR"/>
        </w:rPr>
        <w:t xml:space="preserve">”) </w:t>
      </w:r>
      <w:r>
        <w:rPr>
          <w:rFonts w:ascii="Times New Roman TUR" w:hAnsi="Times New Roman TUR"/>
        </w:rPr>
        <w:t>shall not issue a Certificate of Filing pursuant to section 56828 of the Government Code until the City</w:t>
      </w:r>
      <w:r w:rsidR="0015036A">
        <w:rPr>
          <w:rFonts w:ascii="Times New Roman TUR" w:hAnsi="Times New Roman TUR"/>
        </w:rPr>
        <w:t>, District</w:t>
      </w:r>
      <w:r>
        <w:rPr>
          <w:rFonts w:ascii="Times New Roman TUR" w:hAnsi="Times New Roman TUR"/>
        </w:rPr>
        <w:t xml:space="preserve"> and County included in the property tax revenue exchange negotiation present </w:t>
      </w:r>
      <w:r w:rsidR="0015036A">
        <w:rPr>
          <w:rFonts w:ascii="Times New Roman TUR" w:hAnsi="Times New Roman TUR"/>
        </w:rPr>
        <w:t>r</w:t>
      </w:r>
      <w:r>
        <w:rPr>
          <w:rFonts w:ascii="Times New Roman TUR" w:hAnsi="Times New Roman TUR"/>
        </w:rPr>
        <w:t>esolutions adopted by each entity whereby each entity agrees to accept the exchange of property tax revenues; and</w:t>
      </w:r>
    </w:p>
    <w:p w:rsidR="00686C24" w:rsidRDefault="00686C24" w:rsidP="00305682">
      <w:pPr>
        <w:rPr>
          <w:rFonts w:ascii="Times New Roman TUR" w:hAnsi="Times New Roman TUR"/>
        </w:rPr>
      </w:pPr>
    </w:p>
    <w:p w:rsidR="00686C24" w:rsidRDefault="00686C24" w:rsidP="009173C3">
      <w:pPr>
        <w:ind w:firstLine="720"/>
        <w:rPr>
          <w:rFonts w:ascii="Times New Roman TUR" w:hAnsi="Times New Roman TUR"/>
        </w:rPr>
      </w:pPr>
      <w:r w:rsidRPr="009874F1">
        <w:rPr>
          <w:rFonts w:ascii="Times New Roman TUR" w:hAnsi="Times New Roman TUR"/>
          <w:b/>
        </w:rPr>
        <w:t>WHEREAS</w:t>
      </w:r>
      <w:r>
        <w:rPr>
          <w:rFonts w:ascii="Times New Roman TUR" w:hAnsi="Times New Roman TUR"/>
        </w:rPr>
        <w:t xml:space="preserve">, </w:t>
      </w:r>
      <w:r w:rsidR="00C0012A">
        <w:rPr>
          <w:rFonts w:ascii="Times New Roman TUR" w:hAnsi="Times New Roman TUR"/>
        </w:rPr>
        <w:t xml:space="preserve">the </w:t>
      </w:r>
      <w:r>
        <w:rPr>
          <w:rFonts w:ascii="Times New Roman TUR" w:hAnsi="Times New Roman TUR"/>
        </w:rPr>
        <w:t>City, District and County, through their respective staff representatives, negotiated a proposed agreement regarding</w:t>
      </w:r>
      <w:r w:rsidR="007A0B96">
        <w:rPr>
          <w:rFonts w:ascii="Times New Roman TUR" w:hAnsi="Times New Roman TUR"/>
        </w:rPr>
        <w:t xml:space="preserve">, among other things, </w:t>
      </w:r>
      <w:r>
        <w:rPr>
          <w:rFonts w:ascii="Times New Roman TUR" w:hAnsi="Times New Roman TUR"/>
        </w:rPr>
        <w:t xml:space="preserve"> adjustments in the allocation of property taxes as a result of the contemplated annexation</w:t>
      </w:r>
      <w:r w:rsidR="00C0012A">
        <w:rPr>
          <w:rFonts w:ascii="Times New Roman TUR" w:hAnsi="Times New Roman TUR"/>
        </w:rPr>
        <w:t xml:space="preserve"> of the </w:t>
      </w:r>
      <w:r w:rsidR="00F57D53">
        <w:rPr>
          <w:rFonts w:ascii="Times New Roman TUR" w:hAnsi="Times New Roman TUR"/>
        </w:rPr>
        <w:t>Canyon Estates property</w:t>
      </w:r>
      <w:r w:rsidR="00C0012A">
        <w:rPr>
          <w:rFonts w:ascii="Times New Roman TUR" w:hAnsi="Times New Roman TUR"/>
        </w:rPr>
        <w:t xml:space="preserve"> to the City and District</w:t>
      </w:r>
      <w:r>
        <w:rPr>
          <w:rFonts w:ascii="Times New Roman TUR" w:hAnsi="Times New Roman TUR"/>
        </w:rPr>
        <w:t>; and</w:t>
      </w:r>
    </w:p>
    <w:p w:rsidR="006E51FF" w:rsidRDefault="006E51FF" w:rsidP="009173C3"/>
    <w:p w:rsidR="006E51FF" w:rsidRDefault="006E51FF" w:rsidP="00C0012A">
      <w:r>
        <w:tab/>
      </w:r>
      <w:r w:rsidRPr="006E51FF">
        <w:rPr>
          <w:b/>
        </w:rPr>
        <w:t>WHEREAS</w:t>
      </w:r>
      <w:r>
        <w:t xml:space="preserve">, approving the proposed </w:t>
      </w:r>
      <w:r w:rsidR="007A0B96">
        <w:t>A</w:t>
      </w:r>
      <w:r>
        <w:t xml:space="preserve">greement is in </w:t>
      </w:r>
      <w:r w:rsidR="00F468BB">
        <w:t>the best interest of the County.</w:t>
      </w:r>
      <w:r>
        <w:t xml:space="preserve"> </w:t>
      </w:r>
    </w:p>
    <w:p w:rsidR="006E51FF" w:rsidRDefault="006E51FF" w:rsidP="009173C3">
      <w:pPr>
        <w:ind w:firstLine="720"/>
      </w:pPr>
    </w:p>
    <w:p w:rsidR="00F468BB" w:rsidRDefault="006E51FF" w:rsidP="009173C3">
      <w:pPr>
        <w:ind w:firstLine="720"/>
      </w:pPr>
      <w:r>
        <w:rPr>
          <w:b/>
        </w:rPr>
        <w:t>NOW, THEREFORE, BE IT RESOLVED</w:t>
      </w:r>
      <w:r>
        <w:t xml:space="preserve"> by the Board of Supervisors of </w:t>
      </w:r>
      <w:r w:rsidR="009D4077">
        <w:t>Napa County</w:t>
      </w:r>
      <w:r>
        <w:t xml:space="preserve">, State of California, in accordance with Revenue and Taxation Code section 99, </w:t>
      </w:r>
      <w:r w:rsidR="00B93DBF">
        <w:t>that</w:t>
      </w:r>
      <w:r w:rsidR="0015036A">
        <w:t xml:space="preserve"> </w:t>
      </w:r>
      <w:r w:rsidR="00686C24">
        <w:t xml:space="preserve">the terms of the </w:t>
      </w:r>
      <w:r w:rsidR="00C0012A">
        <w:t xml:space="preserve">Property Tax Revenue Sharing Agreement </w:t>
      </w:r>
      <w:r w:rsidR="00686C24">
        <w:t>attached hereto as Exhibit A</w:t>
      </w:r>
      <w:r w:rsidR="00B93DBF">
        <w:t xml:space="preserve"> be adopted</w:t>
      </w:r>
      <w:r w:rsidR="00686C24">
        <w:t>, to be</w:t>
      </w:r>
      <w:r>
        <w:t xml:space="preserve"> effective upon the recordation of the Executive Officer’s Certificate of Completion for the subject annexation</w:t>
      </w:r>
      <w:r w:rsidR="00686C24">
        <w:t>s</w:t>
      </w:r>
      <w:r w:rsidR="00B93DBF">
        <w:t>,</w:t>
      </w:r>
      <w:r w:rsidR="00686C24">
        <w:t xml:space="preserve"> and </w:t>
      </w:r>
      <w:r w:rsidR="00B93DBF">
        <w:t xml:space="preserve">the Board hereby </w:t>
      </w:r>
      <w:r w:rsidR="00686C24">
        <w:t xml:space="preserve">authorizes its Chair to sign the attached </w:t>
      </w:r>
      <w:r w:rsidR="00C0012A">
        <w:t>Property Tax Revenue Sharing Agreement</w:t>
      </w:r>
      <w:r w:rsidR="00686C24">
        <w:t>.</w:t>
      </w:r>
    </w:p>
    <w:p w:rsidR="00F468BB" w:rsidRDefault="00F468BB" w:rsidP="009173C3">
      <w:pPr>
        <w:ind w:right="720"/>
      </w:pPr>
    </w:p>
    <w:p w:rsidR="00C0012A" w:rsidRDefault="00C65025" w:rsidP="009173C3">
      <w:r>
        <w:tab/>
      </w:r>
      <w:r w:rsidR="00C0012A">
        <w:rPr>
          <w:b/>
        </w:rPr>
        <w:t xml:space="preserve">BE IT FURTHER RESOLVED </w:t>
      </w:r>
      <w:r w:rsidR="00C0012A">
        <w:t>that the County  hereby agrees to accept the exchange of property taxes as provided in the Property Tax Revenue Sharing Agreement as follows:</w:t>
      </w:r>
    </w:p>
    <w:p w:rsidR="00C0012A" w:rsidRDefault="00C0012A" w:rsidP="009173C3"/>
    <w:p w:rsidR="00C0012A" w:rsidRPr="00C0012A" w:rsidRDefault="00C0012A" w:rsidP="009173C3">
      <w:r>
        <w:t>T</w:t>
      </w:r>
      <w:r w:rsidRPr="00C0012A">
        <w:t>he City receives forty-seven and a half percent (47.5%) of the County share of the one percent (1%) property tax rate increment applicable to the annexed lands; and five percent (5%) of the County share shall be reallocated to the District.  The remaining forty-seven and a half percent (47.5%) of the preexisting County share shall be retained by County. The City may request a proper accounting of any property tax distribution provided herein and the County shall make such a report in a timely manner.</w:t>
      </w:r>
      <w:bookmarkStart w:id="0" w:name="_GoBack"/>
      <w:bookmarkEnd w:id="0"/>
    </w:p>
    <w:p w:rsidR="00C0012A" w:rsidRDefault="00C0012A" w:rsidP="009173C3">
      <w:pPr>
        <w:rPr>
          <w:b/>
        </w:rPr>
      </w:pPr>
    </w:p>
    <w:p w:rsidR="00C65025" w:rsidRDefault="00C65025" w:rsidP="00C0012A">
      <w:pPr>
        <w:ind w:firstLine="720"/>
      </w:pPr>
      <w:r>
        <w:rPr>
          <w:b/>
        </w:rPr>
        <w:t xml:space="preserve">BE IT FURTHER RESOLVED </w:t>
      </w:r>
      <w:r>
        <w:t xml:space="preserve">that </w:t>
      </w:r>
      <w:r w:rsidR="007A0B96">
        <w:t>the exchange of property taxes</w:t>
      </w:r>
      <w:r w:rsidR="00C0012A">
        <w:t xml:space="preserve"> </w:t>
      </w:r>
      <w:r>
        <w:t>shall be</w:t>
      </w:r>
      <w:r w:rsidR="0015036A">
        <w:t xml:space="preserve"> conditioned upon adoption </w:t>
      </w:r>
      <w:r w:rsidR="00B93DBF">
        <w:t xml:space="preserve">of </w:t>
      </w:r>
      <w:r w:rsidR="007A0B96">
        <w:t xml:space="preserve">resolutions and adoption </w:t>
      </w:r>
      <w:r w:rsidR="0015036A">
        <w:t xml:space="preserve">of </w:t>
      </w:r>
      <w:r w:rsidR="00C0012A">
        <w:t xml:space="preserve">the </w:t>
      </w:r>
      <w:r w:rsidR="007A0B96">
        <w:t>Property Tax Revenue Sharing Agreement</w:t>
      </w:r>
      <w:r w:rsidR="00C0012A">
        <w:t xml:space="preserve"> </w:t>
      </w:r>
      <w:r>
        <w:t xml:space="preserve">by the City </w:t>
      </w:r>
      <w:r w:rsidR="00686C24">
        <w:t>and District</w:t>
      </w:r>
      <w:r>
        <w:t xml:space="preserve"> agreeing to the exchange of property taxes as provided herein.</w:t>
      </w:r>
    </w:p>
    <w:p w:rsidR="00C65025" w:rsidRDefault="00C65025" w:rsidP="009173C3"/>
    <w:p w:rsidR="00C65025" w:rsidRPr="00C65025" w:rsidRDefault="00C65025" w:rsidP="009173C3">
      <w:r>
        <w:tab/>
      </w:r>
      <w:r>
        <w:rPr>
          <w:b/>
        </w:rPr>
        <w:t>BE IT FURTHER RESOLVED</w:t>
      </w:r>
      <w:r>
        <w:t xml:space="preserve"> that the Clerk of the Board is hereby directed to immediately forward a copy of this Resolution to the Auditor-Controller for </w:t>
      </w:r>
      <w:r w:rsidR="009D4077">
        <w:t>Napa County</w:t>
      </w:r>
      <w:r>
        <w:t>, the Clerk of the City Council of the City</w:t>
      </w:r>
      <w:r w:rsidR="0015036A">
        <w:t>,</w:t>
      </w:r>
      <w:r w:rsidR="00686C24">
        <w:t xml:space="preserve"> the Board of </w:t>
      </w:r>
      <w:r w:rsidR="0015036A">
        <w:t xml:space="preserve">Directors of </w:t>
      </w:r>
      <w:r w:rsidR="00686C24">
        <w:t>the District</w:t>
      </w:r>
      <w:r>
        <w:t xml:space="preserve">, and the Executive Officer of </w:t>
      </w:r>
      <w:r w:rsidR="009D4077">
        <w:t>LAFCO</w:t>
      </w:r>
      <w:r>
        <w:t>.</w:t>
      </w:r>
    </w:p>
    <w:p w:rsidR="00C65025" w:rsidRDefault="00C65025" w:rsidP="009173C3"/>
    <w:p w:rsidR="00C65025" w:rsidRDefault="00C65025" w:rsidP="009173C3">
      <w:r>
        <w:tab/>
      </w:r>
      <w:r>
        <w:rPr>
          <w:b/>
        </w:rPr>
        <w:t xml:space="preserve">BE IT FURTHER RESOLVED </w:t>
      </w:r>
      <w:r>
        <w:t xml:space="preserve">that in the event </w:t>
      </w:r>
      <w:r w:rsidR="00C0012A">
        <w:t xml:space="preserve">the </w:t>
      </w:r>
      <w:r>
        <w:t xml:space="preserve"> </w:t>
      </w:r>
      <w:r w:rsidR="00C0012A">
        <w:t xml:space="preserve">Property Tax Revenue Sharing Agreement </w:t>
      </w:r>
      <w:r>
        <w:t>cannot legally be implemented as a consequence of state legislation or appellate court decision, this Board of Supervisors reserve</w:t>
      </w:r>
      <w:r w:rsidR="00734D54">
        <w:t>s the right to negotiate a new property tax exchange a</w:t>
      </w:r>
      <w:r>
        <w:t xml:space="preserve">greement with the City </w:t>
      </w:r>
      <w:r w:rsidR="00686C24">
        <w:t>and District</w:t>
      </w:r>
      <w:r>
        <w:t>.</w:t>
      </w:r>
    </w:p>
    <w:p w:rsidR="00C65025" w:rsidRDefault="00C65025" w:rsidP="00D77F2F"/>
    <w:p w:rsidR="00C65025" w:rsidRDefault="00C65025" w:rsidP="00D77F2F">
      <w:pPr>
        <w:tabs>
          <w:tab w:val="left" w:pos="0"/>
        </w:tabs>
        <w:suppressAutoHyphens/>
        <w:rPr>
          <w:spacing w:val="-2"/>
        </w:rPr>
      </w:pPr>
      <w:r>
        <w:rPr>
          <w:b/>
          <w:spacing w:val="-2"/>
        </w:rPr>
        <w:tab/>
        <w:t>THE FOREGOING RESOLUTION WAS DULY AND REGULARLY ADOPTED</w:t>
      </w:r>
      <w:r>
        <w:rPr>
          <w:spacing w:val="-2"/>
        </w:rPr>
        <w:t xml:space="preserve"> by the Board of Supervisors of </w:t>
      </w:r>
      <w:r w:rsidR="009D4077">
        <w:rPr>
          <w:spacing w:val="-2"/>
        </w:rPr>
        <w:t>Napa County</w:t>
      </w:r>
      <w:r>
        <w:rPr>
          <w:spacing w:val="-2"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spacing w:val="-2"/>
            </w:rPr>
            <w:t>California</w:t>
          </w:r>
        </w:smartTag>
      </w:smartTag>
      <w:r>
        <w:rPr>
          <w:spacing w:val="-2"/>
        </w:rPr>
        <w:t xml:space="preserve">, at a regular meeting of the Board held on the </w:t>
      </w:r>
      <w:r w:rsidR="00125360">
        <w:rPr>
          <w:spacing w:val="-2"/>
        </w:rPr>
        <w:t>2</w:t>
      </w:r>
      <w:r w:rsidR="00125360">
        <w:rPr>
          <w:spacing w:val="-2"/>
          <w:vertAlign w:val="superscript"/>
        </w:rPr>
        <w:t>nd</w:t>
      </w:r>
      <w:r>
        <w:rPr>
          <w:spacing w:val="-2"/>
        </w:rPr>
        <w:t xml:space="preserve"> day of </w:t>
      </w:r>
      <w:r w:rsidR="00125360">
        <w:rPr>
          <w:spacing w:val="-2"/>
        </w:rPr>
        <w:t>June, 2015</w:t>
      </w:r>
      <w:r>
        <w:rPr>
          <w:spacing w:val="-2"/>
        </w:rPr>
        <w:t>, by the following vote:</w:t>
      </w:r>
    </w:p>
    <w:p w:rsidR="00125360" w:rsidRDefault="00125360" w:rsidP="00125360">
      <w:pPr>
        <w:tabs>
          <w:tab w:val="left" w:pos="270"/>
          <w:tab w:val="left" w:pos="1440"/>
          <w:tab w:val="left" w:pos="2880"/>
          <w:tab w:val="left" w:pos="4320"/>
          <w:tab w:val="left" w:pos="5040"/>
        </w:tabs>
        <w:suppressAutoHyphens/>
        <w:spacing w:before="200"/>
      </w:pPr>
      <w:r>
        <w:rPr>
          <w:spacing w:val="-2"/>
        </w:rPr>
        <w:tab/>
      </w:r>
      <w:r w:rsidR="00C65025">
        <w:rPr>
          <w:spacing w:val="-2"/>
        </w:rPr>
        <w:t>AYES:</w:t>
      </w:r>
      <w:r w:rsidR="00C65025">
        <w:rPr>
          <w:spacing w:val="-2"/>
        </w:rPr>
        <w:tab/>
        <w:t xml:space="preserve">SUPERVISORS   </w:t>
      </w:r>
      <w:r w:rsidR="00C65025">
        <w:rPr>
          <w:spacing w:val="-2"/>
        </w:rPr>
        <w:tab/>
      </w:r>
      <w:r>
        <w:t xml:space="preserve">WAGENKNECHT, CALDWELL, PEDROZA </w:t>
      </w:r>
    </w:p>
    <w:p w:rsidR="00125360" w:rsidRDefault="00125360" w:rsidP="00095FF2">
      <w:pPr>
        <w:tabs>
          <w:tab w:val="left" w:pos="0"/>
          <w:tab w:val="left" w:pos="1440"/>
          <w:tab w:val="left" w:pos="2880"/>
          <w:tab w:val="left" w:pos="4320"/>
          <w:tab w:val="left" w:pos="5040"/>
        </w:tabs>
        <w:suppressAutoHyphens/>
        <w:rPr>
          <w:spacing w:val="-2"/>
        </w:rPr>
      </w:pPr>
      <w:r>
        <w:tab/>
      </w:r>
      <w:r>
        <w:tab/>
      </w:r>
      <w:r>
        <w:tab/>
        <w:t>a</w:t>
      </w:r>
      <w:r>
        <w:t>nd DILLON</w:t>
      </w:r>
      <w:r w:rsidR="00C65025">
        <w:rPr>
          <w:spacing w:val="-2"/>
        </w:rPr>
        <w:t xml:space="preserve">    </w:t>
      </w:r>
    </w:p>
    <w:p w:rsidR="00C65025" w:rsidRDefault="00125360" w:rsidP="00125360">
      <w:pPr>
        <w:tabs>
          <w:tab w:val="left" w:pos="270"/>
          <w:tab w:val="left" w:pos="1440"/>
          <w:tab w:val="left" w:pos="2880"/>
          <w:tab w:val="left" w:pos="4320"/>
          <w:tab w:val="left" w:pos="5040"/>
        </w:tabs>
        <w:suppressAutoHyphens/>
        <w:spacing w:before="200"/>
        <w:rPr>
          <w:spacing w:val="-2"/>
        </w:rPr>
      </w:pPr>
      <w:r>
        <w:rPr>
          <w:spacing w:val="-2"/>
        </w:rPr>
        <w:tab/>
      </w:r>
      <w:r w:rsidR="00C65025">
        <w:rPr>
          <w:spacing w:val="-2"/>
        </w:rPr>
        <w:t>NOES:</w:t>
      </w:r>
      <w:r w:rsidR="00C65025">
        <w:rPr>
          <w:spacing w:val="-2"/>
        </w:rPr>
        <w:tab/>
        <w:t xml:space="preserve">SUPERVISORS   </w:t>
      </w:r>
      <w:r w:rsidR="00C65025">
        <w:rPr>
          <w:spacing w:val="-2"/>
        </w:rPr>
        <w:tab/>
      </w:r>
      <w:r>
        <w:rPr>
          <w:spacing w:val="-2"/>
        </w:rPr>
        <w:t>NONE</w:t>
      </w:r>
    </w:p>
    <w:p w:rsidR="00C65025" w:rsidRDefault="00125360" w:rsidP="00125360">
      <w:pPr>
        <w:tabs>
          <w:tab w:val="left" w:pos="270"/>
          <w:tab w:val="left" w:pos="1440"/>
          <w:tab w:val="left" w:pos="2880"/>
          <w:tab w:val="left" w:pos="4320"/>
          <w:tab w:val="left" w:pos="5040"/>
        </w:tabs>
        <w:suppressAutoHyphens/>
        <w:spacing w:before="200"/>
        <w:rPr>
          <w:spacing w:val="-2"/>
        </w:rPr>
      </w:pPr>
      <w:r>
        <w:rPr>
          <w:spacing w:val="-2"/>
        </w:rPr>
        <w:tab/>
      </w:r>
      <w:r w:rsidR="009D4077">
        <w:rPr>
          <w:spacing w:val="-2"/>
        </w:rPr>
        <w:t xml:space="preserve">ABSENT: </w:t>
      </w:r>
      <w:r w:rsidR="009D4077">
        <w:rPr>
          <w:spacing w:val="-2"/>
        </w:rPr>
        <w:tab/>
      </w:r>
      <w:r w:rsidR="00C65025">
        <w:rPr>
          <w:spacing w:val="-2"/>
        </w:rPr>
        <w:t xml:space="preserve">SUPERVISORS   </w:t>
      </w:r>
      <w:r w:rsidR="00C65025">
        <w:rPr>
          <w:spacing w:val="-2"/>
        </w:rPr>
        <w:tab/>
      </w:r>
      <w:r>
        <w:rPr>
          <w:spacing w:val="-2"/>
        </w:rPr>
        <w:t>LUCE</w:t>
      </w:r>
    </w:p>
    <w:p w:rsidR="00C65025" w:rsidRDefault="009D4077" w:rsidP="009D4077">
      <w:pPr>
        <w:tabs>
          <w:tab w:val="left" w:pos="0"/>
          <w:tab w:val="left" w:pos="1440"/>
          <w:tab w:val="left" w:pos="4320"/>
          <w:tab w:val="left" w:pos="5040"/>
        </w:tabs>
        <w:suppressAutoHyphens/>
        <w:spacing w:before="20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__________________________</w:t>
      </w:r>
      <w:r w:rsidRPr="009D4077">
        <w:rPr>
          <w:spacing w:val="-2"/>
          <w:u w:val="single"/>
        </w:rPr>
        <w:tab/>
      </w:r>
      <w:r w:rsidRPr="009D4077">
        <w:rPr>
          <w:spacing w:val="-2"/>
          <w:u w:val="single"/>
        </w:rPr>
        <w:tab/>
      </w:r>
      <w:r>
        <w:rPr>
          <w:spacing w:val="-2"/>
        </w:rPr>
        <w:t>________</w:t>
      </w:r>
    </w:p>
    <w:p w:rsidR="00C65025" w:rsidRDefault="009D4077" w:rsidP="009D4077">
      <w:pPr>
        <w:tabs>
          <w:tab w:val="left" w:pos="0"/>
          <w:tab w:val="left" w:pos="3420"/>
          <w:tab w:val="left" w:pos="4320"/>
        </w:tabs>
        <w:suppressAutoHyphens/>
        <w:ind w:left="3600"/>
        <w:rPr>
          <w:spacing w:val="-2"/>
        </w:rPr>
      </w:pPr>
      <w:r>
        <w:rPr>
          <w:spacing w:val="-2"/>
        </w:rPr>
        <w:tab/>
        <w:t xml:space="preserve"> </w:t>
      </w:r>
      <w:r w:rsidR="00C0012A">
        <w:rPr>
          <w:spacing w:val="-2"/>
        </w:rPr>
        <w:t>DIANE DILLON</w:t>
      </w:r>
      <w:r w:rsidR="00C65025">
        <w:rPr>
          <w:spacing w:val="-2"/>
        </w:rPr>
        <w:t xml:space="preserve">, Chair </w:t>
      </w:r>
      <w:r>
        <w:rPr>
          <w:spacing w:val="-2"/>
        </w:rPr>
        <w:t xml:space="preserve">of the Board of </w:t>
      </w:r>
      <w:r w:rsidR="00C65025">
        <w:rPr>
          <w:spacing w:val="-2"/>
        </w:rPr>
        <w:t>Supervisors</w:t>
      </w:r>
    </w:p>
    <w:p w:rsidR="009D4077" w:rsidRDefault="009D4077" w:rsidP="009173C3">
      <w:pPr>
        <w:tabs>
          <w:tab w:val="left" w:pos="0"/>
          <w:tab w:val="left" w:pos="3420"/>
        </w:tabs>
        <w:suppressAutoHyphens/>
        <w:rPr>
          <w:spacing w:val="-2"/>
        </w:rPr>
      </w:pPr>
    </w:p>
    <w:p w:rsidR="009D4077" w:rsidRDefault="009D4077" w:rsidP="009173C3">
      <w:pPr>
        <w:tabs>
          <w:tab w:val="left" w:pos="0"/>
          <w:tab w:val="left" w:pos="3420"/>
        </w:tabs>
        <w:suppressAutoHyphens/>
        <w:rPr>
          <w:spacing w:val="-2"/>
        </w:rPr>
      </w:pPr>
    </w:p>
    <w:p w:rsidR="009D4077" w:rsidRDefault="009D4077" w:rsidP="009173C3">
      <w:pPr>
        <w:tabs>
          <w:tab w:val="left" w:pos="0"/>
          <w:tab w:val="left" w:pos="3420"/>
        </w:tabs>
        <w:suppressAutoHyphens/>
        <w:rPr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721"/>
      </w:tblGrid>
      <w:tr w:rsidR="009D4077" w:rsidTr="00696E82">
        <w:tc>
          <w:tcPr>
            <w:tcW w:w="1557" w:type="pct"/>
            <w:shd w:val="clear" w:color="auto" w:fill="auto"/>
          </w:tcPr>
          <w:p w:rsidR="009D4077" w:rsidRPr="00C2085E" w:rsidRDefault="009D4077" w:rsidP="00696E82">
            <w:pPr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APPROVED AS TO FORM</w:t>
            </w:r>
          </w:p>
          <w:p w:rsidR="009D4077" w:rsidRPr="00C2085E" w:rsidRDefault="009D4077" w:rsidP="00696E82">
            <w:pPr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Office of County Counsel</w:t>
            </w:r>
          </w:p>
          <w:p w:rsidR="009D4077" w:rsidRPr="00C2085E" w:rsidRDefault="009D4077" w:rsidP="00696E82">
            <w:pPr>
              <w:rPr>
                <w:rFonts w:eastAsia="Calibri"/>
                <w:sz w:val="20"/>
                <w:szCs w:val="20"/>
              </w:rPr>
            </w:pPr>
          </w:p>
          <w:p w:rsidR="009D4077" w:rsidRPr="00C2085E" w:rsidRDefault="009D4077" w:rsidP="00573A86">
            <w:pPr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By:</w:t>
            </w:r>
            <w:r w:rsidR="00235359">
              <w:rPr>
                <w:rFonts w:eastAsia="Calibri"/>
                <w:sz w:val="20"/>
                <w:szCs w:val="20"/>
              </w:rPr>
              <w:t xml:space="preserve"> </w:t>
            </w:r>
            <w:r w:rsidR="00235359">
              <w:rPr>
                <w:rFonts w:eastAsia="Calibri"/>
                <w:i/>
                <w:sz w:val="20"/>
                <w:szCs w:val="20"/>
                <w:u w:val="single"/>
              </w:rPr>
              <w:t>Silva Darbinian (e-signature)</w:t>
            </w:r>
            <w:r w:rsidR="00573A86" w:rsidRPr="00573A86">
              <w:rPr>
                <w:rFonts w:eastAsia="Calibri"/>
                <w:sz w:val="20"/>
                <w:szCs w:val="20"/>
              </w:rPr>
              <w:tab/>
            </w:r>
          </w:p>
          <w:p w:rsidR="009D4077" w:rsidRPr="00C2085E" w:rsidRDefault="009D4077" w:rsidP="002353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Date:</w:t>
            </w:r>
            <w:r w:rsidR="00235359">
              <w:rPr>
                <w:rFonts w:eastAsia="Calibri"/>
                <w:sz w:val="20"/>
                <w:szCs w:val="20"/>
                <w:u w:val="single"/>
              </w:rPr>
              <w:t>May 26, 2015</w:t>
            </w:r>
          </w:p>
        </w:tc>
        <w:tc>
          <w:tcPr>
            <w:tcW w:w="1557" w:type="pct"/>
            <w:shd w:val="clear" w:color="auto" w:fill="auto"/>
          </w:tcPr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ATTEST: GLADYS I. COIL</w:t>
            </w: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Clerk of the Board of Supervisors</w:t>
            </w: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z w:val="20"/>
                <w:szCs w:val="20"/>
              </w:rPr>
              <w:t>By:_____________________</w:t>
            </w: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6" w:type="pct"/>
            <w:shd w:val="clear" w:color="auto" w:fill="auto"/>
          </w:tcPr>
          <w:p w:rsidR="009D4077" w:rsidRPr="00C2085E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C2085E">
              <w:rPr>
                <w:rFonts w:eastAsia="Calibri"/>
                <w:spacing w:val="-3"/>
                <w:sz w:val="20"/>
                <w:szCs w:val="20"/>
              </w:rPr>
              <w:t xml:space="preserve">APPROVED BY THE NAPA COUNTY </w:t>
            </w:r>
          </w:p>
          <w:p w:rsidR="009D4077" w:rsidRPr="00C2085E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C2085E">
              <w:rPr>
                <w:rFonts w:eastAsia="Calibri"/>
                <w:spacing w:val="-3"/>
                <w:sz w:val="20"/>
                <w:szCs w:val="20"/>
              </w:rPr>
              <w:t>BOARD OF SUPERVISORS</w:t>
            </w:r>
          </w:p>
          <w:p w:rsidR="009D4077" w:rsidRPr="00C2085E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:rsidR="009D4077" w:rsidRPr="00C2085E" w:rsidRDefault="00125360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>
              <w:rPr>
                <w:rFonts w:eastAsia="Calibri"/>
                <w:spacing w:val="-3"/>
                <w:sz w:val="20"/>
                <w:szCs w:val="20"/>
              </w:rPr>
              <w:t>Date:  June 2, 2015</w:t>
            </w:r>
          </w:p>
          <w:p w:rsidR="009D4077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</w:p>
          <w:p w:rsidR="009D4077" w:rsidRPr="00C2085E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C2085E">
              <w:rPr>
                <w:rFonts w:eastAsia="Calibri"/>
                <w:spacing w:val="-3"/>
                <w:sz w:val="20"/>
                <w:szCs w:val="20"/>
              </w:rPr>
              <w:t xml:space="preserve">Processed By: </w:t>
            </w:r>
          </w:p>
          <w:p w:rsidR="009D4077" w:rsidRPr="00C2085E" w:rsidRDefault="009D4077" w:rsidP="00696E82">
            <w:pPr>
              <w:suppressAutoHyphens/>
              <w:outlineLvl w:val="0"/>
              <w:rPr>
                <w:rFonts w:eastAsia="Calibri"/>
                <w:spacing w:val="-3"/>
                <w:sz w:val="20"/>
                <w:szCs w:val="20"/>
              </w:rPr>
            </w:pPr>
            <w:r w:rsidRPr="00C2085E">
              <w:rPr>
                <w:rFonts w:eastAsia="Calibri"/>
                <w:spacing w:val="-3"/>
                <w:sz w:val="20"/>
                <w:szCs w:val="20"/>
              </w:rPr>
              <w:t>___________________________________</w:t>
            </w:r>
          </w:p>
          <w:p w:rsidR="009D4077" w:rsidRPr="00C2085E" w:rsidRDefault="009D4077" w:rsidP="00696E8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2085E">
              <w:rPr>
                <w:rFonts w:eastAsia="Calibri"/>
                <w:spacing w:val="-3"/>
                <w:sz w:val="20"/>
                <w:szCs w:val="20"/>
              </w:rPr>
              <w:t>Deputy Clerk of the Board</w:t>
            </w:r>
          </w:p>
        </w:tc>
      </w:tr>
    </w:tbl>
    <w:p w:rsidR="009D4077" w:rsidRDefault="009D4077" w:rsidP="009173C3">
      <w:pPr>
        <w:tabs>
          <w:tab w:val="left" w:pos="0"/>
          <w:tab w:val="left" w:pos="3420"/>
        </w:tabs>
        <w:suppressAutoHyphens/>
        <w:rPr>
          <w:spacing w:val="-2"/>
        </w:rPr>
      </w:pPr>
    </w:p>
    <w:sectPr w:rsidR="009D4077" w:rsidSect="0009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1440" w:left="1296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03" w:rsidRDefault="00955E03">
      <w:r>
        <w:separator/>
      </w:r>
    </w:p>
  </w:endnote>
  <w:endnote w:type="continuationSeparator" w:id="0">
    <w:p w:rsidR="00955E03" w:rsidRDefault="009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C" w:rsidRDefault="00A62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82" w:rsidRDefault="00305682" w:rsidP="005913B1">
    <w:pPr>
      <w:pStyle w:val="Footer"/>
      <w:tabs>
        <w:tab w:val="clear" w:pos="4320"/>
        <w:tab w:val="center" w:pos="4680"/>
      </w:tabs>
      <w:rPr>
        <w:sz w:val="16"/>
        <w:szCs w:val="16"/>
      </w:rPr>
    </w:pPr>
    <w:r w:rsidRPr="005913B1">
      <w:rPr>
        <w:sz w:val="16"/>
        <w:szCs w:val="16"/>
      </w:rPr>
      <w:t>cc\D\CITIES\AC\PropTaxShgAg</w:t>
    </w:r>
    <w:r w:rsidR="004019DE">
      <w:rPr>
        <w:sz w:val="16"/>
        <w:szCs w:val="16"/>
      </w:rPr>
      <w:t>/</w:t>
    </w:r>
    <w:r w:rsidR="002E09F8">
      <w:rPr>
        <w:sz w:val="16"/>
        <w:szCs w:val="16"/>
      </w:rPr>
      <w:t>Canyon Estates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FF2">
      <w:rPr>
        <w:rStyle w:val="PageNumber"/>
        <w:noProof/>
      </w:rPr>
      <w:t>2</w:t>
    </w:r>
    <w:r>
      <w:rPr>
        <w:rStyle w:val="PageNumber"/>
      </w:rPr>
      <w:fldChar w:fldCharType="end"/>
    </w:r>
    <w:r w:rsidR="00FC152F">
      <w:rPr>
        <w:rStyle w:val="PageNumber"/>
      </w:rPr>
      <w:tab/>
      <w:t>5/22/2015</w:t>
    </w:r>
  </w:p>
  <w:p w:rsidR="00305682" w:rsidRPr="00D550AC" w:rsidRDefault="00305682" w:rsidP="005913B1">
    <w:pPr>
      <w:pStyle w:val="Footer"/>
      <w:tabs>
        <w:tab w:val="clear" w:pos="4320"/>
        <w:tab w:val="center" w:pos="4680"/>
      </w:tabs>
      <w:rPr>
        <w:sz w:val="16"/>
        <w:szCs w:val="16"/>
      </w:rPr>
    </w:pPr>
    <w:r w:rsidRPr="005913B1">
      <w:rPr>
        <w:sz w:val="16"/>
        <w:szCs w:val="16"/>
      </w:rPr>
      <w:t>res adopting Tax Agreement.doc</w:t>
    </w:r>
    <w:r w:rsidR="00A623CC">
      <w:rPr>
        <w:sz w:val="16"/>
        <w:szCs w:val="16"/>
      </w:rPr>
      <w:t>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C" w:rsidRDefault="00A62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03" w:rsidRDefault="00955E03">
      <w:r>
        <w:separator/>
      </w:r>
    </w:p>
  </w:footnote>
  <w:footnote w:type="continuationSeparator" w:id="0">
    <w:p w:rsidR="00955E03" w:rsidRDefault="009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C" w:rsidRDefault="00A62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C" w:rsidRDefault="00A62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CC" w:rsidRDefault="00A62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4B5"/>
    <w:multiLevelType w:val="hybridMultilevel"/>
    <w:tmpl w:val="D4B6F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D"/>
    <w:rsid w:val="00095FF2"/>
    <w:rsid w:val="000A1F69"/>
    <w:rsid w:val="000D2E07"/>
    <w:rsid w:val="000E1E76"/>
    <w:rsid w:val="00125360"/>
    <w:rsid w:val="0015036A"/>
    <w:rsid w:val="00235359"/>
    <w:rsid w:val="00261B39"/>
    <w:rsid w:val="002C0521"/>
    <w:rsid w:val="002E09F8"/>
    <w:rsid w:val="00305682"/>
    <w:rsid w:val="0033673D"/>
    <w:rsid w:val="0038461F"/>
    <w:rsid w:val="003C7CDA"/>
    <w:rsid w:val="004019DE"/>
    <w:rsid w:val="00426E2C"/>
    <w:rsid w:val="004717DD"/>
    <w:rsid w:val="004E23D1"/>
    <w:rsid w:val="004F4034"/>
    <w:rsid w:val="00530306"/>
    <w:rsid w:val="00573A86"/>
    <w:rsid w:val="005913B1"/>
    <w:rsid w:val="00602608"/>
    <w:rsid w:val="00610439"/>
    <w:rsid w:val="00616AB9"/>
    <w:rsid w:val="00686C24"/>
    <w:rsid w:val="006B57E2"/>
    <w:rsid w:val="006E51FF"/>
    <w:rsid w:val="006F3B7B"/>
    <w:rsid w:val="007303E8"/>
    <w:rsid w:val="00734D54"/>
    <w:rsid w:val="007A0B96"/>
    <w:rsid w:val="007F00DC"/>
    <w:rsid w:val="007F64BE"/>
    <w:rsid w:val="00855241"/>
    <w:rsid w:val="008B60B8"/>
    <w:rsid w:val="008F1A93"/>
    <w:rsid w:val="009173C3"/>
    <w:rsid w:val="00955E03"/>
    <w:rsid w:val="009636CB"/>
    <w:rsid w:val="009D4077"/>
    <w:rsid w:val="00A623CC"/>
    <w:rsid w:val="00B93DBF"/>
    <w:rsid w:val="00BD0DF1"/>
    <w:rsid w:val="00BD3B88"/>
    <w:rsid w:val="00C0012A"/>
    <w:rsid w:val="00C00401"/>
    <w:rsid w:val="00C21BC8"/>
    <w:rsid w:val="00C65025"/>
    <w:rsid w:val="00C709A5"/>
    <w:rsid w:val="00CB1E40"/>
    <w:rsid w:val="00CD4FC3"/>
    <w:rsid w:val="00CE7C72"/>
    <w:rsid w:val="00D06B4F"/>
    <w:rsid w:val="00D33EF8"/>
    <w:rsid w:val="00D550AC"/>
    <w:rsid w:val="00D77F2F"/>
    <w:rsid w:val="00E648CE"/>
    <w:rsid w:val="00F468BB"/>
    <w:rsid w:val="00F57D53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AC"/>
  </w:style>
  <w:style w:type="paragraph" w:styleId="FootnoteText">
    <w:name w:val="footnote text"/>
    <w:basedOn w:val="Normal"/>
    <w:semiHidden/>
    <w:rsid w:val="004E23D1"/>
    <w:rPr>
      <w:sz w:val="20"/>
      <w:szCs w:val="20"/>
    </w:rPr>
  </w:style>
  <w:style w:type="character" w:styleId="FootnoteReference">
    <w:name w:val="footnote reference"/>
    <w:semiHidden/>
    <w:rsid w:val="004E2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AC"/>
  </w:style>
  <w:style w:type="paragraph" w:styleId="FootnoteText">
    <w:name w:val="footnote text"/>
    <w:basedOn w:val="Normal"/>
    <w:semiHidden/>
    <w:rsid w:val="004E23D1"/>
    <w:rPr>
      <w:sz w:val="20"/>
      <w:szCs w:val="20"/>
    </w:rPr>
  </w:style>
  <w:style w:type="character" w:styleId="FootnoteReference">
    <w:name w:val="footnote reference"/>
    <w:semiHidden/>
    <w:rsid w:val="004E2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Napa County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Napa County</dc:creator>
  <cp:lastModifiedBy>Morgan, Greg</cp:lastModifiedBy>
  <cp:revision>3</cp:revision>
  <cp:lastPrinted>2015-06-02T17:26:00Z</cp:lastPrinted>
  <dcterms:created xsi:type="dcterms:W3CDTF">2015-06-02T17:23:00Z</dcterms:created>
  <dcterms:modified xsi:type="dcterms:W3CDTF">2015-06-02T23:11:00Z</dcterms:modified>
</cp:coreProperties>
</file>