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EB" w:rsidRPr="00116980" w:rsidRDefault="00B82FEB" w:rsidP="0045292A">
      <w:pPr>
        <w:pStyle w:val="Title"/>
        <w:widowControl w:val="0"/>
      </w:pPr>
      <w:bookmarkStart w:id="0" w:name="_GoBack"/>
      <w:bookmarkEnd w:id="0"/>
      <w:r w:rsidRPr="00116980">
        <w:t xml:space="preserve">RESOLUTION NO. </w:t>
      </w:r>
      <w:r w:rsidR="00C43A13" w:rsidRPr="00116980">
        <w:t>2015-</w:t>
      </w:r>
      <w:r w:rsidR="00277AC3">
        <w:t>31</w:t>
      </w:r>
    </w:p>
    <w:p w:rsidR="0045292A" w:rsidRPr="00116980" w:rsidRDefault="0045292A" w:rsidP="0045292A">
      <w:pPr>
        <w:widowControl w:val="0"/>
        <w:jc w:val="center"/>
        <w:rPr>
          <w:b/>
          <w:bCs/>
        </w:rPr>
      </w:pPr>
    </w:p>
    <w:p w:rsidR="00B82FEB" w:rsidRPr="00116980" w:rsidRDefault="00F763EB" w:rsidP="0045292A">
      <w:pPr>
        <w:widowControl w:val="0"/>
        <w:ind w:left="720" w:right="720"/>
        <w:jc w:val="center"/>
        <w:rPr>
          <w:b/>
          <w:bCs/>
        </w:rPr>
      </w:pPr>
      <w:r w:rsidRPr="00116980">
        <w:rPr>
          <w:b/>
          <w:bCs/>
        </w:rPr>
        <w:t xml:space="preserve">A </w:t>
      </w:r>
      <w:r w:rsidR="00B82FEB" w:rsidRPr="00116980">
        <w:rPr>
          <w:b/>
          <w:bCs/>
        </w:rPr>
        <w:t xml:space="preserve">RESOLUTION OF </w:t>
      </w:r>
      <w:r w:rsidRPr="00116980">
        <w:rPr>
          <w:b/>
          <w:bCs/>
        </w:rPr>
        <w:t xml:space="preserve">THE BOARD OF SUPERVISORS OF NAPA </w:t>
      </w:r>
      <w:r w:rsidR="00776CE6" w:rsidRPr="00116980">
        <w:rPr>
          <w:b/>
          <w:bCs/>
        </w:rPr>
        <w:t>COUNTY</w:t>
      </w:r>
      <w:r w:rsidR="00B82FEB" w:rsidRPr="00116980">
        <w:rPr>
          <w:b/>
          <w:bCs/>
        </w:rPr>
        <w:t>, STAT</w:t>
      </w:r>
      <w:r w:rsidR="00E21A73" w:rsidRPr="00116980">
        <w:rPr>
          <w:b/>
          <w:bCs/>
        </w:rPr>
        <w:t xml:space="preserve">E OF CALIFORNIA, APPROVING FORMATION </w:t>
      </w:r>
      <w:r w:rsidR="00216746">
        <w:rPr>
          <w:b/>
          <w:bCs/>
        </w:rPr>
        <w:t xml:space="preserve">OF THE AGRICULTURAL PROTECTION ADVISORY </w:t>
      </w:r>
      <w:r w:rsidR="00B07140" w:rsidRPr="00116980">
        <w:rPr>
          <w:b/>
          <w:bCs/>
        </w:rPr>
        <w:t xml:space="preserve">COMMITTEE </w:t>
      </w:r>
    </w:p>
    <w:p w:rsidR="0045292A" w:rsidRPr="00116980" w:rsidRDefault="0045292A" w:rsidP="0045292A">
      <w:pPr>
        <w:widowControl w:val="0"/>
      </w:pPr>
    </w:p>
    <w:p w:rsidR="005C58AD" w:rsidRPr="00116980" w:rsidRDefault="00B82FEB" w:rsidP="0045292A">
      <w:pPr>
        <w:widowControl w:val="0"/>
      </w:pPr>
      <w:r w:rsidRPr="00116980">
        <w:rPr>
          <w:b/>
          <w:bCs/>
        </w:rPr>
        <w:tab/>
        <w:t xml:space="preserve">WHEREAS, </w:t>
      </w:r>
      <w:r w:rsidR="005C58AD" w:rsidRPr="00116980">
        <w:t>over the past year ther</w:t>
      </w:r>
      <w:r w:rsidR="00DF5F8D" w:rsidRPr="00116980">
        <w:t>e has been increasing concern among</w:t>
      </w:r>
      <w:r w:rsidR="005C58AD" w:rsidRPr="00116980">
        <w:t xml:space="preserve"> the public and among</w:t>
      </w:r>
      <w:r w:rsidR="004853A3" w:rsidRPr="00116980">
        <w:t xml:space="preserve"> members of</w:t>
      </w:r>
      <w:r w:rsidR="005C58AD" w:rsidRPr="00116980">
        <w:t xml:space="preserve"> the Napa County Planning Commission (Planning Commission) regarding the rate, intensity and location of winery development projects in the unincorporated area; </w:t>
      </w:r>
      <w:r w:rsidR="00E21A73" w:rsidRPr="00116980">
        <w:t>and</w:t>
      </w:r>
    </w:p>
    <w:p w:rsidR="005C58AD" w:rsidRPr="00116980" w:rsidRDefault="005C58AD" w:rsidP="0045292A">
      <w:pPr>
        <w:widowControl w:val="0"/>
      </w:pPr>
    </w:p>
    <w:p w:rsidR="005C58AD" w:rsidRPr="00116980" w:rsidRDefault="005C58AD" w:rsidP="0045292A">
      <w:pPr>
        <w:widowControl w:val="0"/>
      </w:pPr>
      <w:r w:rsidRPr="00116980">
        <w:tab/>
      </w:r>
      <w:r w:rsidRPr="00116980">
        <w:rPr>
          <w:b/>
        </w:rPr>
        <w:t xml:space="preserve">WHEREAS, </w:t>
      </w:r>
      <w:r w:rsidRPr="00116980">
        <w:t xml:space="preserve">although development has occurred consistent with the projections of the 2008 General Plan, there are new concerns about the impacts of these </w:t>
      </w:r>
      <w:r w:rsidR="001879AA" w:rsidRPr="00116980">
        <w:t>foreseen</w:t>
      </w:r>
      <w:r w:rsidRPr="00116980">
        <w:t xml:space="preserve"> developments, both in terms of impact to the </w:t>
      </w:r>
      <w:r w:rsidR="001879AA" w:rsidRPr="00116980">
        <w:t>environment</w:t>
      </w:r>
      <w:r w:rsidRPr="00116980">
        <w:t xml:space="preserve"> and impact to the quality of </w:t>
      </w:r>
      <w:r w:rsidR="001879AA" w:rsidRPr="00116980">
        <w:t>life</w:t>
      </w:r>
      <w:r w:rsidRPr="00116980">
        <w:t xml:space="preserve"> in Napa County;</w:t>
      </w:r>
      <w:r w:rsidR="00E21A73" w:rsidRPr="00116980">
        <w:t xml:space="preserve"> and</w:t>
      </w:r>
    </w:p>
    <w:p w:rsidR="005C58AD" w:rsidRPr="00116980" w:rsidRDefault="005C58AD" w:rsidP="0045292A">
      <w:pPr>
        <w:widowControl w:val="0"/>
      </w:pPr>
    </w:p>
    <w:p w:rsidR="009B605D" w:rsidRPr="00116980" w:rsidRDefault="005C58AD" w:rsidP="0045292A">
      <w:pPr>
        <w:widowControl w:val="0"/>
      </w:pPr>
      <w:r w:rsidRPr="00116980">
        <w:tab/>
      </w:r>
      <w:r w:rsidRPr="00116980">
        <w:rPr>
          <w:b/>
        </w:rPr>
        <w:t>WHEREAS,</w:t>
      </w:r>
      <w:r w:rsidRPr="00116980">
        <w:t xml:space="preserve"> in response to these concerns, on March 10, 2015, the Board of Supervisors and the Planning Commission held a special joint session </w:t>
      </w:r>
      <w:r w:rsidR="009B605D" w:rsidRPr="00116980">
        <w:t xml:space="preserve">public </w:t>
      </w:r>
      <w:r w:rsidRPr="00116980">
        <w:t xml:space="preserve">meeting for purposes of </w:t>
      </w:r>
      <w:r w:rsidR="009B605D" w:rsidRPr="00116980">
        <w:t xml:space="preserve">addressing concerns about the </w:t>
      </w:r>
      <w:r w:rsidR="001879AA" w:rsidRPr="00116980">
        <w:t>cumulative</w:t>
      </w:r>
      <w:r w:rsidR="009B605D" w:rsidRPr="00116980">
        <w:t xml:space="preserve"> impacts of new development o</w:t>
      </w:r>
      <w:r w:rsidR="004853A3" w:rsidRPr="00116980">
        <w:t xml:space="preserve">n the County and providing </w:t>
      </w:r>
      <w:r w:rsidR="009B605D" w:rsidRPr="00116980">
        <w:t>direction to staff on potential solutions;</w:t>
      </w:r>
      <w:r w:rsidR="00BF3FB8" w:rsidRPr="00116980">
        <w:t xml:space="preserve"> and</w:t>
      </w:r>
    </w:p>
    <w:p w:rsidR="009B605D" w:rsidRPr="00116980" w:rsidRDefault="009B605D" w:rsidP="0045292A">
      <w:pPr>
        <w:widowControl w:val="0"/>
      </w:pPr>
    </w:p>
    <w:p w:rsidR="009B605D" w:rsidRPr="00116980" w:rsidRDefault="009B605D" w:rsidP="0045292A">
      <w:pPr>
        <w:widowControl w:val="0"/>
      </w:pPr>
      <w:r w:rsidRPr="00116980">
        <w:tab/>
      </w:r>
      <w:r w:rsidRPr="00116980">
        <w:rPr>
          <w:b/>
        </w:rPr>
        <w:t xml:space="preserve">WHEREAS, </w:t>
      </w:r>
      <w:r w:rsidRPr="00116980">
        <w:t xml:space="preserve">at the joint session public meeting on March 10, 2015, the Board and the Planning Commission heard and </w:t>
      </w:r>
      <w:r w:rsidR="001879AA" w:rsidRPr="00116980">
        <w:t>considered testimony</w:t>
      </w:r>
      <w:r w:rsidRPr="00116980">
        <w:t xml:space="preserve"> related to cumulative impacts, quality </w:t>
      </w:r>
      <w:r w:rsidR="001879AA" w:rsidRPr="00116980">
        <w:t>o</w:t>
      </w:r>
      <w:r w:rsidRPr="00116980">
        <w:t xml:space="preserve">f life and </w:t>
      </w:r>
      <w:r w:rsidR="00847440" w:rsidRPr="00116980">
        <w:t xml:space="preserve">support for </w:t>
      </w:r>
      <w:r w:rsidRPr="00116980">
        <w:t>the creation of an ad hoc committee to review</w:t>
      </w:r>
      <w:r w:rsidR="0099792F">
        <w:t xml:space="preserve"> issues related to the development and expansion of wineries, appropriate winery operations and activities, setbacks and other standards applicable to wineries and related matters</w:t>
      </w:r>
      <w:r w:rsidRPr="00116980">
        <w:t>;</w:t>
      </w:r>
      <w:r w:rsidR="00E21A73" w:rsidRPr="00116980">
        <w:t xml:space="preserve"> and</w:t>
      </w:r>
    </w:p>
    <w:p w:rsidR="009B605D" w:rsidRPr="00116980" w:rsidRDefault="009B605D" w:rsidP="0045292A">
      <w:pPr>
        <w:widowControl w:val="0"/>
      </w:pPr>
    </w:p>
    <w:p w:rsidR="005C58AD" w:rsidRPr="00116980" w:rsidRDefault="009B605D" w:rsidP="0045292A">
      <w:pPr>
        <w:widowControl w:val="0"/>
      </w:pPr>
      <w:r w:rsidRPr="00116980">
        <w:tab/>
      </w:r>
      <w:r w:rsidRPr="00116980">
        <w:rPr>
          <w:b/>
        </w:rPr>
        <w:t xml:space="preserve">WHEREAS, </w:t>
      </w:r>
      <w:r w:rsidR="00847440" w:rsidRPr="00116980">
        <w:t>the ad ho</w:t>
      </w:r>
      <w:r w:rsidR="004853A3" w:rsidRPr="00116980">
        <w:t xml:space="preserve">c committee is intended to be </w:t>
      </w:r>
      <w:r w:rsidR="00847440" w:rsidRPr="00116980">
        <w:t>comprised of members of the wine industry, agriculture, environmental groups,</w:t>
      </w:r>
      <w:r w:rsidR="00706D76" w:rsidRPr="00116980">
        <w:t xml:space="preserve"> neighborhood/community groups</w:t>
      </w:r>
      <w:r w:rsidR="00E67736" w:rsidRPr="00116980">
        <w:t xml:space="preserve">, </w:t>
      </w:r>
      <w:r w:rsidR="00CF39FA" w:rsidRPr="00116980">
        <w:t xml:space="preserve">each of the five municipalities, general business community, and an at-large member from each Supervisorial District; </w:t>
      </w:r>
      <w:r w:rsidR="00E21A73" w:rsidRPr="00116980">
        <w:t>and</w:t>
      </w:r>
      <w:r w:rsidR="00CF39FA" w:rsidRPr="00116980">
        <w:t xml:space="preserve">  </w:t>
      </w:r>
      <w:r w:rsidR="00706D76" w:rsidRPr="00116980">
        <w:t xml:space="preserve"> </w:t>
      </w:r>
      <w:r w:rsidR="001879AA" w:rsidRPr="00116980">
        <w:t xml:space="preserve"> </w:t>
      </w:r>
      <w:r w:rsidRPr="00116980">
        <w:t xml:space="preserve"> </w:t>
      </w:r>
    </w:p>
    <w:p w:rsidR="009B605D" w:rsidRPr="00116980" w:rsidRDefault="009B605D" w:rsidP="0045292A">
      <w:pPr>
        <w:widowControl w:val="0"/>
        <w:rPr>
          <w:b/>
          <w:bCs/>
        </w:rPr>
      </w:pPr>
    </w:p>
    <w:p w:rsidR="00B82FEB" w:rsidRPr="0099792F" w:rsidRDefault="00CF39FA" w:rsidP="0045292A">
      <w:pPr>
        <w:widowControl w:val="0"/>
        <w:rPr>
          <w:bCs/>
        </w:rPr>
      </w:pPr>
      <w:r w:rsidRPr="00116980">
        <w:rPr>
          <w:b/>
          <w:bCs/>
        </w:rPr>
        <w:tab/>
        <w:t xml:space="preserve">WHEREAS, </w:t>
      </w:r>
      <w:r w:rsidRPr="00116980">
        <w:rPr>
          <w:bCs/>
        </w:rPr>
        <w:t>the ad hoc committee is intended to serve as an ad</w:t>
      </w:r>
      <w:r w:rsidR="00875351" w:rsidRPr="00116980">
        <w:rPr>
          <w:bCs/>
        </w:rPr>
        <w:t>visory committee to the</w:t>
      </w:r>
      <w:r w:rsidR="00554BD4" w:rsidRPr="00116980">
        <w:rPr>
          <w:bCs/>
        </w:rPr>
        <w:t xml:space="preserve"> Planni</w:t>
      </w:r>
      <w:r w:rsidR="00F0379E" w:rsidRPr="00116980">
        <w:rPr>
          <w:bCs/>
        </w:rPr>
        <w:t>ng Commission for purposes of making</w:t>
      </w:r>
      <w:r w:rsidRPr="00116980">
        <w:rPr>
          <w:bCs/>
        </w:rPr>
        <w:t xml:space="preserve"> recommendations </w:t>
      </w:r>
      <w:r w:rsidR="00F0379E" w:rsidRPr="00116980">
        <w:rPr>
          <w:bCs/>
        </w:rPr>
        <w:t xml:space="preserve">to the Planning Commission </w:t>
      </w:r>
      <w:r w:rsidR="00E64894">
        <w:rPr>
          <w:bCs/>
        </w:rPr>
        <w:t xml:space="preserve">regarding </w:t>
      </w:r>
      <w:r w:rsidR="00F0379E" w:rsidRPr="00116980">
        <w:rPr>
          <w:bCs/>
        </w:rPr>
        <w:t xml:space="preserve">proposed </w:t>
      </w:r>
      <w:r w:rsidRPr="00116980">
        <w:rPr>
          <w:bCs/>
        </w:rPr>
        <w:t>re</w:t>
      </w:r>
      <w:r w:rsidR="0099792F">
        <w:rPr>
          <w:bCs/>
        </w:rPr>
        <w:t xml:space="preserve">visions to the </w:t>
      </w:r>
      <w:r w:rsidR="0099792F">
        <w:t>development and expansion of wineries, appropriate winery operations and activities, setbacks and other standards applicable to wineries and related matters</w:t>
      </w:r>
      <w:r w:rsidR="0099792F" w:rsidRPr="00116980">
        <w:t>;</w:t>
      </w:r>
      <w:r w:rsidR="0099792F">
        <w:rPr>
          <w:bCs/>
        </w:rPr>
        <w:t xml:space="preserve"> </w:t>
      </w:r>
      <w:r w:rsidR="00E21A73" w:rsidRPr="00116980">
        <w:rPr>
          <w:bCs/>
        </w:rPr>
        <w:t>and</w:t>
      </w:r>
    </w:p>
    <w:p w:rsidR="00875351" w:rsidRPr="00116980" w:rsidRDefault="00875351" w:rsidP="0045292A">
      <w:pPr>
        <w:pStyle w:val="Footer"/>
        <w:widowControl w:val="0"/>
        <w:tabs>
          <w:tab w:val="clear" w:pos="4320"/>
          <w:tab w:val="clear" w:pos="8640"/>
        </w:tabs>
      </w:pPr>
    </w:p>
    <w:p w:rsidR="0099792F" w:rsidRDefault="008D2FCD" w:rsidP="0045292A">
      <w:pPr>
        <w:pStyle w:val="Footer"/>
        <w:widowControl w:val="0"/>
        <w:tabs>
          <w:tab w:val="clear" w:pos="4320"/>
          <w:tab w:val="clear" w:pos="8640"/>
        </w:tabs>
      </w:pPr>
      <w:r w:rsidRPr="00116980">
        <w:tab/>
      </w:r>
      <w:r w:rsidRPr="00116980">
        <w:rPr>
          <w:b/>
        </w:rPr>
        <w:t>WHEREAS,</w:t>
      </w:r>
      <w:r w:rsidRPr="00116980">
        <w:t xml:space="preserve"> </w:t>
      </w:r>
      <w:r w:rsidR="00875351" w:rsidRPr="00116980">
        <w:t>on March 10, 2015, the Boar</w:t>
      </w:r>
      <w:r w:rsidR="00E21A73" w:rsidRPr="00116980">
        <w:t xml:space="preserve">d declared its intent to form </w:t>
      </w:r>
      <w:r w:rsidR="0099792F">
        <w:t xml:space="preserve">an ad hoc </w:t>
      </w:r>
      <w:r w:rsidR="00875351" w:rsidRPr="00116980">
        <w:t xml:space="preserve">committee as described herein and directed staff to </w:t>
      </w:r>
      <w:r w:rsidR="00E21A73" w:rsidRPr="00116980">
        <w:t>retu</w:t>
      </w:r>
      <w:r w:rsidR="00F0379E" w:rsidRPr="00116980">
        <w:t xml:space="preserve">rn with a draft resolution </w:t>
      </w:r>
      <w:r w:rsidR="00E21A73" w:rsidRPr="00116980">
        <w:t xml:space="preserve">and guidelines </w:t>
      </w:r>
      <w:r w:rsidR="00F0379E" w:rsidRPr="00116980">
        <w:t>to establish an</w:t>
      </w:r>
      <w:r w:rsidR="00E21A73" w:rsidRPr="00116980">
        <w:t xml:space="preserve"> ad hoc advisory committee to rev</w:t>
      </w:r>
      <w:r w:rsidR="0099792F">
        <w:t>iew the development and expansion of wineries, appropriate winery operations and activities, setbacks and other standards applicable to wineries and related matters.</w:t>
      </w:r>
    </w:p>
    <w:p w:rsidR="0099792F" w:rsidRDefault="0099792F" w:rsidP="0045292A">
      <w:pPr>
        <w:pStyle w:val="Footer"/>
        <w:widowControl w:val="0"/>
        <w:tabs>
          <w:tab w:val="clear" w:pos="4320"/>
          <w:tab w:val="clear" w:pos="8640"/>
        </w:tabs>
      </w:pPr>
    </w:p>
    <w:p w:rsidR="00E21A73" w:rsidRPr="00116980" w:rsidRDefault="00E21A73" w:rsidP="0045292A">
      <w:pPr>
        <w:pStyle w:val="Footer"/>
        <w:widowControl w:val="0"/>
        <w:tabs>
          <w:tab w:val="clear" w:pos="4320"/>
          <w:tab w:val="clear" w:pos="8640"/>
        </w:tabs>
      </w:pPr>
      <w:r w:rsidRPr="00116980">
        <w:t>.</w:t>
      </w:r>
    </w:p>
    <w:p w:rsidR="00B82FEB" w:rsidRPr="00116980" w:rsidRDefault="00B82FEB" w:rsidP="0045292A">
      <w:pPr>
        <w:widowControl w:val="0"/>
      </w:pPr>
    </w:p>
    <w:p w:rsidR="005E7982" w:rsidRPr="00116980" w:rsidRDefault="00E21A73" w:rsidP="0045292A">
      <w:pPr>
        <w:widowControl w:val="0"/>
      </w:pPr>
      <w:r w:rsidRPr="00116980">
        <w:lastRenderedPageBreak/>
        <w:tab/>
      </w:r>
      <w:r w:rsidRPr="00116980">
        <w:rPr>
          <w:b/>
        </w:rPr>
        <w:t>NOW, THEREFORE, BE IT RESOLVED</w:t>
      </w:r>
      <w:r w:rsidRPr="00116980">
        <w:t xml:space="preserve"> that the Board of Supervisors hereby </w:t>
      </w:r>
      <w:r w:rsidR="001B16A4" w:rsidRPr="00116980">
        <w:t>takes the following actions:</w:t>
      </w:r>
    </w:p>
    <w:p w:rsidR="00D3251C" w:rsidRPr="00116980" w:rsidRDefault="00D3251C" w:rsidP="0045292A">
      <w:pPr>
        <w:widowControl w:val="0"/>
      </w:pPr>
    </w:p>
    <w:p w:rsidR="00E21A73" w:rsidRPr="00116980" w:rsidRDefault="00D3251C" w:rsidP="0045292A">
      <w:pPr>
        <w:widowControl w:val="0"/>
      </w:pPr>
      <w:r w:rsidRPr="00116980">
        <w:tab/>
        <w:t>1.</w:t>
      </w:r>
      <w:r w:rsidRPr="00116980">
        <w:tab/>
        <w:t>Fo</w:t>
      </w:r>
      <w:r w:rsidR="00216746">
        <w:t>rms the ad hoc Agricultural Protection Advisory</w:t>
      </w:r>
      <w:r w:rsidRPr="00116980">
        <w:t xml:space="preserve"> Committee </w:t>
      </w:r>
      <w:r w:rsidR="005E7982" w:rsidRPr="00116980">
        <w:t xml:space="preserve">(Committee) </w:t>
      </w:r>
      <w:r w:rsidRPr="00116980">
        <w:t xml:space="preserve">which shall be </w:t>
      </w:r>
      <w:r w:rsidR="00E21A73" w:rsidRPr="00116980">
        <w:t>comprised of the following members:</w:t>
      </w:r>
    </w:p>
    <w:p w:rsidR="008958D8" w:rsidRPr="00116980" w:rsidRDefault="008958D8" w:rsidP="0045292A">
      <w:pPr>
        <w:widowControl w:val="0"/>
      </w:pPr>
    </w:p>
    <w:p w:rsidR="00E21A73" w:rsidRPr="00116980" w:rsidRDefault="00E21A73" w:rsidP="0045292A">
      <w:pPr>
        <w:widowControl w:val="0"/>
        <w:ind w:left="720" w:firstLine="720"/>
      </w:pPr>
      <w:r w:rsidRPr="00116980">
        <w:t>A.</w:t>
      </w:r>
      <w:r w:rsidRPr="00116980">
        <w:tab/>
      </w:r>
      <w:r w:rsidR="00102806" w:rsidRPr="00116980">
        <w:t>Four (4</w:t>
      </w:r>
      <w:r w:rsidRPr="00116980">
        <w:t>) members</w:t>
      </w:r>
      <w:r w:rsidR="00102806" w:rsidRPr="00116980">
        <w:t xml:space="preserve"> representing each of the wine/agriculture organization</w:t>
      </w:r>
      <w:r w:rsidR="004853A3" w:rsidRPr="00116980">
        <w:t xml:space="preserve">s </w:t>
      </w:r>
      <w:r w:rsidR="009E5E1E" w:rsidRPr="00116980">
        <w:t>(</w:t>
      </w:r>
      <w:r w:rsidR="005E7982" w:rsidRPr="00116980">
        <w:t xml:space="preserve">Napa County </w:t>
      </w:r>
      <w:r w:rsidR="00102806" w:rsidRPr="00116980">
        <w:t>Farm Bureau</w:t>
      </w:r>
      <w:r w:rsidR="00BF3FB8" w:rsidRPr="00116980">
        <w:t>,</w:t>
      </w:r>
      <w:r w:rsidR="00102806" w:rsidRPr="00116980">
        <w:t xml:space="preserve"> </w:t>
      </w:r>
      <w:r w:rsidR="009E5E1E" w:rsidRPr="00116980">
        <w:t>Napa Valley Grape Growers, Napa Valley Vintners, and Winegrowers of Napa County)</w:t>
      </w:r>
      <w:r w:rsidR="0045292A" w:rsidRPr="00116980">
        <w:t>;</w:t>
      </w:r>
    </w:p>
    <w:p w:rsidR="0045292A" w:rsidRPr="00116980" w:rsidRDefault="0045292A" w:rsidP="0045292A">
      <w:pPr>
        <w:widowControl w:val="0"/>
        <w:ind w:left="720" w:firstLine="720"/>
      </w:pPr>
    </w:p>
    <w:p w:rsidR="009E5E1E" w:rsidRPr="00116980" w:rsidRDefault="00102806" w:rsidP="0045292A">
      <w:pPr>
        <w:widowControl w:val="0"/>
        <w:ind w:left="720" w:firstLine="720"/>
      </w:pPr>
      <w:r w:rsidRPr="00116980">
        <w:t>B</w:t>
      </w:r>
      <w:r w:rsidR="009E5E1E" w:rsidRPr="00116980">
        <w:t>.</w:t>
      </w:r>
      <w:r w:rsidR="009E5E1E" w:rsidRPr="00116980">
        <w:tab/>
        <w:t>Two (2) members from the gen</w:t>
      </w:r>
      <w:r w:rsidR="0076005A" w:rsidRPr="00116980">
        <w:t xml:space="preserve">eral business community (e.g., </w:t>
      </w:r>
      <w:r w:rsidR="009E5E1E" w:rsidRPr="00116980">
        <w:t>Chambers of Commerce, Hotel A</w:t>
      </w:r>
      <w:r w:rsidR="0076005A" w:rsidRPr="00116980">
        <w:t>s</w:t>
      </w:r>
      <w:r w:rsidR="009E5E1E" w:rsidRPr="00116980">
        <w:t>sociation, Visit Napa Valley)</w:t>
      </w:r>
      <w:r w:rsidR="0045292A" w:rsidRPr="00116980">
        <w:t>;</w:t>
      </w:r>
    </w:p>
    <w:p w:rsidR="0045292A" w:rsidRPr="00116980" w:rsidRDefault="0045292A" w:rsidP="0045292A">
      <w:pPr>
        <w:widowControl w:val="0"/>
        <w:ind w:left="720" w:firstLine="720"/>
      </w:pPr>
    </w:p>
    <w:p w:rsidR="009E5E1E" w:rsidRPr="00116980" w:rsidRDefault="009E5E1E" w:rsidP="0045292A">
      <w:pPr>
        <w:widowControl w:val="0"/>
      </w:pPr>
      <w:r w:rsidRPr="00116980">
        <w:tab/>
      </w:r>
      <w:r w:rsidR="00D3251C" w:rsidRPr="00116980">
        <w:tab/>
      </w:r>
      <w:r w:rsidR="00EB6DDB" w:rsidRPr="00116980">
        <w:t>C</w:t>
      </w:r>
      <w:r w:rsidRPr="00116980">
        <w:t>.</w:t>
      </w:r>
      <w:r w:rsidRPr="00116980">
        <w:tab/>
        <w:t>Two (2) members from the five municipalities;</w:t>
      </w:r>
    </w:p>
    <w:p w:rsidR="0045292A" w:rsidRPr="00116980" w:rsidRDefault="0045292A" w:rsidP="0045292A">
      <w:pPr>
        <w:widowControl w:val="0"/>
      </w:pPr>
    </w:p>
    <w:p w:rsidR="009E5E1E" w:rsidRPr="00116980" w:rsidRDefault="009E5E1E" w:rsidP="0045292A">
      <w:pPr>
        <w:widowControl w:val="0"/>
        <w:ind w:left="720" w:hanging="720"/>
      </w:pPr>
      <w:r w:rsidRPr="00116980">
        <w:tab/>
      </w:r>
      <w:r w:rsidR="00D3251C" w:rsidRPr="00116980">
        <w:tab/>
      </w:r>
      <w:r w:rsidR="00EB6DDB" w:rsidRPr="00116980">
        <w:t>D</w:t>
      </w:r>
      <w:r w:rsidRPr="00116980">
        <w:t>.</w:t>
      </w:r>
      <w:r w:rsidRPr="00116980">
        <w:tab/>
        <w:t>Two (2) members from environmental groups (e.g., Sierra Club, Audu</w:t>
      </w:r>
      <w:r w:rsidR="003C0B52" w:rsidRPr="00116980">
        <w:t>bon Society, Living R</w:t>
      </w:r>
      <w:r w:rsidRPr="00116980">
        <w:t>ivers Council, Mt. Veeder Stewardship Council, Friends of the Napa River, Land Trust of N</w:t>
      </w:r>
      <w:r w:rsidR="0076005A" w:rsidRPr="00116980">
        <w:t>apa County, Sustainable Napa Co</w:t>
      </w:r>
      <w:r w:rsidRPr="00116980">
        <w:t>unty, etc.);</w:t>
      </w:r>
    </w:p>
    <w:p w:rsidR="0045292A" w:rsidRPr="00116980" w:rsidRDefault="0045292A" w:rsidP="0045292A">
      <w:pPr>
        <w:widowControl w:val="0"/>
        <w:ind w:left="720" w:hanging="720"/>
      </w:pPr>
    </w:p>
    <w:p w:rsidR="009E5E1E" w:rsidRPr="00116980" w:rsidRDefault="00EB6DDB" w:rsidP="0045292A">
      <w:pPr>
        <w:widowControl w:val="0"/>
        <w:ind w:left="720" w:firstLine="720"/>
      </w:pPr>
      <w:r w:rsidRPr="00116980">
        <w:t>E</w:t>
      </w:r>
      <w:r w:rsidR="009E5E1E" w:rsidRPr="00116980">
        <w:t>.</w:t>
      </w:r>
      <w:r w:rsidR="009E5E1E" w:rsidRPr="00116980">
        <w:tab/>
        <w:t>Two (2) members from neighborhood/community groups (e.g., Save Yountville Hill, Save Rural Angwin, Watersheds Alliance of Atlas Peak, Defenders of East Napa Watersheds, Soda Canyon Road, Protect Rural Napa, Vision 2050);</w:t>
      </w:r>
    </w:p>
    <w:p w:rsidR="0045292A" w:rsidRPr="00116980" w:rsidRDefault="0045292A" w:rsidP="0045292A">
      <w:pPr>
        <w:widowControl w:val="0"/>
        <w:ind w:left="720" w:firstLine="720"/>
      </w:pPr>
    </w:p>
    <w:p w:rsidR="00062428" w:rsidRPr="00116980" w:rsidRDefault="009E5E1E" w:rsidP="0045292A">
      <w:pPr>
        <w:widowControl w:val="0"/>
      </w:pPr>
      <w:r w:rsidRPr="00116980">
        <w:tab/>
      </w:r>
      <w:r w:rsidR="00D3251C" w:rsidRPr="00116980">
        <w:tab/>
      </w:r>
      <w:r w:rsidR="00EB6DDB" w:rsidRPr="00116980">
        <w:t>F</w:t>
      </w:r>
      <w:r w:rsidRPr="00116980">
        <w:t>.</w:t>
      </w:r>
      <w:r w:rsidRPr="00116980">
        <w:tab/>
        <w:t xml:space="preserve">Five (5) at-large members, one from each Supervisorial </w:t>
      </w:r>
      <w:r w:rsidR="00062428" w:rsidRPr="00116980">
        <w:t xml:space="preserve">District; </w:t>
      </w:r>
      <w:r w:rsidR="00B73380" w:rsidRPr="00116980">
        <w:t>and</w:t>
      </w:r>
    </w:p>
    <w:p w:rsidR="0045292A" w:rsidRPr="00116980" w:rsidRDefault="0045292A" w:rsidP="0045292A">
      <w:pPr>
        <w:widowControl w:val="0"/>
      </w:pPr>
    </w:p>
    <w:p w:rsidR="00062428" w:rsidRDefault="00B73380" w:rsidP="0045292A">
      <w:pPr>
        <w:widowControl w:val="0"/>
        <w:ind w:left="720" w:hanging="720"/>
      </w:pPr>
      <w:r w:rsidRPr="00116980">
        <w:tab/>
      </w:r>
      <w:r w:rsidRPr="00116980">
        <w:tab/>
        <w:t>G.</w:t>
      </w:r>
      <w:r w:rsidRPr="00116980">
        <w:tab/>
        <w:t>Twelve (12) alternate members with one member from each of the groups identified in A through E above.</w:t>
      </w:r>
    </w:p>
    <w:p w:rsidR="00216746" w:rsidRDefault="00216746" w:rsidP="0045292A">
      <w:pPr>
        <w:widowControl w:val="0"/>
        <w:ind w:firstLine="720"/>
      </w:pPr>
    </w:p>
    <w:p w:rsidR="00216746" w:rsidRDefault="00216746" w:rsidP="0045292A">
      <w:pPr>
        <w:widowControl w:val="0"/>
        <w:ind w:firstLine="720"/>
      </w:pPr>
      <w:r>
        <w:t>2.</w:t>
      </w:r>
      <w:r>
        <w:tab/>
        <w:t>Tasks the Committee with evaluating and making recommendations on the</w:t>
      </w:r>
      <w:r w:rsidR="007F36AE">
        <w:t xml:space="preserve"> following:</w:t>
      </w:r>
      <w:r>
        <w:t xml:space="preserve"> minimum parcel</w:t>
      </w:r>
      <w:r w:rsidR="007F36AE">
        <w:t xml:space="preserve"> size for new wineries</w:t>
      </w:r>
      <w:r w:rsidR="003D62CA">
        <w:t>;</w:t>
      </w:r>
      <w:r w:rsidR="007F36AE">
        <w:t xml:space="preserve"> the minimum percentage of grapes used in the winery to be grown on-site (“estate grapes”</w:t>
      </w:r>
      <w:r w:rsidR="00545ED0">
        <w:t>)</w:t>
      </w:r>
      <w:r w:rsidR="003D62CA">
        <w:t>;</w:t>
      </w:r>
      <w:r w:rsidR="00545ED0">
        <w:t xml:space="preserve"> requiring</w:t>
      </w:r>
      <w:r w:rsidR="007F36AE">
        <w:t xml:space="preserve"> that new or expanded wineries result in no net loss of vineyards</w:t>
      </w:r>
      <w:r w:rsidR="003D62CA">
        <w:t>;</w:t>
      </w:r>
      <w:r w:rsidR="00545ED0">
        <w:t xml:space="preserve"> requiring</w:t>
      </w:r>
      <w:r w:rsidR="007F36AE">
        <w:t xml:space="preserve"> that a majority of employees be directly engaged in vineyard or production operations</w:t>
      </w:r>
      <w:r w:rsidR="003D62CA">
        <w:t>;</w:t>
      </w:r>
      <w:r w:rsidR="007F36AE">
        <w:t xml:space="preserve"> limit</w:t>
      </w:r>
      <w:r w:rsidR="00545ED0">
        <w:t>ing</w:t>
      </w:r>
      <w:r w:rsidR="007F36AE">
        <w:t xml:space="preserve"> the amount of variance allowed for s</w:t>
      </w:r>
      <w:r w:rsidR="00545ED0">
        <w:t>etbacks on new wineries</w:t>
      </w:r>
      <w:r w:rsidR="003D62CA">
        <w:t>;</w:t>
      </w:r>
      <w:r w:rsidR="00545ED0">
        <w:t xml:space="preserve"> requiring</w:t>
      </w:r>
      <w:r w:rsidR="007F36AE">
        <w:t xml:space="preserve"> that wineries inc</w:t>
      </w:r>
      <w:r w:rsidR="00545ED0">
        <w:t>lu</w:t>
      </w:r>
      <w:r w:rsidR="007F36AE">
        <w:t>de the number of temporary events in their use permit approval as part of marketing and tasti</w:t>
      </w:r>
      <w:r w:rsidR="00545ED0">
        <w:t>ng room visitation</w:t>
      </w:r>
      <w:r w:rsidR="003D62CA">
        <w:t>;</w:t>
      </w:r>
      <w:r w:rsidR="00545ED0">
        <w:t xml:space="preserve"> and</w:t>
      </w:r>
      <w:r w:rsidR="003D62CA">
        <w:t>,</w:t>
      </w:r>
      <w:r w:rsidR="00545ED0">
        <w:t xml:space="preserve"> requiring different developmen</w:t>
      </w:r>
      <w:r w:rsidR="007F36AE">
        <w:t>t standards for wineries located in the Agricultural Preserve and Agricultural Watershed zoning districts.</w:t>
      </w:r>
      <w:r w:rsidR="005B0E0B">
        <w:t xml:space="preserve">  The Committee shall</w:t>
      </w:r>
      <w:r w:rsidR="00C44292">
        <w:t xml:space="preserve"> </w:t>
      </w:r>
      <w:r w:rsidR="005B0E0B">
        <w:t>at a minimum</w:t>
      </w:r>
      <w:r w:rsidR="00C44292">
        <w:t xml:space="preserve"> </w:t>
      </w:r>
      <w:r w:rsidR="005B0E0B">
        <w:t>make its recommendations</w:t>
      </w:r>
      <w:r w:rsidR="007F36AE">
        <w:t xml:space="preserve"> </w:t>
      </w:r>
      <w:r w:rsidR="005B0E0B">
        <w:t xml:space="preserve">on these items and time permitting may make recommendations on other matters that it deems appropriate. </w:t>
      </w:r>
      <w:r w:rsidR="007F36AE">
        <w:t xml:space="preserve"> </w:t>
      </w:r>
    </w:p>
    <w:p w:rsidR="00216746" w:rsidRDefault="00216746" w:rsidP="0045292A">
      <w:pPr>
        <w:widowControl w:val="0"/>
        <w:ind w:firstLine="720"/>
      </w:pPr>
    </w:p>
    <w:p w:rsidR="00D3251C" w:rsidRPr="00116980" w:rsidRDefault="00545ED0" w:rsidP="0045292A">
      <w:pPr>
        <w:widowControl w:val="0"/>
        <w:ind w:firstLine="720"/>
      </w:pPr>
      <w:r>
        <w:t>3</w:t>
      </w:r>
      <w:r w:rsidR="00D3251C" w:rsidRPr="00116980">
        <w:t>.</w:t>
      </w:r>
      <w:r w:rsidR="00D3251C" w:rsidRPr="00116980">
        <w:tab/>
        <w:t xml:space="preserve">Directs the Clerk of the Board to </w:t>
      </w:r>
      <w:r w:rsidR="00062428" w:rsidRPr="00116980">
        <w:t xml:space="preserve">immediately </w:t>
      </w:r>
      <w:r w:rsidR="00AA4448" w:rsidRPr="00116980">
        <w:t xml:space="preserve">commence the recruitment process and to return to the Board on </w:t>
      </w:r>
      <w:r w:rsidR="00102806" w:rsidRPr="00116980">
        <w:t>April 7</w:t>
      </w:r>
      <w:r w:rsidR="00AA4448" w:rsidRPr="00116980">
        <w:t xml:space="preserve">, 2015 with </w:t>
      </w:r>
      <w:r w:rsidR="00062428" w:rsidRPr="00116980">
        <w:t>the pool of applicants who have applied to be</w:t>
      </w:r>
      <w:r w:rsidR="00EB6DDB" w:rsidRPr="00116980">
        <w:t xml:space="preserve"> on the </w:t>
      </w:r>
      <w:r w:rsidR="00141697" w:rsidRPr="00116980">
        <w:t>Committee.</w:t>
      </w:r>
    </w:p>
    <w:p w:rsidR="00062428" w:rsidRPr="00116980" w:rsidRDefault="00062428" w:rsidP="0045292A">
      <w:pPr>
        <w:widowControl w:val="0"/>
        <w:ind w:firstLine="720"/>
      </w:pPr>
    </w:p>
    <w:p w:rsidR="00B82FEB" w:rsidRPr="00116980" w:rsidRDefault="00545ED0" w:rsidP="0045292A">
      <w:pPr>
        <w:widowControl w:val="0"/>
        <w:ind w:firstLine="720"/>
      </w:pPr>
      <w:r>
        <w:t>4</w:t>
      </w:r>
      <w:r w:rsidR="00D3251C" w:rsidRPr="00116980">
        <w:t>.</w:t>
      </w:r>
      <w:r w:rsidR="00D3251C" w:rsidRPr="00116980">
        <w:tab/>
        <w:t>Di</w:t>
      </w:r>
      <w:r w:rsidR="00EB6DDB" w:rsidRPr="00116980">
        <w:t xml:space="preserve">rects the </w:t>
      </w:r>
      <w:r w:rsidR="00062428" w:rsidRPr="00116980">
        <w:t>Comm</w:t>
      </w:r>
      <w:r w:rsidR="00D3251C" w:rsidRPr="00116980">
        <w:t>i</w:t>
      </w:r>
      <w:r w:rsidR="00062428" w:rsidRPr="00116980">
        <w:t>t</w:t>
      </w:r>
      <w:r w:rsidR="00D3251C" w:rsidRPr="00116980">
        <w:t xml:space="preserve">tee to </w:t>
      </w:r>
      <w:r w:rsidR="00B82FEB" w:rsidRPr="00116980">
        <w:t xml:space="preserve">conduct its first organizational meeting no </w:t>
      </w:r>
      <w:r w:rsidR="00D3251C" w:rsidRPr="00116980">
        <w:t xml:space="preserve">later than </w:t>
      </w:r>
      <w:r w:rsidR="00102806" w:rsidRPr="00116980">
        <w:t>April 15</w:t>
      </w:r>
      <w:r w:rsidR="00141697" w:rsidRPr="00116980">
        <w:t>, 2015.</w:t>
      </w:r>
    </w:p>
    <w:p w:rsidR="00D3251C" w:rsidRPr="00116980" w:rsidRDefault="00D3251C" w:rsidP="0045292A">
      <w:pPr>
        <w:widowControl w:val="0"/>
      </w:pPr>
    </w:p>
    <w:p w:rsidR="00545ED0" w:rsidRDefault="00545ED0" w:rsidP="0045292A">
      <w:pPr>
        <w:widowControl w:val="0"/>
        <w:ind w:firstLine="720"/>
      </w:pPr>
      <w:r>
        <w:t>5</w:t>
      </w:r>
      <w:r w:rsidR="00EB6DDB" w:rsidRPr="00116980">
        <w:t>.</w:t>
      </w:r>
      <w:r w:rsidR="00EB6DDB" w:rsidRPr="00116980">
        <w:tab/>
        <w:t>Directs the</w:t>
      </w:r>
      <w:r w:rsidR="00062428" w:rsidRPr="00116980">
        <w:t xml:space="preserve"> Committee to provide </w:t>
      </w:r>
      <w:r w:rsidR="00F0379E" w:rsidRPr="00116980">
        <w:t xml:space="preserve">its recommendations </w:t>
      </w:r>
      <w:r w:rsidR="005B0E0B">
        <w:t>on proposed revisions</w:t>
      </w:r>
      <w:r w:rsidR="00F0379E" w:rsidRPr="00116980">
        <w:t xml:space="preserve"> to the Planning Commission on or </w:t>
      </w:r>
      <w:r w:rsidR="00A36BE0" w:rsidRPr="00116980">
        <w:t>before September</w:t>
      </w:r>
      <w:r w:rsidR="005B0E0B">
        <w:t xml:space="preserve"> 2</w:t>
      </w:r>
      <w:r w:rsidR="00102806" w:rsidRPr="00116980">
        <w:t>,</w:t>
      </w:r>
      <w:r w:rsidR="00141697" w:rsidRPr="00116980">
        <w:t xml:space="preserve"> 2015.</w:t>
      </w:r>
      <w:r>
        <w:t xml:space="preserve"> </w:t>
      </w:r>
    </w:p>
    <w:p w:rsidR="00545ED0" w:rsidRDefault="00545ED0" w:rsidP="0045292A">
      <w:pPr>
        <w:widowControl w:val="0"/>
        <w:ind w:firstLine="720"/>
      </w:pPr>
    </w:p>
    <w:p w:rsidR="00062428" w:rsidRDefault="00545ED0" w:rsidP="0045292A">
      <w:pPr>
        <w:widowControl w:val="0"/>
        <w:ind w:firstLine="720"/>
      </w:pPr>
      <w:r>
        <w:t>6.</w:t>
      </w:r>
      <w:r>
        <w:tab/>
        <w:t>Directs the Planning Commission to provide its recommendations on the Committee’</w:t>
      </w:r>
      <w:r w:rsidR="005B0E0B">
        <w:t xml:space="preserve">s proposed revisions </w:t>
      </w:r>
      <w:r>
        <w:t xml:space="preserve">along with the Commission’s recommendations on new guidelines for winery visitation and outdoor hospitality areas to the Board </w:t>
      </w:r>
      <w:r w:rsidR="005B0E0B">
        <w:t>on or before November 10</w:t>
      </w:r>
      <w:r w:rsidR="00171567">
        <w:t>, 2015.</w:t>
      </w:r>
    </w:p>
    <w:p w:rsidR="00545ED0" w:rsidRPr="00116980" w:rsidRDefault="00545ED0" w:rsidP="00545ED0">
      <w:pPr>
        <w:widowControl w:val="0"/>
      </w:pPr>
    </w:p>
    <w:p w:rsidR="00F0379E" w:rsidRPr="00116980" w:rsidRDefault="00545ED0" w:rsidP="0045292A">
      <w:pPr>
        <w:widowControl w:val="0"/>
        <w:ind w:firstLine="720"/>
      </w:pPr>
      <w:r>
        <w:t>7</w:t>
      </w:r>
      <w:r w:rsidR="00EB6DDB" w:rsidRPr="00116980">
        <w:t>.</w:t>
      </w:r>
      <w:r w:rsidR="00EB6DDB" w:rsidRPr="00116980">
        <w:tab/>
        <w:t xml:space="preserve">Requests that </w:t>
      </w:r>
      <w:r w:rsidR="00F0379E" w:rsidRPr="00116980">
        <w:t>the</w:t>
      </w:r>
      <w:r w:rsidR="00102806" w:rsidRPr="00116980">
        <w:t xml:space="preserve"> Director of </w:t>
      </w:r>
      <w:r w:rsidR="005E7982" w:rsidRPr="00116980">
        <w:t>P</w:t>
      </w:r>
      <w:r w:rsidR="00402DA2" w:rsidRPr="00116980">
        <w:t>lanning,</w:t>
      </w:r>
      <w:r w:rsidR="00F0379E" w:rsidRPr="00116980">
        <w:t xml:space="preserve"> Building and </w:t>
      </w:r>
      <w:r w:rsidR="00844F37" w:rsidRPr="00116980">
        <w:t>Environmental</w:t>
      </w:r>
      <w:r w:rsidR="00EB6DDB" w:rsidRPr="00116980">
        <w:t xml:space="preserve"> Services appoint a Secretary to the C</w:t>
      </w:r>
      <w:r w:rsidR="00141697" w:rsidRPr="00116980">
        <w:t>ommittee.</w:t>
      </w:r>
    </w:p>
    <w:p w:rsidR="00B82FEB" w:rsidRPr="00116980" w:rsidRDefault="00F0379E" w:rsidP="0045292A">
      <w:pPr>
        <w:widowControl w:val="0"/>
        <w:ind w:firstLine="720"/>
      </w:pPr>
      <w:r w:rsidRPr="00116980">
        <w:t xml:space="preserve"> </w:t>
      </w:r>
    </w:p>
    <w:p w:rsidR="00B82FEB" w:rsidRPr="00116980" w:rsidRDefault="00545ED0" w:rsidP="0045292A">
      <w:pPr>
        <w:widowControl w:val="0"/>
        <w:ind w:firstLine="720"/>
      </w:pPr>
      <w:r>
        <w:t>8</w:t>
      </w:r>
      <w:r w:rsidR="00F0379E" w:rsidRPr="00116980">
        <w:t>.</w:t>
      </w:r>
      <w:r w:rsidR="00F0379E" w:rsidRPr="00116980">
        <w:tab/>
      </w:r>
      <w:r w:rsidR="00B82FEB" w:rsidRPr="00116980">
        <w:t>To the exten</w:t>
      </w:r>
      <w:r w:rsidR="006D50E6" w:rsidRPr="00116980">
        <w:t xml:space="preserve">t that </w:t>
      </w:r>
      <w:r w:rsidR="00EB6DDB" w:rsidRPr="00116980">
        <w:t xml:space="preserve">the </w:t>
      </w:r>
      <w:r w:rsidR="00F0379E" w:rsidRPr="00116980">
        <w:t>Committee</w:t>
      </w:r>
      <w:r w:rsidR="00B82FEB" w:rsidRPr="00116980">
        <w:t xml:space="preserve"> requires funds for operations and expen</w:t>
      </w:r>
      <w:r w:rsidR="00F0379E" w:rsidRPr="00116980">
        <w:t>ses of the Committee</w:t>
      </w:r>
      <w:r w:rsidR="00B82FEB" w:rsidRPr="00116980">
        <w:t xml:space="preserve">, it shall submit a proposed budget to the Board of Supervisors </w:t>
      </w:r>
      <w:r w:rsidR="005E7982" w:rsidRPr="00116980">
        <w:t xml:space="preserve">for </w:t>
      </w:r>
      <w:r w:rsidR="00B82FEB" w:rsidRPr="00116980">
        <w:t>consideration and approval.</w:t>
      </w:r>
    </w:p>
    <w:p w:rsidR="00B82FEB" w:rsidRPr="00116980" w:rsidRDefault="00B82FEB" w:rsidP="0045292A">
      <w:pPr>
        <w:widowControl w:val="0"/>
      </w:pPr>
    </w:p>
    <w:p w:rsidR="00B82FEB" w:rsidRPr="00116980" w:rsidRDefault="00B82FEB" w:rsidP="0045292A">
      <w:pPr>
        <w:widowControl w:val="0"/>
      </w:pPr>
      <w:r w:rsidRPr="00116980">
        <w:tab/>
        <w:t xml:space="preserve">The foregoing resolution was duly and regularly adopted by said Board </w:t>
      </w:r>
      <w:r w:rsidR="00F0379E" w:rsidRPr="00116980">
        <w:t xml:space="preserve">of Supervisors of </w:t>
      </w:r>
      <w:r w:rsidRPr="00116980">
        <w:t>Napa</w:t>
      </w:r>
      <w:r w:rsidR="00F0379E" w:rsidRPr="00116980">
        <w:t xml:space="preserve"> County</w:t>
      </w:r>
      <w:r w:rsidRPr="00116980">
        <w:t>, State of California, at a regular meet</w:t>
      </w:r>
      <w:r w:rsidR="00F0379E" w:rsidRPr="00116980">
        <w:t>ing</w:t>
      </w:r>
      <w:r w:rsidR="00170560">
        <w:t xml:space="preserve"> of said Board held on March 17</w:t>
      </w:r>
      <w:r w:rsidR="00F0379E" w:rsidRPr="00116980">
        <w:t>, 2015</w:t>
      </w:r>
      <w:r w:rsidRPr="00116980">
        <w:t>, by the following vote:</w:t>
      </w:r>
    </w:p>
    <w:p w:rsidR="00B82FEB" w:rsidRPr="00116980" w:rsidRDefault="00B82FEB" w:rsidP="0045292A">
      <w:pPr>
        <w:widowControl w:val="0"/>
      </w:pPr>
    </w:p>
    <w:p w:rsidR="00B82FEB" w:rsidRPr="00116980" w:rsidRDefault="00B82FEB" w:rsidP="0045292A">
      <w:pPr>
        <w:widowControl w:val="0"/>
        <w:ind w:right="-720"/>
      </w:pPr>
      <w:r w:rsidRPr="00116980">
        <w:tab/>
        <w:t>AYES:</w:t>
      </w:r>
      <w:r w:rsidRPr="00116980">
        <w:tab/>
      </w:r>
      <w:r w:rsidRPr="00116980">
        <w:tab/>
        <w:t>SUPERVISORS</w:t>
      </w:r>
      <w:r w:rsidRPr="00116980">
        <w:tab/>
      </w:r>
      <w:r w:rsidR="0045292A" w:rsidRPr="00116980">
        <w:tab/>
      </w:r>
      <w:r w:rsidRPr="00116980">
        <w:t>_____________________________________</w:t>
      </w:r>
    </w:p>
    <w:p w:rsidR="00B82FEB" w:rsidRPr="00116980" w:rsidRDefault="00B82FEB" w:rsidP="0045292A">
      <w:pPr>
        <w:widowControl w:val="0"/>
        <w:ind w:right="-720"/>
      </w:pPr>
    </w:p>
    <w:p w:rsidR="00B82FEB" w:rsidRPr="00116980" w:rsidRDefault="0045292A" w:rsidP="0045292A">
      <w:pPr>
        <w:widowControl w:val="0"/>
        <w:ind w:right="-720"/>
      </w:pPr>
      <w:r w:rsidRPr="00116980">
        <w:tab/>
      </w:r>
      <w:r w:rsidR="00B82FEB" w:rsidRPr="00116980">
        <w:tab/>
      </w:r>
      <w:r w:rsidR="00B82FEB" w:rsidRPr="00116980">
        <w:tab/>
      </w:r>
      <w:r w:rsidR="00B82FEB" w:rsidRPr="00116980">
        <w:tab/>
      </w:r>
      <w:r w:rsidR="00B82FEB" w:rsidRPr="00116980">
        <w:tab/>
      </w:r>
      <w:r w:rsidR="00B82FEB" w:rsidRPr="00116980">
        <w:tab/>
      </w:r>
      <w:r w:rsidR="00B82FEB" w:rsidRPr="00116980">
        <w:tab/>
        <w:t>_____________________________________</w:t>
      </w:r>
    </w:p>
    <w:p w:rsidR="00B82FEB" w:rsidRPr="00116980" w:rsidRDefault="00B82FEB" w:rsidP="0045292A">
      <w:pPr>
        <w:widowControl w:val="0"/>
        <w:ind w:right="-720"/>
      </w:pPr>
    </w:p>
    <w:p w:rsidR="00B82FEB" w:rsidRPr="00116980" w:rsidRDefault="00B82FEB" w:rsidP="0045292A">
      <w:pPr>
        <w:widowControl w:val="0"/>
        <w:ind w:right="-720"/>
      </w:pPr>
      <w:r w:rsidRPr="00116980">
        <w:tab/>
        <w:t>NOES:</w:t>
      </w:r>
      <w:r w:rsidRPr="00116980">
        <w:tab/>
      </w:r>
      <w:r w:rsidRPr="00116980">
        <w:tab/>
        <w:t>SUPERVISORS</w:t>
      </w:r>
      <w:r w:rsidRPr="00116980">
        <w:tab/>
      </w:r>
      <w:r w:rsidR="0045292A" w:rsidRPr="00116980">
        <w:tab/>
      </w:r>
      <w:r w:rsidRPr="00116980">
        <w:t>_____________________________________</w:t>
      </w:r>
    </w:p>
    <w:p w:rsidR="00B82FEB" w:rsidRPr="00116980" w:rsidRDefault="00B82FEB" w:rsidP="0045292A">
      <w:pPr>
        <w:widowControl w:val="0"/>
        <w:ind w:right="-720"/>
      </w:pPr>
    </w:p>
    <w:p w:rsidR="00B82FEB" w:rsidRPr="00116980" w:rsidRDefault="00B82FEB" w:rsidP="0045292A">
      <w:pPr>
        <w:widowControl w:val="0"/>
        <w:ind w:right="-720"/>
      </w:pPr>
      <w:r w:rsidRPr="00116980">
        <w:tab/>
        <w:t>ABSENT:</w:t>
      </w:r>
      <w:r w:rsidRPr="00116980">
        <w:tab/>
        <w:t>SUPERVISORS</w:t>
      </w:r>
      <w:r w:rsidRPr="00116980">
        <w:tab/>
      </w:r>
      <w:r w:rsidR="0045292A" w:rsidRPr="00116980">
        <w:tab/>
      </w:r>
      <w:r w:rsidRPr="00116980">
        <w:t>_____________________________________</w:t>
      </w:r>
    </w:p>
    <w:p w:rsidR="00B82FEB" w:rsidRPr="00116980" w:rsidRDefault="00B82FEB" w:rsidP="0045292A">
      <w:pPr>
        <w:widowControl w:val="0"/>
        <w:ind w:right="-720"/>
      </w:pPr>
    </w:p>
    <w:p w:rsidR="00B82FEB" w:rsidRPr="00116980" w:rsidRDefault="0045292A" w:rsidP="0045292A">
      <w:pPr>
        <w:widowControl w:val="0"/>
        <w:ind w:right="-720"/>
      </w:pPr>
      <w:r w:rsidRPr="00116980">
        <w:tab/>
      </w:r>
      <w:r w:rsidR="00B82FEB" w:rsidRPr="00116980">
        <w:tab/>
      </w:r>
      <w:r w:rsidR="00B82FEB" w:rsidRPr="00116980">
        <w:tab/>
      </w:r>
      <w:r w:rsidR="00B82FEB" w:rsidRPr="00116980">
        <w:tab/>
      </w:r>
      <w:r w:rsidR="00B82FEB" w:rsidRPr="00116980">
        <w:tab/>
      </w:r>
      <w:r w:rsidR="00B82FEB" w:rsidRPr="00116980">
        <w:tab/>
      </w:r>
      <w:r w:rsidR="00B82FEB" w:rsidRPr="00116980">
        <w:tab/>
        <w:t>_____________________________________</w:t>
      </w:r>
    </w:p>
    <w:p w:rsidR="00B82FEB" w:rsidRPr="00116980" w:rsidRDefault="00B82FEB" w:rsidP="0045292A">
      <w:pPr>
        <w:widowControl w:val="0"/>
        <w:ind w:right="-720"/>
      </w:pPr>
      <w:r w:rsidRPr="00116980">
        <w:tab/>
      </w:r>
      <w:r w:rsidR="0045292A" w:rsidRPr="00116980">
        <w:tab/>
      </w:r>
      <w:r w:rsidRPr="00116980">
        <w:tab/>
      </w:r>
      <w:r w:rsidRPr="00116980">
        <w:tab/>
      </w:r>
      <w:r w:rsidRPr="00116980">
        <w:tab/>
      </w:r>
      <w:r w:rsidRPr="00116980">
        <w:tab/>
      </w:r>
      <w:r w:rsidRPr="00116980">
        <w:tab/>
      </w:r>
      <w:r w:rsidR="00F0379E" w:rsidRPr="00116980">
        <w:t>DIANE DILLON, Chair</w:t>
      </w:r>
    </w:p>
    <w:p w:rsidR="00116980" w:rsidRPr="00116980" w:rsidRDefault="00B82FEB" w:rsidP="0045292A">
      <w:pPr>
        <w:widowControl w:val="0"/>
        <w:ind w:right="-720"/>
      </w:pPr>
      <w:r w:rsidRPr="00116980">
        <w:tab/>
      </w:r>
      <w:r w:rsidRPr="00116980">
        <w:tab/>
      </w:r>
      <w:r w:rsidR="0045292A" w:rsidRPr="00116980">
        <w:tab/>
      </w:r>
      <w:r w:rsidRPr="00116980">
        <w:tab/>
      </w:r>
      <w:r w:rsidRPr="00116980">
        <w:tab/>
      </w:r>
      <w:r w:rsidRPr="00116980">
        <w:tab/>
      </w:r>
      <w:r w:rsidRPr="00116980">
        <w:tab/>
      </w:r>
      <w:r w:rsidR="006A29F4">
        <w:t>Board of Supervisors</w:t>
      </w:r>
    </w:p>
    <w:tbl>
      <w:tblPr>
        <w:tblW w:w="9792" w:type="dxa"/>
        <w:tblCellSpacing w:w="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141697" w:rsidRPr="00141697" w:rsidTr="00C26BBA">
        <w:trPr>
          <w:tblCellSpacing w:w="36" w:type="dxa"/>
        </w:trPr>
        <w:tc>
          <w:tcPr>
            <w:tcW w:w="4788" w:type="dxa"/>
            <w:shd w:val="clear" w:color="auto" w:fill="auto"/>
          </w:tcPr>
          <w:p w:rsidR="00141697" w:rsidRPr="00141697" w:rsidRDefault="00141697" w:rsidP="006A29F4">
            <w:pPr>
              <w:widowControl w:val="0"/>
              <w:tabs>
                <w:tab w:val="left" w:pos="0"/>
              </w:tabs>
              <w:suppressAutoHyphens/>
              <w:rPr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A29F4">
              <w:rPr>
                <w:sz w:val="22"/>
                <w:szCs w:val="22"/>
              </w:rPr>
              <w:t>ATTEST:  Gladys Coil,</w:t>
            </w: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A29F4">
              <w:rPr>
                <w:sz w:val="22"/>
                <w:szCs w:val="22"/>
              </w:rPr>
              <w:t>Clerk of the Board of Supervisors</w:t>
            </w: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A29F4">
              <w:rPr>
                <w:sz w:val="22"/>
                <w:szCs w:val="22"/>
              </w:rPr>
              <w:t>By:</w:t>
            </w:r>
            <w:r w:rsidRPr="006A29F4">
              <w:rPr>
                <w:sz w:val="22"/>
                <w:szCs w:val="22"/>
              </w:rPr>
              <w:tab/>
              <w:t>______________________________</w:t>
            </w:r>
          </w:p>
          <w:p w:rsidR="00116980" w:rsidRPr="006A29F4" w:rsidRDefault="00116980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141697" w:rsidRPr="00141697" w:rsidTr="00C26BBA">
        <w:trPr>
          <w:tblCellSpacing w:w="36" w:type="dxa"/>
        </w:trPr>
        <w:tc>
          <w:tcPr>
            <w:tcW w:w="4788" w:type="dxa"/>
            <w:shd w:val="clear" w:color="auto" w:fill="auto"/>
          </w:tcPr>
          <w:p w:rsidR="00141697" w:rsidRPr="00141697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Cs w:val="20"/>
              </w:rPr>
            </w:pP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A29F4">
              <w:rPr>
                <w:sz w:val="22"/>
                <w:szCs w:val="22"/>
              </w:rPr>
              <w:t>APPROVED BY THE NAPA COUNTY BOARD OF SUPERVISORS</w:t>
            </w: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A29F4">
              <w:rPr>
                <w:sz w:val="22"/>
                <w:szCs w:val="22"/>
              </w:rPr>
              <w:t>Date: ____________________________</w:t>
            </w: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A29F4">
              <w:rPr>
                <w:sz w:val="22"/>
                <w:szCs w:val="22"/>
              </w:rPr>
              <w:t xml:space="preserve">Processed By:   </w:t>
            </w:r>
          </w:p>
          <w:p w:rsidR="00141697" w:rsidRPr="00141697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Cs w:val="20"/>
              </w:rPr>
            </w:pPr>
            <w:r w:rsidRPr="006A29F4">
              <w:rPr>
                <w:sz w:val="22"/>
                <w:szCs w:val="22"/>
              </w:rPr>
              <w:t>_________________________________</w:t>
            </w:r>
          </w:p>
          <w:p w:rsidR="00141697" w:rsidRPr="00116980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Cs w:val="20"/>
              </w:rPr>
            </w:pPr>
            <w:r w:rsidRPr="00141697">
              <w:rPr>
                <w:szCs w:val="20"/>
              </w:rPr>
              <w:t>Deputy Clerk of the Board</w:t>
            </w:r>
          </w:p>
          <w:p w:rsidR="00116980" w:rsidRPr="00141697" w:rsidRDefault="00116980" w:rsidP="0045292A">
            <w:pPr>
              <w:widowControl w:val="0"/>
              <w:tabs>
                <w:tab w:val="left" w:pos="0"/>
              </w:tabs>
              <w:suppressAutoHyphens/>
              <w:rPr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A29F4">
              <w:rPr>
                <w:sz w:val="22"/>
                <w:szCs w:val="22"/>
              </w:rPr>
              <w:t>APPROVED AS TO FORM</w:t>
            </w: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A29F4">
              <w:rPr>
                <w:sz w:val="22"/>
                <w:szCs w:val="22"/>
              </w:rPr>
              <w:t>Office of County Counsel</w:t>
            </w: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  <w:u w:val="single"/>
              </w:rPr>
            </w:pPr>
            <w:r w:rsidRPr="006A29F4">
              <w:rPr>
                <w:sz w:val="22"/>
                <w:szCs w:val="22"/>
              </w:rPr>
              <w:t>By:</w:t>
            </w:r>
            <w:r w:rsidRPr="006A29F4">
              <w:rPr>
                <w:sz w:val="22"/>
                <w:szCs w:val="22"/>
              </w:rPr>
              <w:tab/>
            </w:r>
            <w:r w:rsidRPr="006A29F4">
              <w:rPr>
                <w:i/>
                <w:sz w:val="22"/>
                <w:szCs w:val="22"/>
                <w:u w:val="single"/>
              </w:rPr>
              <w:t xml:space="preserve">Laura J. Anderson, </w:t>
            </w:r>
            <w:r w:rsidRPr="006A29F4">
              <w:rPr>
                <w:sz w:val="22"/>
                <w:szCs w:val="22"/>
                <w:u w:val="single"/>
              </w:rPr>
              <w:t>Deputy</w:t>
            </w:r>
          </w:p>
          <w:p w:rsidR="00141697" w:rsidRPr="006A29F4" w:rsidRDefault="00141697" w:rsidP="0045292A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  <w:p w:rsidR="00141697" w:rsidRPr="006A29F4" w:rsidRDefault="00141697" w:rsidP="00CB3A70">
            <w:pPr>
              <w:widowControl w:val="0"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A29F4">
              <w:rPr>
                <w:sz w:val="22"/>
                <w:szCs w:val="22"/>
              </w:rPr>
              <w:t>Date:</w:t>
            </w:r>
            <w:r w:rsidRPr="006A29F4">
              <w:rPr>
                <w:sz w:val="22"/>
                <w:szCs w:val="22"/>
              </w:rPr>
              <w:tab/>
            </w:r>
            <w:r w:rsidR="00170560" w:rsidRPr="006A29F4">
              <w:rPr>
                <w:sz w:val="22"/>
                <w:szCs w:val="22"/>
                <w:u w:val="single"/>
              </w:rPr>
              <w:t>March 17</w:t>
            </w:r>
            <w:r w:rsidRPr="006A29F4">
              <w:rPr>
                <w:sz w:val="22"/>
                <w:szCs w:val="22"/>
                <w:u w:val="single"/>
              </w:rPr>
              <w:t>, 2015</w:t>
            </w:r>
          </w:p>
        </w:tc>
      </w:tr>
    </w:tbl>
    <w:p w:rsidR="002164AD" w:rsidRPr="006A29F4" w:rsidRDefault="00545ED0" w:rsidP="0045292A">
      <w:pPr>
        <w:widowControl w:val="0"/>
        <w:rPr>
          <w:sz w:val="16"/>
          <w:szCs w:val="16"/>
        </w:rPr>
      </w:pPr>
      <w:r w:rsidRPr="006A29F4">
        <w:rPr>
          <w:sz w:val="16"/>
          <w:szCs w:val="16"/>
        </w:rPr>
        <w:t>PL/AG PROT CMTEE</w:t>
      </w:r>
      <w:r w:rsidR="00C44292">
        <w:rPr>
          <w:sz w:val="16"/>
          <w:szCs w:val="16"/>
        </w:rPr>
        <w:t>/</w:t>
      </w:r>
      <w:r w:rsidR="003D62CA" w:rsidRPr="006A29F4">
        <w:rPr>
          <w:sz w:val="16"/>
          <w:szCs w:val="16"/>
        </w:rPr>
        <w:t>APAC</w:t>
      </w:r>
      <w:r w:rsidR="006D50E6" w:rsidRPr="006A29F4">
        <w:rPr>
          <w:sz w:val="16"/>
          <w:szCs w:val="16"/>
        </w:rPr>
        <w:t>F</w:t>
      </w:r>
      <w:r w:rsidR="002164AD" w:rsidRPr="006A29F4">
        <w:rPr>
          <w:sz w:val="16"/>
          <w:szCs w:val="16"/>
        </w:rPr>
        <w:t>ormationRes</w:t>
      </w:r>
      <w:r w:rsidR="006A29F4" w:rsidRPr="006A29F4">
        <w:rPr>
          <w:sz w:val="16"/>
          <w:szCs w:val="16"/>
        </w:rPr>
        <w:t>oREV 3.17.15</w:t>
      </w:r>
      <w:r w:rsidR="002164AD" w:rsidRPr="006A29F4">
        <w:rPr>
          <w:sz w:val="16"/>
          <w:szCs w:val="16"/>
        </w:rPr>
        <w:t>.doc</w:t>
      </w:r>
    </w:p>
    <w:sectPr w:rsidR="002164AD" w:rsidRPr="006A29F4" w:rsidSect="00116980">
      <w:footerReference w:type="even" r:id="rId8"/>
      <w:footerReference w:type="default" r:id="rId9"/>
      <w:pgSz w:w="12240" w:h="15840" w:code="1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A9" w:rsidRDefault="00E73FA9">
      <w:r>
        <w:separator/>
      </w:r>
    </w:p>
  </w:endnote>
  <w:endnote w:type="continuationSeparator" w:id="0">
    <w:p w:rsidR="00E73FA9" w:rsidRDefault="00E7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EB" w:rsidRDefault="00B82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2FEB" w:rsidRDefault="00B82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EB" w:rsidRDefault="00B82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F45">
      <w:rPr>
        <w:rStyle w:val="PageNumber"/>
        <w:noProof/>
      </w:rPr>
      <w:t>1</w:t>
    </w:r>
    <w:r>
      <w:rPr>
        <w:rStyle w:val="PageNumber"/>
      </w:rPr>
      <w:fldChar w:fldCharType="end"/>
    </w:r>
  </w:p>
  <w:p w:rsidR="00B82FEB" w:rsidRDefault="00B82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A9" w:rsidRDefault="00E73FA9">
      <w:r>
        <w:separator/>
      </w:r>
    </w:p>
  </w:footnote>
  <w:footnote w:type="continuationSeparator" w:id="0">
    <w:p w:rsidR="00E73FA9" w:rsidRDefault="00E7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410"/>
    <w:multiLevelType w:val="hybridMultilevel"/>
    <w:tmpl w:val="9D9C1710"/>
    <w:lvl w:ilvl="0" w:tplc="59E405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E35898"/>
    <w:multiLevelType w:val="hybridMultilevel"/>
    <w:tmpl w:val="AC2C8C2C"/>
    <w:lvl w:ilvl="0" w:tplc="0B3403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C3"/>
    <w:rsid w:val="000046E9"/>
    <w:rsid w:val="00016A80"/>
    <w:rsid w:val="000369C3"/>
    <w:rsid w:val="00046F18"/>
    <w:rsid w:val="00062428"/>
    <w:rsid w:val="000C3D7B"/>
    <w:rsid w:val="000F752F"/>
    <w:rsid w:val="00102806"/>
    <w:rsid w:val="00116980"/>
    <w:rsid w:val="0012173D"/>
    <w:rsid w:val="00141697"/>
    <w:rsid w:val="00170560"/>
    <w:rsid w:val="00171567"/>
    <w:rsid w:val="001879AA"/>
    <w:rsid w:val="001923A1"/>
    <w:rsid w:val="001B16A4"/>
    <w:rsid w:val="001C064C"/>
    <w:rsid w:val="001F15DE"/>
    <w:rsid w:val="002164AD"/>
    <w:rsid w:val="00216746"/>
    <w:rsid w:val="00277AC3"/>
    <w:rsid w:val="002E4F43"/>
    <w:rsid w:val="00381D09"/>
    <w:rsid w:val="003C0B52"/>
    <w:rsid w:val="003D62CA"/>
    <w:rsid w:val="00402785"/>
    <w:rsid w:val="00402DA2"/>
    <w:rsid w:val="0041744D"/>
    <w:rsid w:val="004517C0"/>
    <w:rsid w:val="0045292A"/>
    <w:rsid w:val="004853A3"/>
    <w:rsid w:val="0049039A"/>
    <w:rsid w:val="00497F45"/>
    <w:rsid w:val="004C629E"/>
    <w:rsid w:val="00545ED0"/>
    <w:rsid w:val="00554BD4"/>
    <w:rsid w:val="00566667"/>
    <w:rsid w:val="005B0E0B"/>
    <w:rsid w:val="005B3DC0"/>
    <w:rsid w:val="005C58AD"/>
    <w:rsid w:val="005E7982"/>
    <w:rsid w:val="00651EB0"/>
    <w:rsid w:val="006A0105"/>
    <w:rsid w:val="006A29F4"/>
    <w:rsid w:val="006D50E6"/>
    <w:rsid w:val="00706D76"/>
    <w:rsid w:val="007144C0"/>
    <w:rsid w:val="007504DD"/>
    <w:rsid w:val="0076005A"/>
    <w:rsid w:val="00766CFC"/>
    <w:rsid w:val="00776CE6"/>
    <w:rsid w:val="007F36AE"/>
    <w:rsid w:val="00844F37"/>
    <w:rsid w:val="00847440"/>
    <w:rsid w:val="00875351"/>
    <w:rsid w:val="008958D8"/>
    <w:rsid w:val="008D2FCD"/>
    <w:rsid w:val="00941EF8"/>
    <w:rsid w:val="009460B2"/>
    <w:rsid w:val="0099792F"/>
    <w:rsid w:val="009B605D"/>
    <w:rsid w:val="009C3681"/>
    <w:rsid w:val="009D013B"/>
    <w:rsid w:val="009D44E3"/>
    <w:rsid w:val="009E5E1E"/>
    <w:rsid w:val="00A36BE0"/>
    <w:rsid w:val="00AA4448"/>
    <w:rsid w:val="00B07140"/>
    <w:rsid w:val="00B21120"/>
    <w:rsid w:val="00B37F50"/>
    <w:rsid w:val="00B73380"/>
    <w:rsid w:val="00B82FEB"/>
    <w:rsid w:val="00B90BAF"/>
    <w:rsid w:val="00B96DF6"/>
    <w:rsid w:val="00BB486A"/>
    <w:rsid w:val="00BF3FB8"/>
    <w:rsid w:val="00C2093F"/>
    <w:rsid w:val="00C26BBA"/>
    <w:rsid w:val="00C43A13"/>
    <w:rsid w:val="00C44292"/>
    <w:rsid w:val="00C73985"/>
    <w:rsid w:val="00CB3A70"/>
    <w:rsid w:val="00CF39FA"/>
    <w:rsid w:val="00D3251C"/>
    <w:rsid w:val="00D40230"/>
    <w:rsid w:val="00DB2B35"/>
    <w:rsid w:val="00DD34A3"/>
    <w:rsid w:val="00DF5F8D"/>
    <w:rsid w:val="00E21A73"/>
    <w:rsid w:val="00E52597"/>
    <w:rsid w:val="00E64894"/>
    <w:rsid w:val="00E67736"/>
    <w:rsid w:val="00E73FA9"/>
    <w:rsid w:val="00EA17CF"/>
    <w:rsid w:val="00EB6DDB"/>
    <w:rsid w:val="00EE6192"/>
    <w:rsid w:val="00F0379E"/>
    <w:rsid w:val="00F15FB0"/>
    <w:rsid w:val="00F7254A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ITS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LANDERS1</dc:creator>
  <cp:lastModifiedBy>Morgan, Greg</cp:lastModifiedBy>
  <cp:revision>2</cp:revision>
  <cp:lastPrinted>2015-03-13T15:32:00Z</cp:lastPrinted>
  <dcterms:created xsi:type="dcterms:W3CDTF">2015-03-17T20:28:00Z</dcterms:created>
  <dcterms:modified xsi:type="dcterms:W3CDTF">2015-03-17T20:28:00Z</dcterms:modified>
</cp:coreProperties>
</file>