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666" w:rsidRPr="00ED37DD" w:rsidRDefault="00907AB4" w:rsidP="00907AB4">
      <w:pPr>
        <w:spacing w:after="0"/>
        <w:jc w:val="center"/>
        <w:rPr>
          <w:b/>
          <w:sz w:val="28"/>
          <w:szCs w:val="28"/>
        </w:rPr>
      </w:pPr>
      <w:bookmarkStart w:id="0" w:name="_GoBack"/>
      <w:bookmarkEnd w:id="0"/>
      <w:r w:rsidRPr="00ED37DD">
        <w:rPr>
          <w:b/>
          <w:sz w:val="28"/>
          <w:szCs w:val="28"/>
        </w:rPr>
        <w:t xml:space="preserve">MCE </w:t>
      </w:r>
      <w:r w:rsidR="0069210C">
        <w:rPr>
          <w:b/>
          <w:sz w:val="28"/>
          <w:szCs w:val="28"/>
        </w:rPr>
        <w:t>S</w:t>
      </w:r>
      <w:r w:rsidR="002F02FE" w:rsidRPr="00ED37DD">
        <w:rPr>
          <w:b/>
          <w:sz w:val="28"/>
          <w:szCs w:val="28"/>
        </w:rPr>
        <w:t xml:space="preserve">upports </w:t>
      </w:r>
      <w:r w:rsidRPr="00ED37DD">
        <w:rPr>
          <w:b/>
          <w:sz w:val="28"/>
          <w:szCs w:val="28"/>
        </w:rPr>
        <w:t xml:space="preserve">Union Labor </w:t>
      </w:r>
      <w:r w:rsidR="00016E57">
        <w:rPr>
          <w:b/>
          <w:sz w:val="28"/>
          <w:szCs w:val="28"/>
        </w:rPr>
        <w:t>t</w:t>
      </w:r>
      <w:r w:rsidR="0069210C">
        <w:rPr>
          <w:b/>
          <w:sz w:val="28"/>
          <w:szCs w:val="28"/>
        </w:rPr>
        <w:t>hrough</w:t>
      </w:r>
      <w:r w:rsidR="00ED37DD">
        <w:rPr>
          <w:b/>
          <w:sz w:val="28"/>
          <w:szCs w:val="28"/>
        </w:rPr>
        <w:t xml:space="preserve"> Power Purchases</w:t>
      </w:r>
    </w:p>
    <w:p w:rsidR="00EF2A93" w:rsidRDefault="00EF2A93" w:rsidP="00ED37DD">
      <w:pPr>
        <w:spacing w:after="0"/>
        <w:jc w:val="center"/>
        <w:rPr>
          <w:b/>
          <w:sz w:val="24"/>
          <w:szCs w:val="24"/>
        </w:rPr>
      </w:pPr>
    </w:p>
    <w:p w:rsidR="00907AB4" w:rsidRDefault="00907AB4" w:rsidP="0069210C">
      <w:pPr>
        <w:spacing w:after="0"/>
        <w:rPr>
          <w:b/>
          <w:sz w:val="24"/>
          <w:szCs w:val="24"/>
        </w:rPr>
      </w:pPr>
      <w:r w:rsidRPr="00ED37DD">
        <w:rPr>
          <w:b/>
          <w:sz w:val="24"/>
          <w:szCs w:val="24"/>
        </w:rPr>
        <w:t>Union Labor</w:t>
      </w:r>
      <w:r w:rsidR="00B06A78" w:rsidRPr="00ED37DD">
        <w:rPr>
          <w:b/>
          <w:sz w:val="24"/>
          <w:szCs w:val="24"/>
        </w:rPr>
        <w:t xml:space="preserve"> and Prevailing Wages</w:t>
      </w:r>
      <w:r w:rsidR="0057797E" w:rsidRPr="00ED37DD">
        <w:rPr>
          <w:b/>
          <w:sz w:val="24"/>
          <w:szCs w:val="24"/>
        </w:rPr>
        <w:t xml:space="preserve"> in </w:t>
      </w:r>
      <w:r w:rsidR="003F0C4E">
        <w:rPr>
          <w:b/>
          <w:sz w:val="24"/>
          <w:szCs w:val="24"/>
        </w:rPr>
        <w:t xml:space="preserve">Existing </w:t>
      </w:r>
      <w:r w:rsidR="00ED37DD" w:rsidRPr="00ED37DD">
        <w:rPr>
          <w:b/>
          <w:sz w:val="24"/>
          <w:szCs w:val="24"/>
        </w:rPr>
        <w:t xml:space="preserve">MCE </w:t>
      </w:r>
      <w:r w:rsidR="0057797E" w:rsidRPr="00ED37DD">
        <w:rPr>
          <w:b/>
          <w:sz w:val="24"/>
          <w:szCs w:val="24"/>
        </w:rPr>
        <w:t>Generation Projects</w:t>
      </w:r>
      <w:r w:rsidR="0069210C">
        <w:rPr>
          <w:b/>
          <w:sz w:val="24"/>
          <w:szCs w:val="24"/>
        </w:rPr>
        <w:t>:</w:t>
      </w:r>
    </w:p>
    <w:p w:rsidR="0069210C" w:rsidRPr="00ED37DD" w:rsidRDefault="0069210C" w:rsidP="0069210C">
      <w:pPr>
        <w:spacing w:after="0"/>
        <w:rPr>
          <w:b/>
          <w:sz w:val="24"/>
          <w:szCs w:val="24"/>
        </w:rPr>
      </w:pPr>
    </w:p>
    <w:p w:rsidR="003F0C4E" w:rsidRPr="000A6015" w:rsidRDefault="003F0C4E" w:rsidP="003F0C4E">
      <w:pPr>
        <w:autoSpaceDE w:val="0"/>
        <w:autoSpaceDN w:val="0"/>
        <w:adjustRightInd w:val="0"/>
        <w:contextualSpacing/>
        <w:jc w:val="both"/>
        <w:rPr>
          <w:rFonts w:cs="Arial"/>
          <w:b/>
          <w:i/>
        </w:rPr>
      </w:pPr>
      <w:r w:rsidRPr="000A6015">
        <w:rPr>
          <w:rFonts w:cs="Arial"/>
          <w:b/>
          <w:i/>
        </w:rPr>
        <w:t>Calpine</w:t>
      </w:r>
      <w:r>
        <w:rPr>
          <w:rFonts w:cs="Arial"/>
          <w:b/>
          <w:i/>
        </w:rPr>
        <w:t>, CA</w:t>
      </w:r>
    </w:p>
    <w:p w:rsidR="003F0C4E" w:rsidRDefault="003F0C4E" w:rsidP="003F0C4E">
      <w:pPr>
        <w:autoSpaceDE w:val="0"/>
        <w:autoSpaceDN w:val="0"/>
        <w:adjustRightInd w:val="0"/>
        <w:jc w:val="both"/>
        <w:rPr>
          <w:rFonts w:cs="Arial"/>
        </w:rPr>
      </w:pPr>
      <w:r>
        <w:rPr>
          <w:rFonts w:cs="Arial"/>
        </w:rPr>
        <w:t>MCE contracted with Calpine during the 2013 Open Season Process for renewable energy from the Geysers facility, an existing complex of 15 geothermal power plants totaling 725 MW located approximately 40 miles north of San Rafael in Sonoma and Lake Counties. Calpine has 578 employees in Northern California, including 300 at the Geysers. For the past three years Calpine’s local construction projects in Hayward and San Jose have employed more than 1,200 union workers under project labor agreements. MCE plans to expand its contract deliveries from Calpine for both renewable and conventional power over the next several years.</w:t>
      </w:r>
    </w:p>
    <w:p w:rsidR="003F0C4E" w:rsidRPr="003B72A9" w:rsidRDefault="003F0C4E" w:rsidP="003F0C4E">
      <w:pPr>
        <w:contextualSpacing/>
        <w:rPr>
          <w:rFonts w:cs="Helvetica"/>
          <w:b/>
          <w:i/>
          <w:color w:val="222222"/>
        </w:rPr>
      </w:pPr>
      <w:r w:rsidRPr="003B72A9">
        <w:rPr>
          <w:rFonts w:cs="Helvetica"/>
          <w:b/>
          <w:i/>
          <w:color w:val="222222"/>
        </w:rPr>
        <w:t>EDF Renewables</w:t>
      </w:r>
      <w:r>
        <w:rPr>
          <w:rFonts w:cs="Helvetica"/>
          <w:b/>
          <w:i/>
          <w:color w:val="222222"/>
        </w:rPr>
        <w:t>, CA</w:t>
      </w:r>
      <w:r w:rsidRPr="003B72A9">
        <w:rPr>
          <w:rFonts w:cs="Helvetica"/>
          <w:b/>
          <w:i/>
          <w:color w:val="222222"/>
        </w:rPr>
        <w:t xml:space="preserve"> </w:t>
      </w:r>
    </w:p>
    <w:p w:rsidR="003F0C4E" w:rsidRDefault="003F0C4E" w:rsidP="003F0C4E">
      <w:pPr>
        <w:contextualSpacing/>
        <w:rPr>
          <w:rFonts w:cs="Helvetica"/>
          <w:color w:val="222222"/>
        </w:rPr>
      </w:pPr>
      <w:r w:rsidRPr="003B72A9">
        <w:rPr>
          <w:rFonts w:cs="Helvetica"/>
          <w:color w:val="222222"/>
        </w:rPr>
        <w:t>EDF</w:t>
      </w:r>
      <w:r>
        <w:rPr>
          <w:rFonts w:cs="Helvetica"/>
          <w:color w:val="222222"/>
        </w:rPr>
        <w:t xml:space="preserve"> Renewables, formerly known as </w:t>
      </w:r>
      <w:proofErr w:type="spellStart"/>
      <w:r>
        <w:rPr>
          <w:rFonts w:cs="Helvetica"/>
          <w:color w:val="222222"/>
        </w:rPr>
        <w:t>enXco</w:t>
      </w:r>
      <w:proofErr w:type="spellEnd"/>
      <w:r>
        <w:rPr>
          <w:rFonts w:cs="Helvetica"/>
          <w:color w:val="222222"/>
        </w:rPr>
        <w:t>, is currently constructing a 23</w:t>
      </w:r>
      <w:r w:rsidRPr="003B72A9">
        <w:rPr>
          <w:rFonts w:cs="Helvetica"/>
          <w:color w:val="222222"/>
        </w:rPr>
        <w:t xml:space="preserve"> MW Solar facility for MCE under a </w:t>
      </w:r>
      <w:r w:rsidRPr="00016E57">
        <w:rPr>
          <w:rFonts w:cs="Helvetica"/>
          <w:color w:val="222222"/>
          <w:u w:val="single"/>
        </w:rPr>
        <w:t>Project Labor Agreement</w:t>
      </w:r>
      <w:r w:rsidRPr="00016E57">
        <w:rPr>
          <w:rFonts w:cs="Helvetica"/>
          <w:color w:val="222222"/>
        </w:rPr>
        <w:t xml:space="preserve"> executed</w:t>
      </w:r>
      <w:r>
        <w:rPr>
          <w:rFonts w:cs="Helvetica"/>
          <w:color w:val="222222"/>
        </w:rPr>
        <w:t xml:space="preserve"> in October of 2011</w:t>
      </w:r>
      <w:r w:rsidRPr="003B72A9">
        <w:rPr>
          <w:rFonts w:cs="Helvetica"/>
          <w:color w:val="222222"/>
        </w:rPr>
        <w:t>.  The pr</w:t>
      </w:r>
      <w:r>
        <w:rPr>
          <w:rFonts w:cs="Helvetica"/>
          <w:color w:val="222222"/>
        </w:rPr>
        <w:t>oject will be on line by April 1, 2015. All Electrical work</w:t>
      </w:r>
      <w:r w:rsidRPr="00522B07">
        <w:rPr>
          <w:rFonts w:cs="Helvetica"/>
          <w:color w:val="222222"/>
        </w:rPr>
        <w:t xml:space="preserve"> </w:t>
      </w:r>
      <w:r>
        <w:rPr>
          <w:rFonts w:cs="Helvetica"/>
          <w:color w:val="222222"/>
        </w:rPr>
        <w:t>within the scope of the project, PV module installation, and any subcontracting will be performed by signatory contractors to the Master Labor Agreement of the Local Union.</w:t>
      </w:r>
    </w:p>
    <w:p w:rsidR="003F0C4E" w:rsidRDefault="003F0C4E" w:rsidP="00907AB4">
      <w:pPr>
        <w:spacing w:after="0"/>
        <w:rPr>
          <w:b/>
          <w:i/>
        </w:rPr>
      </w:pPr>
    </w:p>
    <w:p w:rsidR="00907AB4" w:rsidRPr="007002BF" w:rsidRDefault="00907AB4" w:rsidP="00907AB4">
      <w:pPr>
        <w:spacing w:after="0"/>
        <w:rPr>
          <w:b/>
          <w:i/>
        </w:rPr>
      </w:pPr>
      <w:r w:rsidRPr="007002BF">
        <w:rPr>
          <w:b/>
          <w:i/>
        </w:rPr>
        <w:t>Tri</w:t>
      </w:r>
      <w:r w:rsidR="006F08D5">
        <w:rPr>
          <w:b/>
          <w:i/>
        </w:rPr>
        <w:t>-</w:t>
      </w:r>
      <w:r w:rsidRPr="007002BF">
        <w:rPr>
          <w:b/>
          <w:i/>
        </w:rPr>
        <w:t>Dam</w:t>
      </w:r>
      <w:r w:rsidR="00324EBC">
        <w:rPr>
          <w:b/>
          <w:i/>
        </w:rPr>
        <w:t>, CA</w:t>
      </w:r>
    </w:p>
    <w:p w:rsidR="00081E5C" w:rsidRPr="007002BF" w:rsidRDefault="00081E5C" w:rsidP="00081E5C">
      <w:pPr>
        <w:spacing w:after="0"/>
      </w:pPr>
      <w:r w:rsidRPr="007002BF">
        <w:t>The Tri</w:t>
      </w:r>
      <w:r w:rsidR="006F08D5">
        <w:t>-</w:t>
      </w:r>
      <w:r w:rsidRPr="007002BF">
        <w:t xml:space="preserve">Dam </w:t>
      </w:r>
      <w:r w:rsidR="00BB4DAD">
        <w:t xml:space="preserve">hydroelectric </w:t>
      </w:r>
      <w:r w:rsidR="00BB4DAD" w:rsidRPr="002F02FE">
        <w:t>facility</w:t>
      </w:r>
      <w:r w:rsidR="00B77E39" w:rsidRPr="002F02FE">
        <w:rPr>
          <w:color w:val="000000"/>
          <w:shd w:val="clear" w:color="auto" w:fill="FFFDF4"/>
        </w:rPr>
        <w:t xml:space="preserve"> </w:t>
      </w:r>
      <w:r w:rsidR="007F24BF" w:rsidRPr="002F02FE">
        <w:rPr>
          <w:rStyle w:val="apple-converted-space"/>
          <w:color w:val="000000"/>
          <w:shd w:val="clear" w:color="auto" w:fill="FFFDF4"/>
        </w:rPr>
        <w:t xml:space="preserve">is </w:t>
      </w:r>
      <w:r w:rsidR="00B77E39" w:rsidRPr="002F02FE">
        <w:rPr>
          <w:color w:val="000000"/>
          <w:shd w:val="clear" w:color="auto" w:fill="FFFDF4"/>
        </w:rPr>
        <w:t>located on the Middle Fork of the Stanislaus River</w:t>
      </w:r>
      <w:r w:rsidRPr="002F02FE">
        <w:t xml:space="preserve"> in </w:t>
      </w:r>
      <w:r w:rsidR="00A74BBE" w:rsidRPr="002F02FE">
        <w:t>Tuolumne</w:t>
      </w:r>
      <w:r w:rsidR="00A74BBE">
        <w:t xml:space="preserve"> County</w:t>
      </w:r>
      <w:r w:rsidR="007F24BF">
        <w:t>. The</w:t>
      </w:r>
      <w:r w:rsidR="006F08D5">
        <w:t xml:space="preserve"> </w:t>
      </w:r>
      <w:r w:rsidR="006F08D5" w:rsidRPr="002F02FE">
        <w:rPr>
          <w:u w:val="single"/>
        </w:rPr>
        <w:t>IBEW</w:t>
      </w:r>
      <w:r w:rsidR="00BB4DAD" w:rsidRPr="002F02FE">
        <w:rPr>
          <w:u w:val="single"/>
        </w:rPr>
        <w:t xml:space="preserve"> </w:t>
      </w:r>
      <w:r w:rsidR="006F08D5" w:rsidRPr="002F02FE">
        <w:rPr>
          <w:u w:val="single"/>
        </w:rPr>
        <w:t>represent</w:t>
      </w:r>
      <w:r w:rsidR="007F24BF" w:rsidRPr="002F02FE">
        <w:rPr>
          <w:u w:val="single"/>
        </w:rPr>
        <w:t>s eighteen onsite operating crew members</w:t>
      </w:r>
      <w:r w:rsidR="007F24BF">
        <w:t xml:space="preserve"> at the electric</w:t>
      </w:r>
      <w:r w:rsidR="006F08D5">
        <w:t xml:space="preserve"> generation facility</w:t>
      </w:r>
      <w:r w:rsidR="007F24BF">
        <w:t>. The Tri-Dam</w:t>
      </w:r>
      <w:r w:rsidRPr="007002BF">
        <w:t xml:space="preserve"> </w:t>
      </w:r>
      <w:r w:rsidR="007F24BF">
        <w:t xml:space="preserve">project was </w:t>
      </w:r>
      <w:r w:rsidR="006F08D5">
        <w:t xml:space="preserve">a critical </w:t>
      </w:r>
      <w:r w:rsidRPr="007002BF">
        <w:t>part of MCE’s generation portf</w:t>
      </w:r>
      <w:r w:rsidR="00B06A78" w:rsidRPr="007002BF">
        <w:t>ol</w:t>
      </w:r>
      <w:r w:rsidRPr="007002BF">
        <w:t>io during its for</w:t>
      </w:r>
      <w:r w:rsidR="007551D1">
        <w:t>mative years in 2010 and 2011</w:t>
      </w:r>
      <w:r w:rsidR="00ED37DD">
        <w:t xml:space="preserve"> and</w:t>
      </w:r>
      <w:r w:rsidR="006F08D5">
        <w:t xml:space="preserve"> provided over 25% of MCE’s </w:t>
      </w:r>
      <w:r w:rsidRPr="007002BF">
        <w:t>power supply during this time frame</w:t>
      </w:r>
      <w:r w:rsidR="007F24BF">
        <w:t>. The Tri-Dam Power Authority requires prevailing wages be paid for all capital projects and</w:t>
      </w:r>
      <w:r w:rsidRPr="007002BF">
        <w:t xml:space="preserve"> expansion</w:t>
      </w:r>
      <w:r w:rsidR="007F24BF">
        <w:t>s</w:t>
      </w:r>
      <w:r w:rsidRPr="007002BF">
        <w:t xml:space="preserve"> to increase production</w:t>
      </w:r>
      <w:r w:rsidR="00BB4DAD">
        <w:t>.</w:t>
      </w:r>
      <w:r w:rsidRPr="007002BF">
        <w:t xml:space="preserve"> </w:t>
      </w:r>
      <w:r w:rsidR="007F24BF">
        <w:t xml:space="preserve">MCE </w:t>
      </w:r>
      <w:r w:rsidR="00BB4DAD">
        <w:t>continue</w:t>
      </w:r>
      <w:r w:rsidR="00ED37DD">
        <w:t>d</w:t>
      </w:r>
      <w:r w:rsidR="00BB4DAD">
        <w:t xml:space="preserve"> to </w:t>
      </w:r>
      <w:r w:rsidR="007F24BF">
        <w:t>re</w:t>
      </w:r>
      <w:r w:rsidR="00BB4DAD">
        <w:t>ceive</w:t>
      </w:r>
      <w:r w:rsidR="007F24BF">
        <w:t xml:space="preserve"> a substantial portion of its carbon free hydropowe</w:t>
      </w:r>
      <w:r w:rsidR="00BB4DAD">
        <w:t xml:space="preserve">r from the facility through 2013, and expects to procure addition power </w:t>
      </w:r>
      <w:r w:rsidR="000A6015">
        <w:t xml:space="preserve">from this facility </w:t>
      </w:r>
      <w:r w:rsidR="00BB4DAD">
        <w:t xml:space="preserve">as it is </w:t>
      </w:r>
      <w:r w:rsidR="008A53CF">
        <w:t>available</w:t>
      </w:r>
      <w:r w:rsidR="007F24BF">
        <w:t>.</w:t>
      </w:r>
    </w:p>
    <w:p w:rsidR="00081E5C" w:rsidRPr="007002BF" w:rsidRDefault="00081E5C" w:rsidP="00907AB4">
      <w:pPr>
        <w:spacing w:after="0"/>
      </w:pPr>
    </w:p>
    <w:p w:rsidR="00907AB4" w:rsidRPr="007002BF" w:rsidRDefault="003F0C4E" w:rsidP="00907AB4">
      <w:pPr>
        <w:spacing w:after="0"/>
        <w:rPr>
          <w:b/>
          <w:i/>
        </w:rPr>
      </w:pPr>
      <w:r>
        <w:rPr>
          <w:b/>
          <w:i/>
        </w:rPr>
        <w:t>Western Area Power Authority, CA</w:t>
      </w:r>
    </w:p>
    <w:p w:rsidR="00081E5C" w:rsidRPr="007002BF" w:rsidRDefault="00081E5C" w:rsidP="00081E5C">
      <w:pPr>
        <w:spacing w:after="0"/>
      </w:pPr>
      <w:r w:rsidRPr="007002BF">
        <w:t xml:space="preserve">MCE has a contract in place for </w:t>
      </w:r>
      <w:r w:rsidR="00412865">
        <w:t xml:space="preserve">procurement of </w:t>
      </w:r>
      <w:r w:rsidRPr="007002BF">
        <w:t>hydroelectric power from the Weste</w:t>
      </w:r>
      <w:r w:rsidR="007551D1">
        <w:t>rn Area Power Authority (WAPA).</w:t>
      </w:r>
      <w:r w:rsidRPr="007002BF">
        <w:t xml:space="preserve"> </w:t>
      </w:r>
      <w:r w:rsidR="00412865">
        <w:t xml:space="preserve">MCE is </w:t>
      </w:r>
      <w:r w:rsidR="00834C6E">
        <w:t xml:space="preserve">a </w:t>
      </w:r>
      <w:r w:rsidR="00412865">
        <w:t xml:space="preserve">proud </w:t>
      </w:r>
      <w:r w:rsidR="00834C6E">
        <w:t xml:space="preserve">customer of </w:t>
      </w:r>
      <w:r w:rsidR="00412865">
        <w:t>WAPA</w:t>
      </w:r>
      <w:r w:rsidR="00ED37DD">
        <w:t xml:space="preserve"> and t</w:t>
      </w:r>
      <w:r w:rsidR="00834C6E">
        <w:t xml:space="preserve">he </w:t>
      </w:r>
      <w:r w:rsidRPr="002F02FE">
        <w:rPr>
          <w:u w:val="single"/>
        </w:rPr>
        <w:t xml:space="preserve">IBEW </w:t>
      </w:r>
      <w:r w:rsidR="00834C6E" w:rsidRPr="002F02FE">
        <w:rPr>
          <w:u w:val="single"/>
        </w:rPr>
        <w:t xml:space="preserve">lists WAPA </w:t>
      </w:r>
      <w:r w:rsidRPr="002F02FE">
        <w:rPr>
          <w:u w:val="single"/>
        </w:rPr>
        <w:t>as a member agency</w:t>
      </w:r>
      <w:r w:rsidRPr="007002BF">
        <w:t xml:space="preserve"> that supports union labor</w:t>
      </w:r>
      <w:r w:rsidR="00834C6E">
        <w:t>. WAPA is</w:t>
      </w:r>
      <w:r w:rsidR="00412865">
        <w:t xml:space="preserve"> one of the largest generators of carbon-neutral electricity in the United States</w:t>
      </w:r>
      <w:r w:rsidRPr="007002BF">
        <w:t>.</w:t>
      </w:r>
    </w:p>
    <w:p w:rsidR="00081E5C" w:rsidRPr="007002BF" w:rsidRDefault="00081E5C" w:rsidP="00907AB4">
      <w:pPr>
        <w:spacing w:after="0"/>
        <w:rPr>
          <w:b/>
          <w:i/>
        </w:rPr>
      </w:pPr>
    </w:p>
    <w:p w:rsidR="00907AB4" w:rsidRPr="007002BF" w:rsidRDefault="00907AB4" w:rsidP="00907AB4">
      <w:pPr>
        <w:spacing w:after="0"/>
        <w:rPr>
          <w:b/>
          <w:i/>
        </w:rPr>
      </w:pPr>
      <w:r w:rsidRPr="007002BF">
        <w:rPr>
          <w:b/>
          <w:i/>
        </w:rPr>
        <w:t>Silicon Valley Power Authority</w:t>
      </w:r>
      <w:r w:rsidR="00324EBC">
        <w:rPr>
          <w:b/>
          <w:i/>
        </w:rPr>
        <w:t>, CA</w:t>
      </w:r>
    </w:p>
    <w:p w:rsidR="00081E5C" w:rsidRPr="007002BF" w:rsidRDefault="007551D1" w:rsidP="00907AB4">
      <w:pPr>
        <w:spacing w:after="0"/>
      </w:pPr>
      <w:r>
        <w:t>The Silicon Valley Power Authority p</w:t>
      </w:r>
      <w:r w:rsidR="00081E5C" w:rsidRPr="007002BF">
        <w:t>rovides scheduling services to MCE for the Hay Road waste-to-en</w:t>
      </w:r>
      <w:r>
        <w:t xml:space="preserve">ergy project in Placer County. </w:t>
      </w:r>
      <w:r w:rsidR="00081E5C" w:rsidRPr="007002BF">
        <w:t xml:space="preserve">Silicon Valley Power Authority is </w:t>
      </w:r>
      <w:r w:rsidR="00081E5C" w:rsidRPr="002F02FE">
        <w:rPr>
          <w:u w:val="single"/>
        </w:rPr>
        <w:t>listed by IBEW as a member agency</w:t>
      </w:r>
      <w:r w:rsidR="00081E5C" w:rsidRPr="007002BF">
        <w:t xml:space="preserve"> that supports union labor.</w:t>
      </w:r>
    </w:p>
    <w:p w:rsidR="00081E5C" w:rsidRDefault="00081E5C" w:rsidP="00907AB4">
      <w:pPr>
        <w:spacing w:after="0"/>
      </w:pPr>
    </w:p>
    <w:p w:rsidR="003F0C4E" w:rsidRDefault="003F0C4E" w:rsidP="00907AB4">
      <w:pPr>
        <w:spacing w:after="0"/>
      </w:pPr>
    </w:p>
    <w:p w:rsidR="003F0C4E" w:rsidRPr="007002BF" w:rsidRDefault="003F0C4E" w:rsidP="00907AB4">
      <w:pPr>
        <w:spacing w:after="0"/>
      </w:pPr>
    </w:p>
    <w:p w:rsidR="00907AB4" w:rsidRPr="007002BF" w:rsidRDefault="00907AB4" w:rsidP="00907AB4">
      <w:pPr>
        <w:spacing w:after="0"/>
        <w:rPr>
          <w:b/>
          <w:i/>
        </w:rPr>
      </w:pPr>
      <w:r w:rsidRPr="007002BF">
        <w:rPr>
          <w:b/>
          <w:i/>
        </w:rPr>
        <w:lastRenderedPageBreak/>
        <w:t>G2</w:t>
      </w:r>
      <w:r w:rsidR="00324EBC">
        <w:rPr>
          <w:b/>
          <w:i/>
        </w:rPr>
        <w:t xml:space="preserve"> Energy, Yuba and Solano County, CA</w:t>
      </w:r>
      <w:r w:rsidR="00ED37DD">
        <w:rPr>
          <w:b/>
          <w:i/>
        </w:rPr>
        <w:t xml:space="preserve"> </w:t>
      </w:r>
    </w:p>
    <w:p w:rsidR="00081E5C" w:rsidRDefault="006F08D5" w:rsidP="00907AB4">
      <w:pPr>
        <w:spacing w:after="0"/>
        <w:rPr>
          <w:rFonts w:cs="Tahoma"/>
        </w:rPr>
      </w:pPr>
      <w:r>
        <w:rPr>
          <w:rFonts w:cs="Tahoma"/>
        </w:rPr>
        <w:t xml:space="preserve">Under contract with MCE, G2 established </w:t>
      </w:r>
      <w:r w:rsidR="00834C6E">
        <w:rPr>
          <w:rFonts w:cs="Tahoma"/>
        </w:rPr>
        <w:t xml:space="preserve">a </w:t>
      </w:r>
      <w:r>
        <w:rPr>
          <w:rFonts w:cs="Tahoma"/>
        </w:rPr>
        <w:t xml:space="preserve">new </w:t>
      </w:r>
      <w:r w:rsidR="00ED37DD">
        <w:rPr>
          <w:rFonts w:cs="Tahoma"/>
        </w:rPr>
        <w:t>l</w:t>
      </w:r>
      <w:r w:rsidR="00834C6E">
        <w:rPr>
          <w:rFonts w:cs="Tahoma"/>
        </w:rPr>
        <w:t xml:space="preserve">andfill </w:t>
      </w:r>
      <w:r>
        <w:rPr>
          <w:rFonts w:cs="Tahoma"/>
        </w:rPr>
        <w:t xml:space="preserve">gas </w:t>
      </w:r>
      <w:r w:rsidR="00834C6E">
        <w:rPr>
          <w:rFonts w:cs="Tahoma"/>
        </w:rPr>
        <w:t>generator</w:t>
      </w:r>
      <w:r>
        <w:rPr>
          <w:rFonts w:cs="Tahoma"/>
        </w:rPr>
        <w:t xml:space="preserve"> in Solano</w:t>
      </w:r>
      <w:r w:rsidR="007551D1">
        <w:rPr>
          <w:rFonts w:cs="Tahoma"/>
        </w:rPr>
        <w:t xml:space="preserve"> C</w:t>
      </w:r>
      <w:r w:rsidR="00834C6E">
        <w:rPr>
          <w:rFonts w:cs="Tahoma"/>
        </w:rPr>
        <w:t>ounty</w:t>
      </w:r>
      <w:r>
        <w:rPr>
          <w:rFonts w:cs="Tahoma"/>
        </w:rPr>
        <w:t xml:space="preserve"> and </w:t>
      </w:r>
      <w:r w:rsidR="00834C6E">
        <w:rPr>
          <w:rFonts w:cs="Tahoma"/>
        </w:rPr>
        <w:t xml:space="preserve">expanded an </w:t>
      </w:r>
      <w:r w:rsidR="00E96DCF">
        <w:rPr>
          <w:rFonts w:cs="Tahoma"/>
        </w:rPr>
        <w:t>existing</w:t>
      </w:r>
      <w:r w:rsidR="00834C6E">
        <w:rPr>
          <w:rFonts w:cs="Tahoma"/>
        </w:rPr>
        <w:t xml:space="preserve"> landfill </w:t>
      </w:r>
      <w:r w:rsidR="00E96DCF">
        <w:rPr>
          <w:rFonts w:cs="Tahoma"/>
        </w:rPr>
        <w:t>gas</w:t>
      </w:r>
      <w:r w:rsidR="00834C6E">
        <w:rPr>
          <w:rFonts w:cs="Tahoma"/>
        </w:rPr>
        <w:t xml:space="preserve"> generator in Yuba </w:t>
      </w:r>
      <w:r>
        <w:rPr>
          <w:rFonts w:cs="Tahoma"/>
        </w:rPr>
        <w:t>Count</w:t>
      </w:r>
      <w:r w:rsidR="00834C6E">
        <w:rPr>
          <w:rFonts w:cs="Tahoma"/>
        </w:rPr>
        <w:t>y.</w:t>
      </w:r>
      <w:r>
        <w:rPr>
          <w:rFonts w:cs="Tahoma"/>
        </w:rPr>
        <w:t xml:space="preserve"> </w:t>
      </w:r>
      <w:r w:rsidR="00834C6E">
        <w:rPr>
          <w:rFonts w:cs="Tahoma"/>
        </w:rPr>
        <w:t>The Solano plant</w:t>
      </w:r>
      <w:r>
        <w:rPr>
          <w:rFonts w:cs="Tahoma"/>
        </w:rPr>
        <w:t xml:space="preserve"> </w:t>
      </w:r>
      <w:r w:rsidR="00E96DCF">
        <w:rPr>
          <w:rFonts w:cs="Tahoma"/>
        </w:rPr>
        <w:t>provides renewable</w:t>
      </w:r>
      <w:r>
        <w:rPr>
          <w:rFonts w:cs="Tahoma"/>
        </w:rPr>
        <w:t xml:space="preserve"> energy and local jobs through </w:t>
      </w:r>
      <w:proofErr w:type="spellStart"/>
      <w:r>
        <w:rPr>
          <w:rFonts w:cs="Tahoma"/>
        </w:rPr>
        <w:t>Recology</w:t>
      </w:r>
      <w:proofErr w:type="spellEnd"/>
      <w:r>
        <w:rPr>
          <w:rFonts w:cs="Tahoma"/>
        </w:rPr>
        <w:t>.</w:t>
      </w:r>
      <w:r w:rsidR="00546195">
        <w:rPr>
          <w:rFonts w:cs="Tahoma"/>
        </w:rPr>
        <w:t xml:space="preserve"> </w:t>
      </w:r>
      <w:r w:rsidR="00CC55D1">
        <w:rPr>
          <w:rFonts w:cs="Tahoma"/>
        </w:rPr>
        <w:t>Both facilities</w:t>
      </w:r>
      <w:r w:rsidR="00081E5C" w:rsidRPr="007002BF">
        <w:rPr>
          <w:rFonts w:cs="Tahoma"/>
        </w:rPr>
        <w:t xml:space="preserve"> </w:t>
      </w:r>
      <w:r w:rsidR="00E96DCF" w:rsidRPr="00BB4DAD">
        <w:rPr>
          <w:rFonts w:cs="Tahoma"/>
        </w:rPr>
        <w:t>used</w:t>
      </w:r>
      <w:r w:rsidR="00CC55D1">
        <w:rPr>
          <w:rFonts w:cs="Tahoma"/>
        </w:rPr>
        <w:t xml:space="preserve"> </w:t>
      </w:r>
      <w:r w:rsidR="00BB4DAD" w:rsidRPr="00BB4DAD">
        <w:rPr>
          <w:rFonts w:eastAsia="Times New Roman"/>
          <w:color w:val="000000"/>
        </w:rPr>
        <w:t>Per</w:t>
      </w:r>
      <w:r w:rsidR="00BB4DAD">
        <w:rPr>
          <w:rFonts w:eastAsia="Times New Roman"/>
          <w:color w:val="000000"/>
        </w:rPr>
        <w:t>formance Mechanical, Inc. (PMI)</w:t>
      </w:r>
      <w:r w:rsidR="00CE2509" w:rsidRPr="00BB4DAD">
        <w:rPr>
          <w:rFonts w:cs="Tahoma"/>
        </w:rPr>
        <w:t>,</w:t>
      </w:r>
      <w:r w:rsidR="00CC55D1">
        <w:rPr>
          <w:rFonts w:cs="Tahoma"/>
        </w:rPr>
        <w:t xml:space="preserve"> a </w:t>
      </w:r>
      <w:r w:rsidR="00ED37DD" w:rsidRPr="00ED37DD">
        <w:rPr>
          <w:rFonts w:cs="Tahoma"/>
          <w:u w:val="single"/>
        </w:rPr>
        <w:t>California-</w:t>
      </w:r>
      <w:r w:rsidR="00BB4DAD" w:rsidRPr="00ED37DD">
        <w:rPr>
          <w:rFonts w:cs="Tahoma"/>
          <w:u w:val="single"/>
        </w:rPr>
        <w:t xml:space="preserve">based </w:t>
      </w:r>
      <w:r w:rsidR="00CC55D1" w:rsidRPr="00ED37DD">
        <w:rPr>
          <w:rFonts w:cs="Tahoma"/>
          <w:u w:val="single"/>
        </w:rPr>
        <w:t>union</w:t>
      </w:r>
      <w:r w:rsidR="00E96DCF" w:rsidRPr="00ED37DD">
        <w:rPr>
          <w:rFonts w:cs="Tahoma"/>
          <w:u w:val="single"/>
        </w:rPr>
        <w:t xml:space="preserve"> </w:t>
      </w:r>
      <w:r w:rsidR="00081E5C" w:rsidRPr="00ED37DD">
        <w:rPr>
          <w:rFonts w:cs="Tahoma"/>
          <w:u w:val="single"/>
        </w:rPr>
        <w:t>contractor</w:t>
      </w:r>
      <w:r w:rsidR="00E96DCF">
        <w:rPr>
          <w:rFonts w:cs="Tahoma"/>
        </w:rPr>
        <w:t xml:space="preserve">. </w:t>
      </w:r>
      <w:r w:rsidR="007551D1">
        <w:rPr>
          <w:rFonts w:cs="Tahoma"/>
        </w:rPr>
        <w:t xml:space="preserve">PMI employed </w:t>
      </w:r>
      <w:r w:rsidR="00BB4DAD" w:rsidRPr="002F02FE">
        <w:rPr>
          <w:rFonts w:cs="Tahoma"/>
          <w:u w:val="single"/>
        </w:rPr>
        <w:t>union members</w:t>
      </w:r>
      <w:r w:rsidR="00BB4DAD">
        <w:rPr>
          <w:rFonts w:cs="Tahoma"/>
        </w:rPr>
        <w:t xml:space="preserve"> o</w:t>
      </w:r>
      <w:r w:rsidR="00CC55D1">
        <w:rPr>
          <w:rFonts w:cs="Tahoma"/>
        </w:rPr>
        <w:t xml:space="preserve">f Local #228 at both job sites. </w:t>
      </w:r>
      <w:r w:rsidR="00ED37DD">
        <w:rPr>
          <w:rFonts w:cs="Tahoma"/>
        </w:rPr>
        <w:t xml:space="preserve">Both </w:t>
      </w:r>
      <w:r w:rsidR="00081E5C" w:rsidRPr="007002BF">
        <w:rPr>
          <w:rFonts w:cs="Tahoma"/>
        </w:rPr>
        <w:t xml:space="preserve">facilities </w:t>
      </w:r>
      <w:r w:rsidR="00E96DCF">
        <w:rPr>
          <w:rFonts w:cs="Tahoma"/>
        </w:rPr>
        <w:t xml:space="preserve">both </w:t>
      </w:r>
      <w:r w:rsidR="00081E5C" w:rsidRPr="007002BF">
        <w:rPr>
          <w:rFonts w:cs="Tahoma"/>
        </w:rPr>
        <w:t>came on line in 2013 to serve MCE’s customers</w:t>
      </w:r>
      <w:r w:rsidR="00BB4DAD">
        <w:rPr>
          <w:rFonts w:cs="Tahoma"/>
        </w:rPr>
        <w:t xml:space="preserve"> and </w:t>
      </w:r>
      <w:r w:rsidR="00ED37DD">
        <w:rPr>
          <w:rFonts w:cs="Tahoma"/>
        </w:rPr>
        <w:t>b</w:t>
      </w:r>
      <w:r w:rsidR="002F02FE">
        <w:rPr>
          <w:rFonts w:cs="Tahoma"/>
        </w:rPr>
        <w:t xml:space="preserve">oth are serving MCE customers today under long-term </w:t>
      </w:r>
      <w:r w:rsidR="00ED37DD">
        <w:rPr>
          <w:rFonts w:cs="Tahoma"/>
        </w:rPr>
        <w:t xml:space="preserve">20+ year </w:t>
      </w:r>
      <w:r w:rsidR="002F02FE">
        <w:rPr>
          <w:rFonts w:cs="Tahoma"/>
        </w:rPr>
        <w:t>contract</w:t>
      </w:r>
      <w:r w:rsidR="00ED37DD">
        <w:rPr>
          <w:rFonts w:cs="Tahoma"/>
        </w:rPr>
        <w:t>s</w:t>
      </w:r>
      <w:r w:rsidR="002F02FE">
        <w:rPr>
          <w:rFonts w:cs="Tahoma"/>
        </w:rPr>
        <w:t xml:space="preserve"> with MCE</w:t>
      </w:r>
      <w:r w:rsidR="00081E5C" w:rsidRPr="007002BF">
        <w:rPr>
          <w:rFonts w:cs="Tahoma"/>
        </w:rPr>
        <w:t>.</w:t>
      </w:r>
    </w:p>
    <w:p w:rsidR="00E96DCF" w:rsidRDefault="00E96DCF" w:rsidP="00907AB4">
      <w:pPr>
        <w:spacing w:after="0"/>
        <w:rPr>
          <w:rFonts w:cs="Tahoma"/>
        </w:rPr>
      </w:pPr>
    </w:p>
    <w:p w:rsidR="00E96DCF" w:rsidRPr="008A53CF" w:rsidRDefault="00E96DCF" w:rsidP="00907AB4">
      <w:pPr>
        <w:spacing w:after="0"/>
        <w:rPr>
          <w:rFonts w:cs="Tahoma"/>
          <w:b/>
          <w:i/>
        </w:rPr>
      </w:pPr>
      <w:r w:rsidRPr="008A53CF">
        <w:rPr>
          <w:rFonts w:cs="Tahoma"/>
          <w:b/>
          <w:i/>
        </w:rPr>
        <w:t>Energy 2001 (</w:t>
      </w:r>
      <w:proofErr w:type="spellStart"/>
      <w:r w:rsidRPr="008A53CF">
        <w:rPr>
          <w:rFonts w:cs="Tahoma"/>
          <w:b/>
          <w:i/>
        </w:rPr>
        <w:t>Genpower</w:t>
      </w:r>
      <w:proofErr w:type="spellEnd"/>
      <w:r w:rsidRPr="008A53CF">
        <w:rPr>
          <w:rFonts w:cs="Tahoma"/>
          <w:b/>
          <w:i/>
        </w:rPr>
        <w:t>)</w:t>
      </w:r>
      <w:r w:rsidR="003B72A9">
        <w:rPr>
          <w:rFonts w:cs="Tahoma"/>
          <w:b/>
          <w:i/>
        </w:rPr>
        <w:t>, Lincoln</w:t>
      </w:r>
      <w:r w:rsidR="00324EBC">
        <w:rPr>
          <w:rFonts w:cs="Tahoma"/>
          <w:b/>
          <w:i/>
        </w:rPr>
        <w:t>, CA</w:t>
      </w:r>
    </w:p>
    <w:p w:rsidR="00C87A25" w:rsidRDefault="00CC55D1" w:rsidP="00C87A25">
      <w:pPr>
        <w:pStyle w:val="PlainText"/>
      </w:pPr>
      <w:proofErr w:type="spellStart"/>
      <w:r>
        <w:rPr>
          <w:rFonts w:cs="Tahoma"/>
        </w:rPr>
        <w:t>Genpower’s</w:t>
      </w:r>
      <w:proofErr w:type="spellEnd"/>
      <w:r>
        <w:rPr>
          <w:rFonts w:cs="Tahoma"/>
        </w:rPr>
        <w:t xml:space="preserve"> expansion of its </w:t>
      </w:r>
      <w:r w:rsidR="00E96DCF">
        <w:rPr>
          <w:rFonts w:cs="Tahoma"/>
        </w:rPr>
        <w:t>Energy 2001 landfill gas generator in Placer County started serving MCE customer in October of 2012</w:t>
      </w:r>
      <w:r w:rsidR="002F02FE">
        <w:rPr>
          <w:rFonts w:cs="Tahoma"/>
        </w:rPr>
        <w:t xml:space="preserve"> and continues to serve MCE under a long term power purchase agreement</w:t>
      </w:r>
      <w:r w:rsidR="00E96DCF">
        <w:rPr>
          <w:rFonts w:cs="Tahoma"/>
        </w:rPr>
        <w:t xml:space="preserve">. </w:t>
      </w:r>
      <w:proofErr w:type="spellStart"/>
      <w:r w:rsidR="00E96DCF">
        <w:rPr>
          <w:rFonts w:cs="Tahoma"/>
        </w:rPr>
        <w:t>Genpower</w:t>
      </w:r>
      <w:proofErr w:type="spellEnd"/>
      <w:r w:rsidR="00E96DCF">
        <w:rPr>
          <w:rFonts w:cs="Tahoma"/>
        </w:rPr>
        <w:t xml:space="preserve"> </w:t>
      </w:r>
      <w:r w:rsidR="00C87A25">
        <w:rPr>
          <w:rFonts w:cs="Tahoma"/>
        </w:rPr>
        <w:t>meets or exceeds federal prevailing wages for it</w:t>
      </w:r>
      <w:r w:rsidR="003B72A9">
        <w:rPr>
          <w:rFonts w:cs="Tahoma"/>
        </w:rPr>
        <w:t>s</w:t>
      </w:r>
      <w:r w:rsidR="00C87A25">
        <w:rPr>
          <w:rFonts w:cs="Tahoma"/>
        </w:rPr>
        <w:t xml:space="preserve"> operation</w:t>
      </w:r>
      <w:r w:rsidR="00B77E39">
        <w:rPr>
          <w:rFonts w:cs="Tahoma"/>
        </w:rPr>
        <w:t>s</w:t>
      </w:r>
      <w:r w:rsidR="00C87A25">
        <w:rPr>
          <w:rFonts w:cs="Tahoma"/>
        </w:rPr>
        <w:t xml:space="preserve"> staff.</w:t>
      </w:r>
      <w:r w:rsidR="00C87A25" w:rsidRPr="00C87A25">
        <w:t xml:space="preserve"> </w:t>
      </w:r>
      <w:r w:rsidR="00C87A25">
        <w:t xml:space="preserve">Additionally, </w:t>
      </w:r>
      <w:proofErr w:type="spellStart"/>
      <w:r w:rsidR="00847B61">
        <w:t>Genpower</w:t>
      </w:r>
      <w:proofErr w:type="spellEnd"/>
      <w:r w:rsidR="00847B61">
        <w:t xml:space="preserve"> uses Holt of California,</w:t>
      </w:r>
      <w:r w:rsidR="00847B61" w:rsidRPr="00847B61">
        <w:t xml:space="preserve"> </w:t>
      </w:r>
      <w:r w:rsidR="00847B61" w:rsidRPr="002F02FE">
        <w:rPr>
          <w:u w:val="single"/>
        </w:rPr>
        <w:t xml:space="preserve">a union </w:t>
      </w:r>
      <w:r w:rsidR="002F02FE" w:rsidRPr="002F02FE">
        <w:rPr>
          <w:u w:val="single"/>
        </w:rPr>
        <w:t>facility</w:t>
      </w:r>
      <w:r w:rsidR="00CE2509">
        <w:t>,</w:t>
      </w:r>
      <w:r w:rsidR="00847B61">
        <w:t xml:space="preserve"> a</w:t>
      </w:r>
      <w:r w:rsidR="00C87A25">
        <w:t>s their Caterpillar dealership for</w:t>
      </w:r>
      <w:r w:rsidR="00B77E39">
        <w:t xml:space="preserve"> all</w:t>
      </w:r>
      <w:r w:rsidR="00847B61">
        <w:t xml:space="preserve"> parts and labor</w:t>
      </w:r>
      <w:r w:rsidR="00C87A25">
        <w:t xml:space="preserve">. </w:t>
      </w:r>
    </w:p>
    <w:p w:rsidR="00E96DCF" w:rsidRPr="007002BF" w:rsidRDefault="00E96DCF" w:rsidP="00907AB4">
      <w:pPr>
        <w:spacing w:after="0"/>
        <w:rPr>
          <w:rFonts w:cs="Tahoma"/>
        </w:rPr>
      </w:pPr>
    </w:p>
    <w:p w:rsidR="00B06A78" w:rsidRPr="007002BF" w:rsidRDefault="00B06A78" w:rsidP="00907AB4">
      <w:pPr>
        <w:spacing w:after="0"/>
        <w:rPr>
          <w:rFonts w:cs="Tahoma"/>
          <w:b/>
          <w:i/>
        </w:rPr>
      </w:pPr>
      <w:r w:rsidRPr="007002BF">
        <w:rPr>
          <w:rFonts w:cs="Tahoma"/>
          <w:b/>
          <w:i/>
        </w:rPr>
        <w:t>San Rafael Airport</w:t>
      </w:r>
      <w:r w:rsidR="00324EBC">
        <w:rPr>
          <w:rFonts w:cs="Tahoma"/>
          <w:b/>
          <w:i/>
        </w:rPr>
        <w:t>, CA</w:t>
      </w:r>
    </w:p>
    <w:p w:rsidR="00CA6F51" w:rsidRDefault="00B06A78" w:rsidP="00CA6F51">
      <w:r w:rsidRPr="007002BF">
        <w:rPr>
          <w:rFonts w:cs="Tahoma"/>
        </w:rPr>
        <w:t xml:space="preserve">Project Developer used </w:t>
      </w:r>
      <w:r w:rsidRPr="00EF2A93">
        <w:rPr>
          <w:rFonts w:cs="Tahoma"/>
          <w:u w:val="single"/>
        </w:rPr>
        <w:t xml:space="preserve">local workforce job </w:t>
      </w:r>
      <w:r w:rsidR="002F02FE" w:rsidRPr="00EF2A93">
        <w:rPr>
          <w:rFonts w:cs="Tahoma"/>
          <w:u w:val="single"/>
        </w:rPr>
        <w:t>trainees</w:t>
      </w:r>
      <w:r w:rsidR="002F02FE">
        <w:rPr>
          <w:rFonts w:cs="Tahoma"/>
        </w:rPr>
        <w:t xml:space="preserve"> from the Marin City Community Development Corporation, helping bring new workers into the market to gain experience in the green</w:t>
      </w:r>
      <w:r w:rsidR="00ED37DD">
        <w:rPr>
          <w:rFonts w:cs="Tahoma"/>
        </w:rPr>
        <w:t xml:space="preserve"> </w:t>
      </w:r>
      <w:r w:rsidR="002F02FE">
        <w:rPr>
          <w:rFonts w:cs="Tahoma"/>
        </w:rPr>
        <w:t>collar workforce.  More than 20 jobs were created during the 3 month construction period.</w:t>
      </w:r>
    </w:p>
    <w:p w:rsidR="008A53CF" w:rsidRPr="008A53CF" w:rsidRDefault="008A53CF" w:rsidP="00907AB4">
      <w:pPr>
        <w:spacing w:after="0"/>
        <w:rPr>
          <w:rFonts w:cs="Tahoma"/>
          <w:b/>
          <w:i/>
        </w:rPr>
      </w:pPr>
      <w:r w:rsidRPr="008A53CF">
        <w:rPr>
          <w:rFonts w:cs="Tahoma"/>
          <w:b/>
          <w:i/>
        </w:rPr>
        <w:t>Lodi Energy Center</w:t>
      </w:r>
      <w:r w:rsidR="00324EBC">
        <w:rPr>
          <w:rFonts w:cs="Tahoma"/>
          <w:b/>
          <w:i/>
        </w:rPr>
        <w:t>, CA</w:t>
      </w:r>
      <w:r w:rsidRPr="008A53CF">
        <w:rPr>
          <w:rFonts w:cs="Tahoma"/>
          <w:b/>
          <w:i/>
        </w:rPr>
        <w:t xml:space="preserve"> </w:t>
      </w:r>
    </w:p>
    <w:p w:rsidR="008A53CF" w:rsidRDefault="008A53CF" w:rsidP="00907AB4">
      <w:pPr>
        <w:spacing w:after="0"/>
        <w:rPr>
          <w:rFonts w:cs="Helvetica"/>
          <w:color w:val="222222"/>
        </w:rPr>
      </w:pPr>
      <w:r w:rsidRPr="008A53CF">
        <w:rPr>
          <w:rStyle w:val="Emphasis"/>
          <w:rFonts w:cs="Helvetica"/>
          <w:i w:val="0"/>
          <w:color w:val="222222"/>
        </w:rPr>
        <w:t>The Lodi Energy Center</w:t>
      </w:r>
      <w:r w:rsidR="00094412">
        <w:rPr>
          <w:rStyle w:val="Emphasis"/>
          <w:rFonts w:cs="Helvetica"/>
          <w:i w:val="0"/>
          <w:color w:val="222222"/>
        </w:rPr>
        <w:t xml:space="preserve"> </w:t>
      </w:r>
      <w:proofErr w:type="gramStart"/>
      <w:r w:rsidRPr="008A53CF">
        <w:rPr>
          <w:rStyle w:val="Emphasis"/>
          <w:rFonts w:cs="Helvetica"/>
          <w:i w:val="0"/>
          <w:color w:val="222222"/>
        </w:rPr>
        <w:t>LEC,</w:t>
      </w:r>
      <w:proofErr w:type="gramEnd"/>
      <w:r w:rsidRPr="008A53CF">
        <w:rPr>
          <w:rStyle w:val="Emphasis"/>
          <w:rFonts w:cs="Helvetica"/>
          <w:i w:val="0"/>
          <w:color w:val="222222"/>
        </w:rPr>
        <w:t xml:space="preserve"> began commercial operation on Sept. 17, 2012, the 280-MW Lodi Energy Center is the first “fast-start” combined cycle power plant in the U.S. The advantages of the gas turbine’s shorter startup capabilities are reduced fuel costs, lower emissions, and the versatility to effectively partner with intermittent renewable energy sources. The new power plant is located next to the city of Lodi’s municipal wastewater treatment plant and uses its treated wastewater for cooling purposes.</w:t>
      </w:r>
      <w:r w:rsidRPr="008A53CF">
        <w:rPr>
          <w:rFonts w:cs="Helvetica"/>
          <w:i/>
          <w:color w:val="222222"/>
        </w:rPr>
        <w:t xml:space="preserve"> </w:t>
      </w:r>
      <w:r w:rsidR="0002196A">
        <w:rPr>
          <w:rFonts w:cs="Helvetica"/>
          <w:color w:val="222222"/>
        </w:rPr>
        <w:t xml:space="preserve">The LEC project </w:t>
      </w:r>
      <w:r w:rsidR="005A7CE2">
        <w:rPr>
          <w:rFonts w:cs="Helvetica"/>
          <w:color w:val="222222"/>
        </w:rPr>
        <w:t xml:space="preserve">included a </w:t>
      </w:r>
      <w:r w:rsidR="005A7CE2" w:rsidRPr="002F02FE">
        <w:rPr>
          <w:rFonts w:cs="Helvetica"/>
          <w:color w:val="222222"/>
          <w:u w:val="single"/>
        </w:rPr>
        <w:t>project labor agreement ratified by 15 union locals s</w:t>
      </w:r>
      <w:r w:rsidR="00CC55D1" w:rsidRPr="002F02FE">
        <w:rPr>
          <w:rFonts w:cs="Helvetica"/>
          <w:color w:val="222222"/>
          <w:u w:val="single"/>
        </w:rPr>
        <w:t xml:space="preserve">ecuring a $60 Million </w:t>
      </w:r>
      <w:r w:rsidR="00FB5B89" w:rsidRPr="002F02FE">
        <w:rPr>
          <w:rFonts w:cs="Helvetica"/>
          <w:color w:val="222222"/>
          <w:u w:val="single"/>
        </w:rPr>
        <w:t>labor budget</w:t>
      </w:r>
      <w:r w:rsidR="00094412" w:rsidRPr="002F02FE">
        <w:rPr>
          <w:rFonts w:cs="Helvetica"/>
          <w:color w:val="222222"/>
          <w:u w:val="single"/>
        </w:rPr>
        <w:t xml:space="preserve"> </w:t>
      </w:r>
      <w:r w:rsidR="00FB5B89" w:rsidRPr="002F02FE">
        <w:rPr>
          <w:rFonts w:cs="Helvetica"/>
          <w:color w:val="222222"/>
          <w:u w:val="single"/>
        </w:rPr>
        <w:t>for 200</w:t>
      </w:r>
      <w:r w:rsidR="005A7CE2" w:rsidRPr="002F02FE">
        <w:rPr>
          <w:rFonts w:cs="Helvetica"/>
          <w:color w:val="222222"/>
          <w:u w:val="single"/>
        </w:rPr>
        <w:t xml:space="preserve"> union</w:t>
      </w:r>
      <w:r w:rsidR="00FB5B89" w:rsidRPr="002F02FE">
        <w:rPr>
          <w:rFonts w:cs="Helvetica"/>
          <w:color w:val="222222"/>
          <w:u w:val="single"/>
        </w:rPr>
        <w:t xml:space="preserve"> workers over a two year construction period</w:t>
      </w:r>
      <w:r w:rsidR="00FB5B89">
        <w:rPr>
          <w:rFonts w:cs="Helvetica"/>
          <w:color w:val="222222"/>
        </w:rPr>
        <w:t>, 2010-2011.</w:t>
      </w:r>
    </w:p>
    <w:p w:rsidR="00016E57" w:rsidRDefault="00016E57" w:rsidP="00ED37DD">
      <w:pPr>
        <w:contextualSpacing/>
        <w:rPr>
          <w:rFonts w:cs="Helvetica"/>
          <w:b/>
          <w:i/>
          <w:color w:val="222222"/>
        </w:rPr>
      </w:pPr>
    </w:p>
    <w:p w:rsidR="003F0C4E" w:rsidRDefault="003F0C4E" w:rsidP="0069210C">
      <w:pPr>
        <w:spacing w:after="0"/>
        <w:rPr>
          <w:b/>
          <w:sz w:val="24"/>
          <w:szCs w:val="24"/>
        </w:rPr>
      </w:pPr>
    </w:p>
    <w:p w:rsidR="00B06A78" w:rsidRPr="00ED37DD" w:rsidRDefault="00B06A78" w:rsidP="0069210C">
      <w:pPr>
        <w:spacing w:after="0"/>
        <w:rPr>
          <w:b/>
          <w:sz w:val="24"/>
          <w:szCs w:val="24"/>
        </w:rPr>
      </w:pPr>
      <w:r w:rsidRPr="00ED37DD">
        <w:rPr>
          <w:b/>
          <w:sz w:val="24"/>
          <w:szCs w:val="24"/>
        </w:rPr>
        <w:t xml:space="preserve">Union Labor in </w:t>
      </w:r>
      <w:r w:rsidR="00ED37DD" w:rsidRPr="00ED37DD">
        <w:rPr>
          <w:b/>
          <w:sz w:val="24"/>
          <w:szCs w:val="24"/>
        </w:rPr>
        <w:t xml:space="preserve">New MCE Power </w:t>
      </w:r>
      <w:r w:rsidR="00ED37DD">
        <w:rPr>
          <w:b/>
          <w:sz w:val="24"/>
          <w:szCs w:val="24"/>
        </w:rPr>
        <w:t>Purchase Agreement</w:t>
      </w:r>
      <w:r w:rsidR="0069210C">
        <w:rPr>
          <w:b/>
          <w:sz w:val="24"/>
          <w:szCs w:val="24"/>
        </w:rPr>
        <w:t>:</w:t>
      </w:r>
    </w:p>
    <w:p w:rsidR="0057797E" w:rsidRPr="00CC55D1" w:rsidRDefault="00EF2A93" w:rsidP="0057797E">
      <w:pPr>
        <w:pStyle w:val="Default"/>
        <w:jc w:val="both"/>
        <w:rPr>
          <w:rFonts w:asciiTheme="minorHAnsi" w:hAnsiTheme="minorHAnsi"/>
          <w:sz w:val="22"/>
          <w:szCs w:val="23"/>
        </w:rPr>
      </w:pPr>
      <w:r>
        <w:rPr>
          <w:rFonts w:asciiTheme="minorHAnsi" w:hAnsiTheme="minorHAnsi"/>
          <w:sz w:val="22"/>
          <w:szCs w:val="23"/>
        </w:rPr>
        <w:t xml:space="preserve">In </w:t>
      </w:r>
      <w:r w:rsidR="002F02FE">
        <w:rPr>
          <w:rFonts w:asciiTheme="minorHAnsi" w:hAnsiTheme="minorHAnsi"/>
          <w:sz w:val="22"/>
          <w:szCs w:val="23"/>
        </w:rPr>
        <w:t>MCE</w:t>
      </w:r>
      <w:r>
        <w:rPr>
          <w:rFonts w:asciiTheme="minorHAnsi" w:hAnsiTheme="minorHAnsi"/>
          <w:sz w:val="22"/>
          <w:szCs w:val="23"/>
        </w:rPr>
        <w:t xml:space="preserve">’s annual </w:t>
      </w:r>
      <w:r w:rsidR="0069210C">
        <w:rPr>
          <w:rFonts w:asciiTheme="minorHAnsi" w:hAnsiTheme="minorHAnsi"/>
          <w:sz w:val="22"/>
          <w:szCs w:val="23"/>
        </w:rPr>
        <w:t>“</w:t>
      </w:r>
      <w:r>
        <w:rPr>
          <w:rFonts w:asciiTheme="minorHAnsi" w:hAnsiTheme="minorHAnsi"/>
          <w:sz w:val="22"/>
          <w:szCs w:val="23"/>
        </w:rPr>
        <w:t>Open Season</w:t>
      </w:r>
      <w:r w:rsidR="0069210C">
        <w:rPr>
          <w:rFonts w:asciiTheme="minorHAnsi" w:hAnsiTheme="minorHAnsi"/>
          <w:sz w:val="22"/>
          <w:szCs w:val="23"/>
        </w:rPr>
        <w:t>”</w:t>
      </w:r>
      <w:r>
        <w:rPr>
          <w:rFonts w:asciiTheme="minorHAnsi" w:hAnsiTheme="minorHAnsi"/>
          <w:sz w:val="22"/>
          <w:szCs w:val="23"/>
        </w:rPr>
        <w:t xml:space="preserve"> power supply </w:t>
      </w:r>
      <w:r w:rsidRPr="00EF2A93">
        <w:rPr>
          <w:rFonts w:asciiTheme="minorHAnsi" w:hAnsiTheme="minorHAnsi"/>
          <w:sz w:val="22"/>
          <w:szCs w:val="23"/>
        </w:rPr>
        <w:t xml:space="preserve">solicitation </w:t>
      </w:r>
      <w:r w:rsidR="0069210C">
        <w:rPr>
          <w:rFonts w:asciiTheme="minorHAnsi" w:hAnsiTheme="minorHAnsi"/>
          <w:sz w:val="22"/>
          <w:szCs w:val="23"/>
        </w:rPr>
        <w:t>requests the following information</w:t>
      </w:r>
      <w:r w:rsidRPr="00EF2A93">
        <w:rPr>
          <w:rFonts w:asciiTheme="minorHAnsi" w:hAnsiTheme="minorHAnsi"/>
          <w:sz w:val="22"/>
          <w:szCs w:val="23"/>
        </w:rPr>
        <w:t xml:space="preserve"> </w:t>
      </w:r>
      <w:r w:rsidR="0057797E" w:rsidRPr="00EF2A93">
        <w:rPr>
          <w:rFonts w:asciiTheme="minorHAnsi" w:hAnsiTheme="minorHAnsi"/>
          <w:sz w:val="22"/>
          <w:szCs w:val="23"/>
        </w:rPr>
        <w:t xml:space="preserve">from </w:t>
      </w:r>
      <w:r w:rsidR="002F02FE" w:rsidRPr="00EF2A93">
        <w:rPr>
          <w:rFonts w:asciiTheme="minorHAnsi" w:hAnsiTheme="minorHAnsi"/>
          <w:sz w:val="22"/>
          <w:szCs w:val="23"/>
        </w:rPr>
        <w:t>all supply bidders</w:t>
      </w:r>
      <w:r w:rsidR="0057797E" w:rsidRPr="00EF2A93">
        <w:rPr>
          <w:rFonts w:asciiTheme="minorHAnsi" w:hAnsiTheme="minorHAnsi"/>
          <w:sz w:val="22"/>
          <w:szCs w:val="23"/>
        </w:rPr>
        <w:t xml:space="preserve"> regarding </w:t>
      </w:r>
      <w:r w:rsidR="0057797E" w:rsidRPr="00CC55D1">
        <w:rPr>
          <w:rFonts w:asciiTheme="minorHAnsi" w:hAnsiTheme="minorHAnsi"/>
          <w:sz w:val="22"/>
          <w:szCs w:val="23"/>
        </w:rPr>
        <w:t xml:space="preserve">past, current and/or planned efforts by developers and their contractors to: </w:t>
      </w:r>
    </w:p>
    <w:p w:rsidR="0057797E" w:rsidRPr="00CC55D1" w:rsidRDefault="0057797E" w:rsidP="0057797E">
      <w:pPr>
        <w:pStyle w:val="Default"/>
        <w:numPr>
          <w:ilvl w:val="0"/>
          <w:numId w:val="1"/>
        </w:numPr>
        <w:jc w:val="both"/>
        <w:rPr>
          <w:rFonts w:asciiTheme="minorHAnsi" w:hAnsiTheme="minorHAnsi"/>
          <w:bCs/>
          <w:sz w:val="22"/>
          <w:szCs w:val="23"/>
        </w:rPr>
      </w:pPr>
      <w:r w:rsidRPr="00CC55D1">
        <w:rPr>
          <w:rFonts w:asciiTheme="minorHAnsi" w:hAnsiTheme="minorHAnsi"/>
          <w:sz w:val="22"/>
          <w:szCs w:val="23"/>
        </w:rPr>
        <w:t xml:space="preserve">Employ C-10 licensed contractors and certified electricians. </w:t>
      </w:r>
    </w:p>
    <w:p w:rsidR="0057797E" w:rsidRPr="00CC55D1" w:rsidRDefault="0057797E" w:rsidP="0057797E">
      <w:pPr>
        <w:pStyle w:val="Default"/>
        <w:numPr>
          <w:ilvl w:val="0"/>
          <w:numId w:val="1"/>
        </w:numPr>
        <w:jc w:val="both"/>
        <w:rPr>
          <w:rFonts w:asciiTheme="minorHAnsi" w:hAnsiTheme="minorHAnsi"/>
          <w:bCs/>
          <w:sz w:val="22"/>
          <w:szCs w:val="23"/>
        </w:rPr>
      </w:pPr>
      <w:r w:rsidRPr="00CC55D1">
        <w:rPr>
          <w:rFonts w:asciiTheme="minorHAnsi" w:hAnsiTheme="minorHAnsi"/>
          <w:sz w:val="22"/>
          <w:szCs w:val="23"/>
        </w:rPr>
        <w:t xml:space="preserve">Pay the prevailing wage for electricians pursuant to the Labor Code. </w:t>
      </w:r>
    </w:p>
    <w:p w:rsidR="0057797E" w:rsidRPr="00CC55D1" w:rsidRDefault="0057797E" w:rsidP="0057797E">
      <w:pPr>
        <w:pStyle w:val="Default"/>
        <w:numPr>
          <w:ilvl w:val="0"/>
          <w:numId w:val="1"/>
        </w:numPr>
        <w:jc w:val="both"/>
        <w:rPr>
          <w:rFonts w:asciiTheme="minorHAnsi" w:hAnsiTheme="minorHAnsi"/>
          <w:bCs/>
          <w:sz w:val="22"/>
          <w:szCs w:val="23"/>
        </w:rPr>
      </w:pPr>
      <w:r w:rsidRPr="00CC55D1">
        <w:rPr>
          <w:rFonts w:asciiTheme="minorHAnsi" w:hAnsiTheme="minorHAnsi"/>
          <w:sz w:val="22"/>
          <w:szCs w:val="23"/>
        </w:rPr>
        <w:t>Utilize local apprentices during construction and maintenance.</w:t>
      </w:r>
    </w:p>
    <w:p w:rsidR="0057797E" w:rsidRPr="00CC55D1" w:rsidRDefault="0057797E" w:rsidP="0057797E">
      <w:pPr>
        <w:pStyle w:val="Default"/>
        <w:numPr>
          <w:ilvl w:val="0"/>
          <w:numId w:val="1"/>
        </w:numPr>
        <w:jc w:val="both"/>
        <w:rPr>
          <w:rFonts w:asciiTheme="minorHAnsi" w:hAnsiTheme="minorHAnsi"/>
          <w:sz w:val="22"/>
          <w:szCs w:val="23"/>
        </w:rPr>
      </w:pPr>
      <w:r w:rsidRPr="00CC55D1">
        <w:rPr>
          <w:rFonts w:asciiTheme="minorHAnsi" w:hAnsiTheme="minorHAnsi"/>
          <w:sz w:val="22"/>
          <w:szCs w:val="23"/>
        </w:rPr>
        <w:t xml:space="preserve">Pay workers the correct prevailing wage rates for each craft, classification and type of work performed. </w:t>
      </w:r>
    </w:p>
    <w:p w:rsidR="0057797E" w:rsidRPr="00CC55D1" w:rsidRDefault="0057797E" w:rsidP="0057797E">
      <w:pPr>
        <w:pStyle w:val="Default"/>
        <w:numPr>
          <w:ilvl w:val="0"/>
          <w:numId w:val="1"/>
        </w:numPr>
        <w:jc w:val="both"/>
        <w:rPr>
          <w:rFonts w:asciiTheme="minorHAnsi" w:hAnsiTheme="minorHAnsi"/>
          <w:sz w:val="22"/>
          <w:szCs w:val="23"/>
        </w:rPr>
      </w:pPr>
      <w:r w:rsidRPr="00CC55D1">
        <w:rPr>
          <w:rFonts w:asciiTheme="minorHAnsi" w:hAnsiTheme="minorHAnsi"/>
          <w:sz w:val="22"/>
          <w:szCs w:val="23"/>
        </w:rPr>
        <w:t>Utilize Project Labor Agreements on the proposed project or prior project developments.</w:t>
      </w:r>
    </w:p>
    <w:p w:rsidR="0057797E" w:rsidRPr="00CC55D1" w:rsidRDefault="0057797E" w:rsidP="0057797E">
      <w:pPr>
        <w:pStyle w:val="ListParagraph"/>
        <w:numPr>
          <w:ilvl w:val="0"/>
          <w:numId w:val="2"/>
        </w:numPr>
        <w:spacing w:after="0"/>
        <w:rPr>
          <w:rFonts w:asciiTheme="minorHAnsi" w:hAnsiTheme="minorHAnsi" w:cs="Arial"/>
          <w:szCs w:val="23"/>
        </w:rPr>
      </w:pPr>
      <w:r w:rsidRPr="00CC55D1">
        <w:rPr>
          <w:rFonts w:asciiTheme="minorHAnsi" w:hAnsiTheme="minorHAnsi" w:cs="Arial"/>
          <w:szCs w:val="23"/>
        </w:rPr>
        <w:t>Display a poster at jobsites informing workers of prevailing wage requirements.</w:t>
      </w:r>
    </w:p>
    <w:p w:rsidR="0057797E" w:rsidRPr="00CC55D1" w:rsidRDefault="0057797E" w:rsidP="0057797E">
      <w:pPr>
        <w:pStyle w:val="Default"/>
        <w:numPr>
          <w:ilvl w:val="0"/>
          <w:numId w:val="1"/>
        </w:numPr>
        <w:jc w:val="both"/>
        <w:rPr>
          <w:rFonts w:asciiTheme="minorHAnsi" w:hAnsiTheme="minorHAnsi"/>
          <w:bCs/>
          <w:sz w:val="22"/>
          <w:szCs w:val="23"/>
        </w:rPr>
      </w:pPr>
      <w:r w:rsidRPr="00CC55D1">
        <w:rPr>
          <w:rFonts w:asciiTheme="minorHAnsi" w:hAnsiTheme="minorHAnsi"/>
          <w:bCs/>
          <w:sz w:val="22"/>
          <w:szCs w:val="23"/>
        </w:rPr>
        <w:t xml:space="preserve">Provide workers compensation coverage.  </w:t>
      </w:r>
    </w:p>
    <w:p w:rsidR="0057797E" w:rsidRDefault="0057797E" w:rsidP="0057797E">
      <w:pPr>
        <w:pStyle w:val="Default"/>
        <w:ind w:left="360"/>
        <w:jc w:val="both"/>
        <w:rPr>
          <w:bCs/>
          <w:sz w:val="23"/>
          <w:szCs w:val="23"/>
        </w:rPr>
      </w:pPr>
    </w:p>
    <w:p w:rsidR="00324EBC" w:rsidRPr="000A6015" w:rsidRDefault="00EF2A93" w:rsidP="0057797E">
      <w:pPr>
        <w:pStyle w:val="Default"/>
        <w:jc w:val="both"/>
        <w:rPr>
          <w:sz w:val="22"/>
          <w:szCs w:val="22"/>
        </w:rPr>
      </w:pPr>
      <w:r w:rsidRPr="000A6015">
        <w:rPr>
          <w:sz w:val="22"/>
          <w:szCs w:val="22"/>
        </w:rPr>
        <w:t>In</w:t>
      </w:r>
      <w:r w:rsidR="002F02FE" w:rsidRPr="000A6015">
        <w:rPr>
          <w:sz w:val="22"/>
          <w:szCs w:val="22"/>
        </w:rPr>
        <w:t xml:space="preserve"> </w:t>
      </w:r>
      <w:r w:rsidR="00ED37DD" w:rsidRPr="000A6015">
        <w:rPr>
          <w:sz w:val="22"/>
          <w:szCs w:val="22"/>
        </w:rPr>
        <w:t>MCE’s</w:t>
      </w:r>
      <w:r w:rsidR="002F02FE" w:rsidRPr="000A6015">
        <w:rPr>
          <w:sz w:val="22"/>
          <w:szCs w:val="22"/>
        </w:rPr>
        <w:t xml:space="preserve"> March, 2014 “Open Season”</w:t>
      </w:r>
      <w:r w:rsidR="0057797E" w:rsidRPr="000A6015">
        <w:rPr>
          <w:sz w:val="22"/>
          <w:szCs w:val="22"/>
        </w:rPr>
        <w:t xml:space="preserve"> </w:t>
      </w:r>
      <w:r w:rsidR="002F02FE" w:rsidRPr="000A6015">
        <w:rPr>
          <w:sz w:val="22"/>
          <w:szCs w:val="22"/>
        </w:rPr>
        <w:t>process</w:t>
      </w:r>
      <w:r w:rsidRPr="000A6015">
        <w:rPr>
          <w:sz w:val="22"/>
          <w:szCs w:val="22"/>
        </w:rPr>
        <w:t xml:space="preserve"> MCE </w:t>
      </w:r>
      <w:r w:rsidR="002F02FE" w:rsidRPr="000A6015">
        <w:rPr>
          <w:sz w:val="22"/>
          <w:szCs w:val="22"/>
        </w:rPr>
        <w:t xml:space="preserve">short-listed </w:t>
      </w:r>
      <w:r w:rsidR="000A6015">
        <w:rPr>
          <w:sz w:val="22"/>
          <w:szCs w:val="22"/>
        </w:rPr>
        <w:t xml:space="preserve">two </w:t>
      </w:r>
      <w:r w:rsidR="00324EBC" w:rsidRPr="000A6015">
        <w:rPr>
          <w:sz w:val="22"/>
          <w:szCs w:val="22"/>
        </w:rPr>
        <w:t>candidates</w:t>
      </w:r>
      <w:r w:rsidR="002F02FE" w:rsidRPr="000A6015">
        <w:rPr>
          <w:sz w:val="22"/>
          <w:szCs w:val="22"/>
        </w:rPr>
        <w:t xml:space="preserve"> </w:t>
      </w:r>
      <w:r w:rsidRPr="000A6015">
        <w:rPr>
          <w:sz w:val="22"/>
          <w:szCs w:val="22"/>
        </w:rPr>
        <w:t xml:space="preserve">who </w:t>
      </w:r>
      <w:r w:rsidR="000A6015">
        <w:rPr>
          <w:sz w:val="22"/>
          <w:szCs w:val="22"/>
        </w:rPr>
        <w:t>have</w:t>
      </w:r>
      <w:r w:rsidR="00324EBC" w:rsidRPr="000A6015">
        <w:rPr>
          <w:sz w:val="22"/>
          <w:szCs w:val="22"/>
        </w:rPr>
        <w:t xml:space="preserve"> </w:t>
      </w:r>
      <w:r w:rsidR="00324EBC" w:rsidRPr="000A6015">
        <w:rPr>
          <w:sz w:val="22"/>
          <w:szCs w:val="22"/>
          <w:u w:val="single"/>
        </w:rPr>
        <w:t>existing project labor agreement</w:t>
      </w:r>
      <w:r w:rsidR="00522B07" w:rsidRPr="000A6015">
        <w:rPr>
          <w:sz w:val="22"/>
          <w:szCs w:val="22"/>
          <w:u w:val="single"/>
        </w:rPr>
        <w:t>s</w:t>
      </w:r>
      <w:r w:rsidR="00324EBC" w:rsidRPr="000A6015">
        <w:rPr>
          <w:sz w:val="22"/>
          <w:szCs w:val="22"/>
          <w:u w:val="single"/>
        </w:rPr>
        <w:t xml:space="preserve"> </w:t>
      </w:r>
      <w:r w:rsidR="0069210C" w:rsidRPr="000A6015">
        <w:rPr>
          <w:sz w:val="22"/>
          <w:szCs w:val="22"/>
          <w:u w:val="single"/>
        </w:rPr>
        <w:t>(PLA</w:t>
      </w:r>
      <w:r w:rsidR="00522B07" w:rsidRPr="000A6015">
        <w:rPr>
          <w:sz w:val="22"/>
          <w:szCs w:val="22"/>
          <w:u w:val="single"/>
        </w:rPr>
        <w:t>s</w:t>
      </w:r>
      <w:r w:rsidR="0069210C" w:rsidRPr="000A6015">
        <w:rPr>
          <w:sz w:val="22"/>
          <w:szCs w:val="22"/>
          <w:u w:val="single"/>
        </w:rPr>
        <w:t xml:space="preserve">) </w:t>
      </w:r>
      <w:r w:rsidR="00324EBC" w:rsidRPr="000A6015">
        <w:rPr>
          <w:sz w:val="22"/>
          <w:szCs w:val="22"/>
          <w:u w:val="single"/>
        </w:rPr>
        <w:t>in place</w:t>
      </w:r>
      <w:r w:rsidRPr="000A6015">
        <w:rPr>
          <w:sz w:val="22"/>
          <w:szCs w:val="22"/>
        </w:rPr>
        <w:t>.  Under</w:t>
      </w:r>
      <w:r w:rsidR="00324EBC" w:rsidRPr="000A6015">
        <w:rPr>
          <w:sz w:val="22"/>
          <w:szCs w:val="22"/>
        </w:rPr>
        <w:t xml:space="preserve"> a </w:t>
      </w:r>
      <w:r w:rsidR="00ED37DD" w:rsidRPr="000A6015">
        <w:rPr>
          <w:sz w:val="22"/>
          <w:szCs w:val="22"/>
        </w:rPr>
        <w:t xml:space="preserve">power purchase agreement with MCE </w:t>
      </w:r>
      <w:r w:rsidRPr="000A6015">
        <w:rPr>
          <w:sz w:val="22"/>
          <w:szCs w:val="22"/>
        </w:rPr>
        <w:t xml:space="preserve">these developers </w:t>
      </w:r>
      <w:r w:rsidR="00ED37DD" w:rsidRPr="000A6015">
        <w:rPr>
          <w:sz w:val="22"/>
          <w:szCs w:val="22"/>
        </w:rPr>
        <w:t>c</w:t>
      </w:r>
      <w:r w:rsidR="00324EBC" w:rsidRPr="000A6015">
        <w:rPr>
          <w:sz w:val="22"/>
          <w:szCs w:val="22"/>
        </w:rPr>
        <w:t>ould build 60-80MW of new solar in the central valley of CA</w:t>
      </w:r>
      <w:r w:rsidR="00ED37DD" w:rsidRPr="000A6015">
        <w:rPr>
          <w:sz w:val="22"/>
          <w:szCs w:val="22"/>
        </w:rPr>
        <w:t xml:space="preserve"> under these </w:t>
      </w:r>
      <w:r w:rsidR="0069210C" w:rsidRPr="000A6015">
        <w:rPr>
          <w:sz w:val="22"/>
          <w:szCs w:val="22"/>
        </w:rPr>
        <w:t>PLA’s</w:t>
      </w:r>
      <w:r w:rsidR="00324EBC" w:rsidRPr="000A6015">
        <w:rPr>
          <w:sz w:val="22"/>
          <w:szCs w:val="22"/>
        </w:rPr>
        <w:t>.</w:t>
      </w:r>
    </w:p>
    <w:p w:rsidR="00EF2A93" w:rsidRDefault="00EF2A93" w:rsidP="0057797E">
      <w:pPr>
        <w:pStyle w:val="Default"/>
        <w:jc w:val="both"/>
        <w:rPr>
          <w:sz w:val="23"/>
          <w:szCs w:val="23"/>
        </w:rPr>
      </w:pPr>
    </w:p>
    <w:p w:rsidR="0057797E" w:rsidRPr="00ED37DD" w:rsidRDefault="00ED37DD" w:rsidP="0069210C">
      <w:pPr>
        <w:spacing w:after="0"/>
        <w:rPr>
          <w:b/>
          <w:sz w:val="24"/>
          <w:szCs w:val="24"/>
        </w:rPr>
      </w:pPr>
      <w:r w:rsidRPr="00ED37DD">
        <w:rPr>
          <w:b/>
          <w:sz w:val="24"/>
          <w:szCs w:val="24"/>
        </w:rPr>
        <w:t>U</w:t>
      </w:r>
      <w:r w:rsidR="0057797E" w:rsidRPr="00ED37DD">
        <w:rPr>
          <w:b/>
          <w:sz w:val="24"/>
          <w:szCs w:val="24"/>
        </w:rPr>
        <w:t>nion Labor in T</w:t>
      </w:r>
      <w:r>
        <w:rPr>
          <w:b/>
          <w:sz w:val="24"/>
          <w:szCs w:val="24"/>
        </w:rPr>
        <w:t>ransmission &amp; Distribution for C</w:t>
      </w:r>
      <w:r w:rsidR="0057797E" w:rsidRPr="00ED37DD">
        <w:rPr>
          <w:b/>
          <w:sz w:val="24"/>
          <w:szCs w:val="24"/>
        </w:rPr>
        <w:t>ustomers</w:t>
      </w:r>
      <w:r w:rsidR="0069210C">
        <w:rPr>
          <w:b/>
          <w:sz w:val="24"/>
          <w:szCs w:val="24"/>
        </w:rPr>
        <w:t>:</w:t>
      </w:r>
    </w:p>
    <w:p w:rsidR="0057797E" w:rsidRDefault="00717C57" w:rsidP="00907AB4">
      <w:pPr>
        <w:spacing w:after="0"/>
      </w:pPr>
      <w:r>
        <w:t xml:space="preserve">As </w:t>
      </w:r>
      <w:r w:rsidRPr="000D66CA">
        <w:rPr>
          <w:u w:val="single"/>
        </w:rPr>
        <w:t>Community Choice Aggregation programs only provide generation services</w:t>
      </w:r>
      <w:r>
        <w:t xml:space="preserve">, all </w:t>
      </w:r>
      <w:r w:rsidR="0057797E">
        <w:t xml:space="preserve">transmission and distribution services </w:t>
      </w:r>
      <w:r w:rsidR="00412865">
        <w:t xml:space="preserve">are </w:t>
      </w:r>
      <w:r>
        <w:t xml:space="preserve">still provided by </w:t>
      </w:r>
      <w:r w:rsidR="00EF2A93">
        <w:t>the incumbent utility’s</w:t>
      </w:r>
      <w:r>
        <w:t xml:space="preserve"> linemen, electrician, and other utility workers</w:t>
      </w:r>
      <w:r w:rsidR="0057797E">
        <w:t xml:space="preserve">. </w:t>
      </w:r>
      <w:r w:rsidR="00412865">
        <w:t>Participation in MCE or other Community Choice Aggregation programs has no impact upon these jobs, which continue uninterrupted.</w:t>
      </w:r>
      <w:r w:rsidR="006152AB">
        <w:t xml:space="preserve"> </w:t>
      </w:r>
      <w:r w:rsidR="000977B3" w:rsidRPr="000D66CA">
        <w:rPr>
          <w:u w:val="single"/>
        </w:rPr>
        <w:t xml:space="preserve">Of the 15,000 members of IBEW, 90% work in </w:t>
      </w:r>
      <w:r w:rsidR="006152AB" w:rsidRPr="000D66CA">
        <w:rPr>
          <w:u w:val="single"/>
        </w:rPr>
        <w:t xml:space="preserve">transmission and distribution. </w:t>
      </w:r>
      <w:r w:rsidR="000977B3" w:rsidRPr="000D66CA">
        <w:rPr>
          <w:u w:val="single"/>
        </w:rPr>
        <w:t>The remaining 10%</w:t>
      </w:r>
      <w:r w:rsidR="006152AB" w:rsidRPr="000D66CA">
        <w:rPr>
          <w:u w:val="single"/>
        </w:rPr>
        <w:t xml:space="preserve"> work in the generation sector</w:t>
      </w:r>
      <w:r w:rsidR="006152AB">
        <w:t>.</w:t>
      </w:r>
      <w:r w:rsidR="000977B3">
        <w:t xml:space="preserve"> </w:t>
      </w:r>
    </w:p>
    <w:p w:rsidR="000D66CA" w:rsidRDefault="000D66CA">
      <w:r>
        <w:br w:type="page"/>
      </w:r>
    </w:p>
    <w:p w:rsidR="00EF2A93" w:rsidRDefault="00EF2A93" w:rsidP="00EF2A93">
      <w:pPr>
        <w:spacing w:after="0"/>
        <w:jc w:val="center"/>
        <w:rPr>
          <w:b/>
          <w:sz w:val="28"/>
          <w:szCs w:val="28"/>
        </w:rPr>
      </w:pPr>
      <w:r w:rsidRPr="00EF2A93">
        <w:rPr>
          <w:b/>
          <w:sz w:val="28"/>
          <w:szCs w:val="28"/>
        </w:rPr>
        <w:lastRenderedPageBreak/>
        <w:t>MCE supports Union Labor</w:t>
      </w:r>
      <w:r>
        <w:rPr>
          <w:b/>
          <w:sz w:val="28"/>
          <w:szCs w:val="28"/>
        </w:rPr>
        <w:t xml:space="preserve"> and Prevailing Wages</w:t>
      </w:r>
      <w:r w:rsidRPr="00EF2A93">
        <w:rPr>
          <w:b/>
          <w:sz w:val="28"/>
          <w:szCs w:val="28"/>
        </w:rPr>
        <w:t xml:space="preserve"> through </w:t>
      </w:r>
    </w:p>
    <w:p w:rsidR="00EF2A93" w:rsidRPr="00EF2A93" w:rsidRDefault="00EF2A93" w:rsidP="00EF2A93">
      <w:pPr>
        <w:spacing w:after="0"/>
        <w:jc w:val="center"/>
        <w:rPr>
          <w:b/>
          <w:sz w:val="28"/>
          <w:szCs w:val="28"/>
        </w:rPr>
      </w:pPr>
      <w:r>
        <w:rPr>
          <w:b/>
          <w:sz w:val="28"/>
          <w:szCs w:val="28"/>
        </w:rPr>
        <w:t>Energy Efficiency Programs</w:t>
      </w:r>
    </w:p>
    <w:p w:rsidR="00EF2A93" w:rsidRDefault="00EF2A93" w:rsidP="00907AB4">
      <w:pPr>
        <w:spacing w:after="0"/>
        <w:rPr>
          <w:b/>
          <w:u w:val="single"/>
        </w:rPr>
      </w:pPr>
    </w:p>
    <w:p w:rsidR="00EF2A93" w:rsidRPr="0069210C" w:rsidRDefault="00EF2A93" w:rsidP="00EF2A93">
      <w:pPr>
        <w:spacing w:after="0"/>
        <w:rPr>
          <w:b/>
        </w:rPr>
      </w:pPr>
      <w:r w:rsidRPr="0069210C">
        <w:rPr>
          <w:b/>
        </w:rPr>
        <w:t>Workforce Development and Job Training Programs</w:t>
      </w:r>
    </w:p>
    <w:p w:rsidR="00EF2A93" w:rsidRPr="0069210C" w:rsidRDefault="00EF2A93" w:rsidP="00EF2A93">
      <w:pPr>
        <w:spacing w:after="0"/>
      </w:pPr>
      <w:r w:rsidRPr="0069210C">
        <w:t>MCE’s hire</w:t>
      </w:r>
      <w:r w:rsidR="0069210C" w:rsidRPr="0069210C">
        <w:t>s</w:t>
      </w:r>
      <w:r w:rsidRPr="0069210C">
        <w:t xml:space="preserve"> local contractors to support the training and workforce development of targeted communities in its’ service territories. MCE entered into contracts with Richmond Build and Marin City Community Development Corporation (MCCDC) for energy related </w:t>
      </w:r>
      <w:r w:rsidRPr="0069210C">
        <w:rPr>
          <w:u w:val="single"/>
        </w:rPr>
        <w:t>job training and workforce development</w:t>
      </w:r>
      <w:r w:rsidRPr="0069210C">
        <w:t xml:space="preserve">.  MCE also </w:t>
      </w:r>
      <w:r w:rsidR="0069210C" w:rsidRPr="0069210C">
        <w:t>extends</w:t>
      </w:r>
      <w:r w:rsidRPr="0069210C">
        <w:t xml:space="preserve"> preferential job placement for contractors w</w:t>
      </w:r>
      <w:r w:rsidR="0069210C" w:rsidRPr="0069210C">
        <w:t>ho choose to employ MCCDC and/</w:t>
      </w:r>
      <w:r w:rsidRPr="0069210C">
        <w:t xml:space="preserve">or </w:t>
      </w:r>
      <w:proofErr w:type="spellStart"/>
      <w:r w:rsidRPr="0069210C">
        <w:t>RichmondBUILD</w:t>
      </w:r>
      <w:proofErr w:type="spellEnd"/>
      <w:r w:rsidRPr="0069210C">
        <w:t xml:space="preserve"> trainees to further support the job placement of these candidates. </w:t>
      </w:r>
    </w:p>
    <w:p w:rsidR="00EF2A93" w:rsidRDefault="00EF2A93" w:rsidP="00EF2A93">
      <w:pPr>
        <w:spacing w:after="0"/>
        <w:rPr>
          <w:b/>
        </w:rPr>
      </w:pPr>
    </w:p>
    <w:p w:rsidR="00EF2A93" w:rsidRPr="00CF543B" w:rsidRDefault="00EF2A93" w:rsidP="00EF2A93">
      <w:pPr>
        <w:spacing w:after="0"/>
        <w:rPr>
          <w:b/>
        </w:rPr>
      </w:pPr>
      <w:proofErr w:type="spellStart"/>
      <w:r w:rsidRPr="00CF543B">
        <w:rPr>
          <w:b/>
        </w:rPr>
        <w:t>RichmondBuild</w:t>
      </w:r>
      <w:proofErr w:type="spellEnd"/>
      <w:r>
        <w:rPr>
          <w:b/>
        </w:rPr>
        <w:t>, CA</w:t>
      </w:r>
    </w:p>
    <w:p w:rsidR="00EF2A93" w:rsidRPr="00CF543B" w:rsidRDefault="00EF2A93" w:rsidP="00EF2A93">
      <w:pPr>
        <w:spacing w:after="0"/>
      </w:pPr>
      <w:r>
        <w:t xml:space="preserve">MCE contracted with </w:t>
      </w:r>
      <w:proofErr w:type="spellStart"/>
      <w:r w:rsidRPr="00CF543B">
        <w:t>RichmondBuild</w:t>
      </w:r>
      <w:proofErr w:type="spellEnd"/>
      <w:r w:rsidRPr="00CF543B">
        <w:t xml:space="preserve"> </w:t>
      </w:r>
      <w:r>
        <w:t xml:space="preserve">to support energy efficiency programs.  </w:t>
      </w:r>
      <w:proofErr w:type="spellStart"/>
      <w:r>
        <w:t>RichmondBuild</w:t>
      </w:r>
      <w:proofErr w:type="spellEnd"/>
      <w:r>
        <w:t xml:space="preserve"> </w:t>
      </w:r>
      <w:r w:rsidRPr="00CF543B">
        <w:t xml:space="preserve">provides a twelve week training pre-apprenticeship training program, primarily targeting woman, people of color, and historically disadvantaged individuals from the City of Richmond and San Pablo. The first nine weeks of the </w:t>
      </w:r>
      <w:r>
        <w:t>program</w:t>
      </w:r>
      <w:r w:rsidRPr="00CF543B">
        <w:t xml:space="preserve"> focus</w:t>
      </w:r>
      <w:r>
        <w:t>es</w:t>
      </w:r>
      <w:r w:rsidRPr="00CF543B">
        <w:t xml:space="preserve"> on generalized construction safety and basic skills training, with the final three weeks being dedicated to</w:t>
      </w:r>
      <w:r>
        <w:t xml:space="preserve"> developing</w:t>
      </w:r>
      <w:r w:rsidRPr="00CF543B">
        <w:t xml:space="preserve"> weatherization, green building and building performance skills. </w:t>
      </w:r>
      <w:proofErr w:type="spellStart"/>
      <w:r>
        <w:t>RichmondBuild’s</w:t>
      </w:r>
      <w:proofErr w:type="spellEnd"/>
      <w:r>
        <w:t xml:space="preserve"> program offers participants:</w:t>
      </w:r>
    </w:p>
    <w:p w:rsidR="00EF2A93" w:rsidRPr="000D66CA" w:rsidRDefault="00EF2A93" w:rsidP="00EF2A93">
      <w:pPr>
        <w:pStyle w:val="ListParagraph"/>
        <w:numPr>
          <w:ilvl w:val="0"/>
          <w:numId w:val="1"/>
        </w:numPr>
        <w:spacing w:after="0"/>
        <w:rPr>
          <w:rFonts w:asciiTheme="minorHAnsi" w:hAnsiTheme="minorHAnsi"/>
          <w:u w:val="single"/>
        </w:rPr>
      </w:pPr>
      <w:r w:rsidRPr="00CF543B">
        <w:rPr>
          <w:rFonts w:asciiTheme="minorHAnsi" w:hAnsiTheme="minorHAnsi"/>
        </w:rPr>
        <w:t xml:space="preserve">330+ hours of skills training, a curriculum developed by </w:t>
      </w:r>
      <w:proofErr w:type="spellStart"/>
      <w:r w:rsidRPr="00CF543B">
        <w:rPr>
          <w:rFonts w:asciiTheme="minorHAnsi" w:hAnsiTheme="minorHAnsi"/>
        </w:rPr>
        <w:t>RichmondBuild</w:t>
      </w:r>
      <w:proofErr w:type="spellEnd"/>
      <w:r w:rsidRPr="00CF543B">
        <w:rPr>
          <w:rFonts w:asciiTheme="minorHAnsi" w:hAnsiTheme="minorHAnsi"/>
        </w:rPr>
        <w:t xml:space="preserve"> and nationally recognized as pre-apprenticeship training program, a </w:t>
      </w:r>
      <w:r w:rsidRPr="000D66CA">
        <w:rPr>
          <w:rFonts w:asciiTheme="minorHAnsi" w:hAnsiTheme="minorHAnsi"/>
          <w:u w:val="single"/>
        </w:rPr>
        <w:t>partnership with the Carpenters Local 152 and Laborers Local 324</w:t>
      </w:r>
    </w:p>
    <w:p w:rsidR="00EF2A93" w:rsidRPr="0069210C" w:rsidRDefault="00EF2A93" w:rsidP="0069210C">
      <w:pPr>
        <w:pStyle w:val="ListParagraph"/>
        <w:numPr>
          <w:ilvl w:val="0"/>
          <w:numId w:val="1"/>
        </w:numPr>
        <w:spacing w:after="0"/>
        <w:rPr>
          <w:rFonts w:asciiTheme="minorHAnsi" w:hAnsiTheme="minorHAnsi"/>
        </w:rPr>
      </w:pPr>
      <w:r>
        <w:rPr>
          <w:rFonts w:asciiTheme="minorHAnsi" w:hAnsiTheme="minorHAnsi"/>
        </w:rPr>
        <w:t>D</w:t>
      </w:r>
      <w:r w:rsidRPr="00CF543B">
        <w:rPr>
          <w:rFonts w:asciiTheme="minorHAnsi" w:hAnsiTheme="minorHAnsi"/>
        </w:rPr>
        <w:t>irect entry into formal carpentry apprenticeships with paid work experience with a trajectory of becoming journeymen earning a living wage</w:t>
      </w:r>
      <w:r>
        <w:rPr>
          <w:rFonts w:asciiTheme="minorHAnsi" w:hAnsiTheme="minorHAnsi"/>
        </w:rPr>
        <w:t xml:space="preserve"> upon graduation</w:t>
      </w:r>
      <w:r w:rsidR="0069210C">
        <w:rPr>
          <w:rFonts w:asciiTheme="minorHAnsi" w:hAnsiTheme="minorHAnsi"/>
        </w:rPr>
        <w:t xml:space="preserve">. </w:t>
      </w:r>
      <w:proofErr w:type="spellStart"/>
      <w:r w:rsidRPr="0069210C">
        <w:rPr>
          <w:rFonts w:asciiTheme="minorHAnsi" w:hAnsiTheme="minorHAnsi"/>
        </w:rPr>
        <w:t>RichmondBuild’s</w:t>
      </w:r>
      <w:proofErr w:type="spellEnd"/>
      <w:r w:rsidRPr="0069210C">
        <w:rPr>
          <w:rFonts w:asciiTheme="minorHAnsi" w:hAnsiTheme="minorHAnsi"/>
        </w:rPr>
        <w:t xml:space="preserve"> pre-appre</w:t>
      </w:r>
      <w:r w:rsidR="0069210C" w:rsidRPr="0069210C">
        <w:rPr>
          <w:rFonts w:asciiTheme="minorHAnsi" w:hAnsiTheme="minorHAnsi"/>
        </w:rPr>
        <w:t>nticeship program also includes n</w:t>
      </w:r>
      <w:r w:rsidRPr="0069210C">
        <w:rPr>
          <w:rFonts w:asciiTheme="minorHAnsi" w:hAnsiTheme="minorHAnsi"/>
        </w:rPr>
        <w:t>umeracy and literacy training,</w:t>
      </w:r>
      <w:r w:rsidR="0069210C" w:rsidRPr="0069210C">
        <w:rPr>
          <w:rFonts w:asciiTheme="minorHAnsi" w:hAnsiTheme="minorHAnsi"/>
        </w:rPr>
        <w:t xml:space="preserve"> j</w:t>
      </w:r>
      <w:r w:rsidRPr="0069210C">
        <w:rPr>
          <w:rFonts w:asciiTheme="minorHAnsi" w:hAnsiTheme="minorHAnsi"/>
        </w:rPr>
        <w:t xml:space="preserve">ob placement with its industry partners, </w:t>
      </w:r>
      <w:r w:rsidR="0069210C" w:rsidRPr="0069210C">
        <w:rPr>
          <w:rFonts w:asciiTheme="minorHAnsi" w:hAnsiTheme="minorHAnsi"/>
        </w:rPr>
        <w:t>p</w:t>
      </w:r>
      <w:r w:rsidRPr="0069210C">
        <w:rPr>
          <w:rFonts w:asciiTheme="minorHAnsi" w:hAnsiTheme="minorHAnsi"/>
        </w:rPr>
        <w:t xml:space="preserve">ost-graduation follow-up for a twelve month period, </w:t>
      </w:r>
      <w:r w:rsidR="0069210C" w:rsidRPr="0069210C">
        <w:rPr>
          <w:rFonts w:asciiTheme="minorHAnsi" w:hAnsiTheme="minorHAnsi"/>
        </w:rPr>
        <w:t>and e</w:t>
      </w:r>
      <w:r w:rsidRPr="0069210C">
        <w:rPr>
          <w:rFonts w:asciiTheme="minorHAnsi" w:hAnsiTheme="minorHAnsi"/>
        </w:rPr>
        <w:t>mployment counseling services to ensure success in the workforce</w:t>
      </w:r>
      <w:r w:rsidR="0069210C" w:rsidRPr="0069210C">
        <w:rPr>
          <w:rFonts w:asciiTheme="minorHAnsi" w:hAnsiTheme="minorHAnsi"/>
        </w:rPr>
        <w:t>.</w:t>
      </w:r>
    </w:p>
    <w:p w:rsidR="00EF2A93" w:rsidRPr="00CF543B" w:rsidRDefault="00EF2A93" w:rsidP="00EF2A93">
      <w:pPr>
        <w:spacing w:after="0"/>
        <w:rPr>
          <w:b/>
          <w:u w:val="single"/>
        </w:rPr>
      </w:pPr>
    </w:p>
    <w:p w:rsidR="00EF2A93" w:rsidRDefault="00EF2A93" w:rsidP="00EF2A93">
      <w:pPr>
        <w:spacing w:after="0"/>
        <w:rPr>
          <w:b/>
        </w:rPr>
      </w:pPr>
      <w:r w:rsidRPr="00CF543B">
        <w:rPr>
          <w:b/>
        </w:rPr>
        <w:t>Marin City Community Development Corporation</w:t>
      </w:r>
      <w:r>
        <w:rPr>
          <w:b/>
        </w:rPr>
        <w:t xml:space="preserve"> (MCCDC), CA</w:t>
      </w:r>
    </w:p>
    <w:p w:rsidR="00EF2A93" w:rsidRDefault="00EF2A93" w:rsidP="00EF2A93">
      <w:pPr>
        <w:spacing w:after="0"/>
      </w:pPr>
      <w:r>
        <w:t xml:space="preserve">MCE has contracted with MCCDC to develop a specialized program to support its Direct Install Program, a no-cost service provided as added incentive to MCE Multifamily Energy Efficiency Program. MCCDC and the </w:t>
      </w:r>
      <w:r w:rsidRPr="000D66CA">
        <w:rPr>
          <w:u w:val="single"/>
        </w:rPr>
        <w:t>Marin Workforce Investment Board</w:t>
      </w:r>
      <w:r>
        <w:t xml:space="preserve"> partnered to provide a six-week weatherization course to MCCDC clients. MCE partnered with the Association of Energy Affordability and MCCDC to develop and deliver a specialized training for the Direct Install team. MCE funded three trainings during 2013 focused on the installation of energy and water saving measures. MCCDC trained 28 Direct Install team members, all of whom have moved on to full-time employment. MCCDC is training another group of workers for this purpose in 2014.</w:t>
      </w:r>
    </w:p>
    <w:p w:rsidR="00EF2A93" w:rsidRDefault="00EF2A93" w:rsidP="00907AB4">
      <w:pPr>
        <w:spacing w:after="0"/>
        <w:rPr>
          <w:b/>
        </w:rPr>
      </w:pPr>
    </w:p>
    <w:p w:rsidR="007A0E82" w:rsidRDefault="007A0E82" w:rsidP="00907AB4">
      <w:pPr>
        <w:spacing w:after="0"/>
        <w:rPr>
          <w:b/>
        </w:rPr>
      </w:pPr>
      <w:r w:rsidRPr="007A0E82">
        <w:rPr>
          <w:b/>
        </w:rPr>
        <w:t xml:space="preserve">Energy Efficiency </w:t>
      </w:r>
      <w:r w:rsidR="00EF2A93">
        <w:rPr>
          <w:b/>
        </w:rPr>
        <w:t xml:space="preserve">in other MCE </w:t>
      </w:r>
      <w:r w:rsidRPr="007A0E82">
        <w:rPr>
          <w:b/>
        </w:rPr>
        <w:t>Projects</w:t>
      </w:r>
    </w:p>
    <w:p w:rsidR="00B06A78" w:rsidRPr="00CF543B" w:rsidRDefault="00CF543B" w:rsidP="00907AB4">
      <w:pPr>
        <w:spacing w:after="0"/>
      </w:pPr>
      <w:r>
        <w:t xml:space="preserve">MCE worked with the Marin Housing Authority (MHA) to expand the scope of a HUD sanctioned ESCOS project by providing additional incentives. MHA’s energy efficiency upgrade project </w:t>
      </w:r>
      <w:r w:rsidR="000D66CA">
        <w:t>offered</w:t>
      </w:r>
      <w:r>
        <w:t xml:space="preserve"> </w:t>
      </w:r>
      <w:r w:rsidRPr="000D66CA">
        <w:rPr>
          <w:u w:val="single"/>
        </w:rPr>
        <w:t>prevailing wage job</w:t>
      </w:r>
      <w:r w:rsidR="000D66CA">
        <w:rPr>
          <w:u w:val="single"/>
        </w:rPr>
        <w:t>s</w:t>
      </w:r>
      <w:r>
        <w:t xml:space="preserve"> s</w:t>
      </w:r>
      <w:r w:rsidR="006866E9">
        <w:t>ince it was funded by federal grants. MCE provided no-cost direct install service to MHA’s 500 units. Marin City Community Development Corporation (MCCDC)</w:t>
      </w:r>
      <w:r w:rsidR="007A0E82">
        <w:t xml:space="preserve"> </w:t>
      </w:r>
      <w:r w:rsidR="000D66CA">
        <w:t>paid all</w:t>
      </w:r>
      <w:r w:rsidR="007A0E82">
        <w:t xml:space="preserve"> employees a living wage.</w:t>
      </w:r>
    </w:p>
    <w:sectPr w:rsidR="00B06A78" w:rsidRPr="00CF543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21C" w:rsidRDefault="00DF521C" w:rsidP="00175DCE">
      <w:pPr>
        <w:spacing w:after="0" w:line="240" w:lineRule="auto"/>
      </w:pPr>
      <w:r>
        <w:separator/>
      </w:r>
    </w:p>
  </w:endnote>
  <w:endnote w:type="continuationSeparator" w:id="0">
    <w:p w:rsidR="00DF521C" w:rsidRDefault="00DF521C" w:rsidP="00175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DCE" w:rsidRDefault="00175D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DCE" w:rsidRDefault="00175D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DCE" w:rsidRDefault="00175D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21C" w:rsidRDefault="00DF521C" w:rsidP="00175DCE">
      <w:pPr>
        <w:spacing w:after="0" w:line="240" w:lineRule="auto"/>
      </w:pPr>
      <w:r>
        <w:separator/>
      </w:r>
    </w:p>
  </w:footnote>
  <w:footnote w:type="continuationSeparator" w:id="0">
    <w:p w:rsidR="00DF521C" w:rsidRDefault="00DF521C" w:rsidP="00175D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DCE" w:rsidRDefault="00175D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DCE" w:rsidRDefault="00175D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DCE" w:rsidRDefault="00175D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51476"/>
    <w:multiLevelType w:val="hybridMultilevel"/>
    <w:tmpl w:val="5EFC7E10"/>
    <w:lvl w:ilvl="0" w:tplc="04090001">
      <w:start w:val="1"/>
      <w:numFmt w:val="bullet"/>
      <w:lvlText w:val=""/>
      <w:lvlJc w:val="left"/>
      <w:pPr>
        <w:ind w:left="720" w:hanging="360"/>
      </w:pPr>
      <w:rPr>
        <w:rFonts w:ascii="Symbol" w:hAnsi="Symbol" w:hint="default"/>
        <w:strike w:val="0"/>
        <w:dstrike w:val="0"/>
        <w:u w:val="none"/>
        <w:effect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3CB2577"/>
    <w:multiLevelType w:val="hybridMultilevel"/>
    <w:tmpl w:val="04D6C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602871"/>
    <w:multiLevelType w:val="hybridMultilevel"/>
    <w:tmpl w:val="78421B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C8B7E95"/>
    <w:multiLevelType w:val="hybridMultilevel"/>
    <w:tmpl w:val="CB726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AB4"/>
    <w:rsid w:val="00014A8A"/>
    <w:rsid w:val="00016E57"/>
    <w:rsid w:val="0002196A"/>
    <w:rsid w:val="00081E5C"/>
    <w:rsid w:val="00094412"/>
    <w:rsid w:val="000977B3"/>
    <w:rsid w:val="000A6015"/>
    <w:rsid w:val="000B36E8"/>
    <w:rsid w:val="000D66CA"/>
    <w:rsid w:val="00175DCE"/>
    <w:rsid w:val="001B699E"/>
    <w:rsid w:val="00203DBA"/>
    <w:rsid w:val="002337E4"/>
    <w:rsid w:val="00241BBA"/>
    <w:rsid w:val="002771C8"/>
    <w:rsid w:val="00287876"/>
    <w:rsid w:val="002C4250"/>
    <w:rsid w:val="002F02FE"/>
    <w:rsid w:val="00324EBC"/>
    <w:rsid w:val="00382904"/>
    <w:rsid w:val="003B72A9"/>
    <w:rsid w:val="003F0C4E"/>
    <w:rsid w:val="00412865"/>
    <w:rsid w:val="00490814"/>
    <w:rsid w:val="0052283E"/>
    <w:rsid w:val="00522B07"/>
    <w:rsid w:val="00546195"/>
    <w:rsid w:val="0057797E"/>
    <w:rsid w:val="005A6B25"/>
    <w:rsid w:val="005A7CE2"/>
    <w:rsid w:val="006152AB"/>
    <w:rsid w:val="006866E9"/>
    <w:rsid w:val="0069210C"/>
    <w:rsid w:val="006E58E1"/>
    <w:rsid w:val="006F08D5"/>
    <w:rsid w:val="007002BF"/>
    <w:rsid w:val="00717C57"/>
    <w:rsid w:val="007551D1"/>
    <w:rsid w:val="007A0E82"/>
    <w:rsid w:val="007C7C9F"/>
    <w:rsid w:val="007F1FD7"/>
    <w:rsid w:val="007F24BF"/>
    <w:rsid w:val="00826E37"/>
    <w:rsid w:val="00834C6E"/>
    <w:rsid w:val="00847B61"/>
    <w:rsid w:val="008801D6"/>
    <w:rsid w:val="00881422"/>
    <w:rsid w:val="00883B8B"/>
    <w:rsid w:val="008A53CF"/>
    <w:rsid w:val="008B6994"/>
    <w:rsid w:val="008C3666"/>
    <w:rsid w:val="00907AB4"/>
    <w:rsid w:val="009A103E"/>
    <w:rsid w:val="00A05A4E"/>
    <w:rsid w:val="00A17890"/>
    <w:rsid w:val="00A3089B"/>
    <w:rsid w:val="00A54023"/>
    <w:rsid w:val="00A74BBE"/>
    <w:rsid w:val="00B06A78"/>
    <w:rsid w:val="00B13F32"/>
    <w:rsid w:val="00B77E39"/>
    <w:rsid w:val="00BB4DAD"/>
    <w:rsid w:val="00C01BC9"/>
    <w:rsid w:val="00C031D2"/>
    <w:rsid w:val="00C45D99"/>
    <w:rsid w:val="00C87A25"/>
    <w:rsid w:val="00CA6F51"/>
    <w:rsid w:val="00CC2258"/>
    <w:rsid w:val="00CC55D1"/>
    <w:rsid w:val="00CE2509"/>
    <w:rsid w:val="00CF1C5C"/>
    <w:rsid w:val="00CF543B"/>
    <w:rsid w:val="00D90D54"/>
    <w:rsid w:val="00DB7A98"/>
    <w:rsid w:val="00DF521C"/>
    <w:rsid w:val="00E96DCF"/>
    <w:rsid w:val="00ED025E"/>
    <w:rsid w:val="00ED37DD"/>
    <w:rsid w:val="00ED56A4"/>
    <w:rsid w:val="00EF2533"/>
    <w:rsid w:val="00EF2A93"/>
    <w:rsid w:val="00F03FF5"/>
    <w:rsid w:val="00F40CAE"/>
    <w:rsid w:val="00FB5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97E"/>
    <w:pPr>
      <w:ind w:left="720"/>
      <w:contextualSpacing/>
    </w:pPr>
    <w:rPr>
      <w:rFonts w:ascii="Calibri" w:eastAsia="Calibri" w:hAnsi="Calibri" w:cs="Times New Roman"/>
    </w:rPr>
  </w:style>
  <w:style w:type="paragraph" w:customStyle="1" w:styleId="Default">
    <w:name w:val="Default"/>
    <w:rsid w:val="0057797E"/>
    <w:pPr>
      <w:autoSpaceDE w:val="0"/>
      <w:autoSpaceDN w:val="0"/>
      <w:adjustRightInd w:val="0"/>
      <w:spacing w:after="0" w:line="240" w:lineRule="auto"/>
    </w:pPr>
    <w:rPr>
      <w:rFonts w:ascii="Calibri" w:eastAsia="Calibri" w:hAnsi="Calibri" w:cs="Calibri"/>
      <w:color w:val="000000"/>
      <w:sz w:val="24"/>
      <w:szCs w:val="24"/>
    </w:rPr>
  </w:style>
  <w:style w:type="character" w:styleId="CommentReference">
    <w:name w:val="annotation reference"/>
    <w:basedOn w:val="DefaultParagraphFont"/>
    <w:uiPriority w:val="99"/>
    <w:semiHidden/>
    <w:unhideWhenUsed/>
    <w:rsid w:val="0057797E"/>
    <w:rPr>
      <w:sz w:val="16"/>
      <w:szCs w:val="16"/>
    </w:rPr>
  </w:style>
  <w:style w:type="paragraph" w:styleId="CommentText">
    <w:name w:val="annotation text"/>
    <w:basedOn w:val="Normal"/>
    <w:link w:val="CommentTextChar"/>
    <w:uiPriority w:val="99"/>
    <w:semiHidden/>
    <w:unhideWhenUsed/>
    <w:rsid w:val="0057797E"/>
    <w:pPr>
      <w:spacing w:line="240" w:lineRule="auto"/>
    </w:pPr>
    <w:rPr>
      <w:sz w:val="20"/>
      <w:szCs w:val="20"/>
    </w:rPr>
  </w:style>
  <w:style w:type="character" w:customStyle="1" w:styleId="CommentTextChar">
    <w:name w:val="Comment Text Char"/>
    <w:basedOn w:val="DefaultParagraphFont"/>
    <w:link w:val="CommentText"/>
    <w:uiPriority w:val="99"/>
    <w:semiHidden/>
    <w:rsid w:val="0057797E"/>
    <w:rPr>
      <w:sz w:val="20"/>
      <w:szCs w:val="20"/>
    </w:rPr>
  </w:style>
  <w:style w:type="paragraph" w:styleId="CommentSubject">
    <w:name w:val="annotation subject"/>
    <w:basedOn w:val="CommentText"/>
    <w:next w:val="CommentText"/>
    <w:link w:val="CommentSubjectChar"/>
    <w:uiPriority w:val="99"/>
    <w:semiHidden/>
    <w:unhideWhenUsed/>
    <w:rsid w:val="0057797E"/>
    <w:rPr>
      <w:b/>
      <w:bCs/>
    </w:rPr>
  </w:style>
  <w:style w:type="character" w:customStyle="1" w:styleId="CommentSubjectChar">
    <w:name w:val="Comment Subject Char"/>
    <w:basedOn w:val="CommentTextChar"/>
    <w:link w:val="CommentSubject"/>
    <w:uiPriority w:val="99"/>
    <w:semiHidden/>
    <w:rsid w:val="0057797E"/>
    <w:rPr>
      <w:b/>
      <w:bCs/>
      <w:sz w:val="20"/>
      <w:szCs w:val="20"/>
    </w:rPr>
  </w:style>
  <w:style w:type="paragraph" w:styleId="BalloonText">
    <w:name w:val="Balloon Text"/>
    <w:basedOn w:val="Normal"/>
    <w:link w:val="BalloonTextChar"/>
    <w:uiPriority w:val="99"/>
    <w:semiHidden/>
    <w:unhideWhenUsed/>
    <w:rsid w:val="005779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97E"/>
    <w:rPr>
      <w:rFonts w:ascii="Tahoma" w:hAnsi="Tahoma" w:cs="Tahoma"/>
      <w:sz w:val="16"/>
      <w:szCs w:val="16"/>
    </w:rPr>
  </w:style>
  <w:style w:type="paragraph" w:styleId="Header">
    <w:name w:val="header"/>
    <w:basedOn w:val="Normal"/>
    <w:link w:val="HeaderChar"/>
    <w:uiPriority w:val="99"/>
    <w:unhideWhenUsed/>
    <w:rsid w:val="00175D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DCE"/>
  </w:style>
  <w:style w:type="paragraph" w:styleId="Footer">
    <w:name w:val="footer"/>
    <w:basedOn w:val="Normal"/>
    <w:link w:val="FooterChar"/>
    <w:uiPriority w:val="99"/>
    <w:unhideWhenUsed/>
    <w:rsid w:val="00175D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DCE"/>
  </w:style>
  <w:style w:type="paragraph" w:styleId="Revision">
    <w:name w:val="Revision"/>
    <w:hidden/>
    <w:uiPriority w:val="99"/>
    <w:semiHidden/>
    <w:rsid w:val="006F08D5"/>
    <w:pPr>
      <w:spacing w:after="0" w:line="240" w:lineRule="auto"/>
    </w:pPr>
  </w:style>
  <w:style w:type="paragraph" w:styleId="PlainText">
    <w:name w:val="Plain Text"/>
    <w:basedOn w:val="Normal"/>
    <w:link w:val="PlainTextChar"/>
    <w:uiPriority w:val="99"/>
    <w:semiHidden/>
    <w:unhideWhenUsed/>
    <w:rsid w:val="00C87A25"/>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C87A25"/>
    <w:rPr>
      <w:rFonts w:ascii="Calibri" w:hAnsi="Calibri" w:cs="Consolas"/>
      <w:szCs w:val="21"/>
    </w:rPr>
  </w:style>
  <w:style w:type="character" w:customStyle="1" w:styleId="apple-converted-space">
    <w:name w:val="apple-converted-space"/>
    <w:basedOn w:val="DefaultParagraphFont"/>
    <w:rsid w:val="00B77E39"/>
  </w:style>
  <w:style w:type="character" w:styleId="Hyperlink">
    <w:name w:val="Hyperlink"/>
    <w:basedOn w:val="DefaultParagraphFont"/>
    <w:uiPriority w:val="99"/>
    <w:semiHidden/>
    <w:unhideWhenUsed/>
    <w:rsid w:val="00CA6F51"/>
    <w:rPr>
      <w:color w:val="0000FF"/>
      <w:u w:val="single"/>
    </w:rPr>
  </w:style>
  <w:style w:type="character" w:styleId="Emphasis">
    <w:name w:val="Emphasis"/>
    <w:basedOn w:val="DefaultParagraphFont"/>
    <w:uiPriority w:val="20"/>
    <w:qFormat/>
    <w:rsid w:val="008A53C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97E"/>
    <w:pPr>
      <w:ind w:left="720"/>
      <w:contextualSpacing/>
    </w:pPr>
    <w:rPr>
      <w:rFonts w:ascii="Calibri" w:eastAsia="Calibri" w:hAnsi="Calibri" w:cs="Times New Roman"/>
    </w:rPr>
  </w:style>
  <w:style w:type="paragraph" w:customStyle="1" w:styleId="Default">
    <w:name w:val="Default"/>
    <w:rsid w:val="0057797E"/>
    <w:pPr>
      <w:autoSpaceDE w:val="0"/>
      <w:autoSpaceDN w:val="0"/>
      <w:adjustRightInd w:val="0"/>
      <w:spacing w:after="0" w:line="240" w:lineRule="auto"/>
    </w:pPr>
    <w:rPr>
      <w:rFonts w:ascii="Calibri" w:eastAsia="Calibri" w:hAnsi="Calibri" w:cs="Calibri"/>
      <w:color w:val="000000"/>
      <w:sz w:val="24"/>
      <w:szCs w:val="24"/>
    </w:rPr>
  </w:style>
  <w:style w:type="character" w:styleId="CommentReference">
    <w:name w:val="annotation reference"/>
    <w:basedOn w:val="DefaultParagraphFont"/>
    <w:uiPriority w:val="99"/>
    <w:semiHidden/>
    <w:unhideWhenUsed/>
    <w:rsid w:val="0057797E"/>
    <w:rPr>
      <w:sz w:val="16"/>
      <w:szCs w:val="16"/>
    </w:rPr>
  </w:style>
  <w:style w:type="paragraph" w:styleId="CommentText">
    <w:name w:val="annotation text"/>
    <w:basedOn w:val="Normal"/>
    <w:link w:val="CommentTextChar"/>
    <w:uiPriority w:val="99"/>
    <w:semiHidden/>
    <w:unhideWhenUsed/>
    <w:rsid w:val="0057797E"/>
    <w:pPr>
      <w:spacing w:line="240" w:lineRule="auto"/>
    </w:pPr>
    <w:rPr>
      <w:sz w:val="20"/>
      <w:szCs w:val="20"/>
    </w:rPr>
  </w:style>
  <w:style w:type="character" w:customStyle="1" w:styleId="CommentTextChar">
    <w:name w:val="Comment Text Char"/>
    <w:basedOn w:val="DefaultParagraphFont"/>
    <w:link w:val="CommentText"/>
    <w:uiPriority w:val="99"/>
    <w:semiHidden/>
    <w:rsid w:val="0057797E"/>
    <w:rPr>
      <w:sz w:val="20"/>
      <w:szCs w:val="20"/>
    </w:rPr>
  </w:style>
  <w:style w:type="paragraph" w:styleId="CommentSubject">
    <w:name w:val="annotation subject"/>
    <w:basedOn w:val="CommentText"/>
    <w:next w:val="CommentText"/>
    <w:link w:val="CommentSubjectChar"/>
    <w:uiPriority w:val="99"/>
    <w:semiHidden/>
    <w:unhideWhenUsed/>
    <w:rsid w:val="0057797E"/>
    <w:rPr>
      <w:b/>
      <w:bCs/>
    </w:rPr>
  </w:style>
  <w:style w:type="character" w:customStyle="1" w:styleId="CommentSubjectChar">
    <w:name w:val="Comment Subject Char"/>
    <w:basedOn w:val="CommentTextChar"/>
    <w:link w:val="CommentSubject"/>
    <w:uiPriority w:val="99"/>
    <w:semiHidden/>
    <w:rsid w:val="0057797E"/>
    <w:rPr>
      <w:b/>
      <w:bCs/>
      <w:sz w:val="20"/>
      <w:szCs w:val="20"/>
    </w:rPr>
  </w:style>
  <w:style w:type="paragraph" w:styleId="BalloonText">
    <w:name w:val="Balloon Text"/>
    <w:basedOn w:val="Normal"/>
    <w:link w:val="BalloonTextChar"/>
    <w:uiPriority w:val="99"/>
    <w:semiHidden/>
    <w:unhideWhenUsed/>
    <w:rsid w:val="005779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97E"/>
    <w:rPr>
      <w:rFonts w:ascii="Tahoma" w:hAnsi="Tahoma" w:cs="Tahoma"/>
      <w:sz w:val="16"/>
      <w:szCs w:val="16"/>
    </w:rPr>
  </w:style>
  <w:style w:type="paragraph" w:styleId="Header">
    <w:name w:val="header"/>
    <w:basedOn w:val="Normal"/>
    <w:link w:val="HeaderChar"/>
    <w:uiPriority w:val="99"/>
    <w:unhideWhenUsed/>
    <w:rsid w:val="00175D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DCE"/>
  </w:style>
  <w:style w:type="paragraph" w:styleId="Footer">
    <w:name w:val="footer"/>
    <w:basedOn w:val="Normal"/>
    <w:link w:val="FooterChar"/>
    <w:uiPriority w:val="99"/>
    <w:unhideWhenUsed/>
    <w:rsid w:val="00175D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DCE"/>
  </w:style>
  <w:style w:type="paragraph" w:styleId="Revision">
    <w:name w:val="Revision"/>
    <w:hidden/>
    <w:uiPriority w:val="99"/>
    <w:semiHidden/>
    <w:rsid w:val="006F08D5"/>
    <w:pPr>
      <w:spacing w:after="0" w:line="240" w:lineRule="auto"/>
    </w:pPr>
  </w:style>
  <w:style w:type="paragraph" w:styleId="PlainText">
    <w:name w:val="Plain Text"/>
    <w:basedOn w:val="Normal"/>
    <w:link w:val="PlainTextChar"/>
    <w:uiPriority w:val="99"/>
    <w:semiHidden/>
    <w:unhideWhenUsed/>
    <w:rsid w:val="00C87A25"/>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C87A25"/>
    <w:rPr>
      <w:rFonts w:ascii="Calibri" w:hAnsi="Calibri" w:cs="Consolas"/>
      <w:szCs w:val="21"/>
    </w:rPr>
  </w:style>
  <w:style w:type="character" w:customStyle="1" w:styleId="apple-converted-space">
    <w:name w:val="apple-converted-space"/>
    <w:basedOn w:val="DefaultParagraphFont"/>
    <w:rsid w:val="00B77E39"/>
  </w:style>
  <w:style w:type="character" w:styleId="Hyperlink">
    <w:name w:val="Hyperlink"/>
    <w:basedOn w:val="DefaultParagraphFont"/>
    <w:uiPriority w:val="99"/>
    <w:semiHidden/>
    <w:unhideWhenUsed/>
    <w:rsid w:val="00CA6F51"/>
    <w:rPr>
      <w:color w:val="0000FF"/>
      <w:u w:val="single"/>
    </w:rPr>
  </w:style>
  <w:style w:type="character" w:styleId="Emphasis">
    <w:name w:val="Emphasis"/>
    <w:basedOn w:val="DefaultParagraphFont"/>
    <w:uiPriority w:val="20"/>
    <w:qFormat/>
    <w:rsid w:val="008A53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94154">
      <w:bodyDiv w:val="1"/>
      <w:marLeft w:val="0"/>
      <w:marRight w:val="0"/>
      <w:marTop w:val="0"/>
      <w:marBottom w:val="0"/>
      <w:divBdr>
        <w:top w:val="none" w:sz="0" w:space="0" w:color="auto"/>
        <w:left w:val="none" w:sz="0" w:space="0" w:color="auto"/>
        <w:bottom w:val="none" w:sz="0" w:space="0" w:color="auto"/>
        <w:right w:val="none" w:sz="0" w:space="0" w:color="auto"/>
      </w:divBdr>
    </w:div>
    <w:div w:id="500974898">
      <w:bodyDiv w:val="1"/>
      <w:marLeft w:val="0"/>
      <w:marRight w:val="0"/>
      <w:marTop w:val="0"/>
      <w:marBottom w:val="0"/>
      <w:divBdr>
        <w:top w:val="none" w:sz="0" w:space="0" w:color="auto"/>
        <w:left w:val="none" w:sz="0" w:space="0" w:color="auto"/>
        <w:bottom w:val="none" w:sz="0" w:space="0" w:color="auto"/>
        <w:right w:val="none" w:sz="0" w:space="0" w:color="auto"/>
      </w:divBdr>
    </w:div>
    <w:div w:id="677275638">
      <w:bodyDiv w:val="1"/>
      <w:marLeft w:val="0"/>
      <w:marRight w:val="0"/>
      <w:marTop w:val="0"/>
      <w:marBottom w:val="0"/>
      <w:divBdr>
        <w:top w:val="none" w:sz="0" w:space="0" w:color="auto"/>
        <w:left w:val="none" w:sz="0" w:space="0" w:color="auto"/>
        <w:bottom w:val="none" w:sz="0" w:space="0" w:color="auto"/>
        <w:right w:val="none" w:sz="0" w:space="0" w:color="auto"/>
      </w:divBdr>
    </w:div>
    <w:div w:id="117761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1359</Words>
  <Characters>7749</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dc:creator>
  <cp:lastModifiedBy>Martha Serianz</cp:lastModifiedBy>
  <cp:revision>2</cp:revision>
  <dcterms:created xsi:type="dcterms:W3CDTF">2014-05-16T15:54:00Z</dcterms:created>
  <dcterms:modified xsi:type="dcterms:W3CDTF">2014-05-16T15:54:00Z</dcterms:modified>
</cp:coreProperties>
</file>