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4C50" w:rsidRPr="007078BA" w:rsidRDefault="003F39DD" w:rsidP="00F5461E">
      <w:pPr>
        <w:pStyle w:val="Heading1"/>
        <w:sectPr w:rsidR="00864C50" w:rsidRPr="007078BA" w:rsidSect="009345B3">
          <w:footerReference w:type="even" r:id="rId9"/>
          <w:footerReference w:type="default" r:id="rId10"/>
          <w:pgSz w:w="12240" w:h="15840" w:code="1"/>
          <w:pgMar w:top="1440" w:right="907" w:bottom="634" w:left="1440" w:header="720" w:footer="720" w:gutter="0"/>
          <w:pgBorders w:offsetFrom="page">
            <w:top w:val="single" w:sz="4" w:space="24" w:color="00008C"/>
            <w:left w:val="single" w:sz="4" w:space="24" w:color="00008C"/>
            <w:bottom w:val="single" w:sz="4" w:space="24" w:color="00008C"/>
            <w:right w:val="single" w:sz="4" w:space="24" w:color="00008C"/>
          </w:pgBorders>
          <w:cols w:space="720"/>
          <w:titlePg/>
          <w:docGrid w:linePitch="360"/>
        </w:sectPr>
      </w:pPr>
      <w:bookmarkStart w:id="0" w:name="_Toc347830999"/>
      <w:bookmarkStart w:id="1" w:name="_Toc347832055"/>
      <w:bookmarkStart w:id="2" w:name="_Toc347832180"/>
      <w:bookmarkStart w:id="3" w:name="_Toc347832365"/>
      <w:bookmarkStart w:id="4" w:name="_Toc347832521"/>
      <w:bookmarkStart w:id="5" w:name="_Toc347842245"/>
      <w:bookmarkStart w:id="6" w:name="_Toc347842637"/>
      <w:bookmarkStart w:id="7" w:name="_Toc347845139"/>
      <w:bookmarkStart w:id="8" w:name="_Toc347845786"/>
      <w:bookmarkStart w:id="9" w:name="_Toc347845936"/>
      <w:bookmarkStart w:id="10" w:name="_Toc347924489"/>
      <w:bookmarkStart w:id="11" w:name="_Toc347924605"/>
      <w:bookmarkStart w:id="12" w:name="_Toc350150844"/>
      <w:bookmarkStart w:id="13" w:name="_Toc352584355"/>
      <w:bookmarkStart w:id="14" w:name="_Toc353869842"/>
      <w:bookmarkStart w:id="15" w:name="_GoBack"/>
      <w:bookmarkEnd w:id="15"/>
      <w:r>
        <w:rPr>
          <w:noProof/>
        </w:rPr>
        <w:drawing>
          <wp:anchor distT="0" distB="0" distL="114300" distR="114300" simplePos="0" relativeHeight="251685888" behindDoc="0" locked="0" layoutInCell="1" allowOverlap="1">
            <wp:simplePos x="0" y="0"/>
            <wp:positionH relativeFrom="column">
              <wp:posOffset>-333375</wp:posOffset>
            </wp:positionH>
            <wp:positionV relativeFrom="paragraph">
              <wp:posOffset>2952750</wp:posOffset>
            </wp:positionV>
            <wp:extent cx="1381125" cy="138112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Reduced more Size City Seal.b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81125" cy="1381125"/>
                    </a:xfrm>
                    <a:prstGeom prst="rect">
                      <a:avLst/>
                    </a:prstGeom>
                  </pic:spPr>
                </pic:pic>
              </a:graphicData>
            </a:graphic>
          </wp:anchor>
        </w:drawing>
      </w:r>
      <w:r w:rsidR="001A4C46">
        <w:rPr>
          <w:noProof/>
        </w:rPr>
        <mc:AlternateContent>
          <mc:Choice Requires="wps">
            <w:drawing>
              <wp:anchor distT="0" distB="0" distL="114300" distR="114300" simplePos="0" relativeHeight="251680768" behindDoc="0" locked="0" layoutInCell="1" allowOverlap="1">
                <wp:simplePos x="0" y="0"/>
                <wp:positionH relativeFrom="column">
                  <wp:posOffset>1371600</wp:posOffset>
                </wp:positionH>
                <wp:positionV relativeFrom="paragraph">
                  <wp:posOffset>6446520</wp:posOffset>
                </wp:positionV>
                <wp:extent cx="5181600" cy="1935480"/>
                <wp:effectExtent l="0" t="0" r="0" b="7620"/>
                <wp:wrapNone/>
                <wp:docPr id="1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81600" cy="19354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E2A47" w:rsidRDefault="00CE2A47" w:rsidP="009345B3">
                            <w:pPr>
                              <w:jc w:val="center"/>
                              <w:rPr>
                                <w:b/>
                                <w:color w:val="FFFFFF" w:themeColor="background1"/>
                                <w:sz w:val="44"/>
                                <w:szCs w:val="44"/>
                              </w:rPr>
                            </w:pPr>
                          </w:p>
                          <w:p w:rsidR="00CE2A47" w:rsidRPr="003D6BFC" w:rsidRDefault="00CE2A47" w:rsidP="009345B3">
                            <w:pPr>
                              <w:jc w:val="center"/>
                              <w:rPr>
                                <w:b/>
                                <w:color w:val="FFFFFF" w:themeColor="background1"/>
                                <w:sz w:val="56"/>
                                <w:szCs w:val="56"/>
                              </w:rPr>
                            </w:pPr>
                            <w:r w:rsidRPr="003D6BFC">
                              <w:rPr>
                                <w:b/>
                                <w:color w:val="FFFFFF" w:themeColor="background1"/>
                                <w:sz w:val="56"/>
                                <w:szCs w:val="56"/>
                              </w:rPr>
                              <w:t>Joint City/County Affordable Housing Task Force</w:t>
                            </w:r>
                          </w:p>
                          <w:p w:rsidR="00CE2A47" w:rsidRPr="003D6BFC" w:rsidRDefault="00CE2A47" w:rsidP="009345B3">
                            <w:pPr>
                              <w:jc w:val="center"/>
                              <w:rPr>
                                <w:b/>
                                <w:color w:val="FFFFFF" w:themeColor="background1"/>
                                <w:sz w:val="44"/>
                                <w:szCs w:val="44"/>
                              </w:rPr>
                            </w:pPr>
                          </w:p>
                          <w:p w:rsidR="00CE2A47" w:rsidRPr="003D6BFC" w:rsidRDefault="001F19DE" w:rsidP="009345B3">
                            <w:pPr>
                              <w:jc w:val="center"/>
                              <w:rPr>
                                <w:b/>
                                <w:color w:val="FFFFFF" w:themeColor="background1"/>
                                <w:sz w:val="44"/>
                                <w:szCs w:val="44"/>
                              </w:rPr>
                            </w:pPr>
                            <w:r>
                              <w:rPr>
                                <w:b/>
                                <w:color w:val="FFFFFF" w:themeColor="background1"/>
                                <w:sz w:val="44"/>
                                <w:szCs w:val="44"/>
                              </w:rPr>
                              <w:t>May 1, 2013</w:t>
                            </w:r>
                            <w:r w:rsidR="00CE2A47" w:rsidRPr="003D6BFC">
                              <w:rPr>
                                <w:b/>
                                <w:color w:val="FFFFFF" w:themeColor="background1"/>
                                <w:sz w:val="44"/>
                                <w:szCs w:val="44"/>
                              </w:rPr>
                              <w:t xml:space="preserve"> </w:t>
                            </w:r>
                          </w:p>
                          <w:p w:rsidR="00CE2A47" w:rsidRDefault="00CE2A47" w:rsidP="009345B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108pt;margin-top:507.6pt;width:408pt;height:152.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" filled="f" stroked="f" strokeweight=".5pt">
                <v:path arrowok="t"/>
                <v:textbox>
                  <w:txbxContent>
                    <w:p w:rsidR="00CE2A47" w:rsidRDefault="00CE2A47" w:rsidP="009345B3">
                      <w:pPr>
                        <w:jc w:val="center"/>
                        <w:rPr>
                          <w:b/>
                          <w:color w:val="FFFFFF" w:themeColor="background1"/>
                          <w:sz w:val="44"/>
                          <w:szCs w:val="44"/>
                        </w:rPr>
                      </w:pPr>
                    </w:p>
                    <w:p w:rsidR="00CE2A47" w:rsidRPr="003D6BFC" w:rsidRDefault="00CE2A47" w:rsidP="009345B3">
                      <w:pPr>
                        <w:jc w:val="center"/>
                        <w:rPr>
                          <w:b/>
                          <w:color w:val="FFFFFF" w:themeColor="background1"/>
                          <w:sz w:val="56"/>
                          <w:szCs w:val="56"/>
                        </w:rPr>
                      </w:pPr>
                      <w:r w:rsidRPr="003D6BFC">
                        <w:rPr>
                          <w:b/>
                          <w:color w:val="FFFFFF" w:themeColor="background1"/>
                          <w:sz w:val="56"/>
                          <w:szCs w:val="56"/>
                        </w:rPr>
                        <w:t>Joint City/County Affordable Housing Task Force</w:t>
                      </w:r>
                    </w:p>
                    <w:p w:rsidR="00CE2A47" w:rsidRPr="003D6BFC" w:rsidRDefault="00CE2A47" w:rsidP="009345B3">
                      <w:pPr>
                        <w:jc w:val="center"/>
                        <w:rPr>
                          <w:b/>
                          <w:color w:val="FFFFFF" w:themeColor="background1"/>
                          <w:sz w:val="44"/>
                          <w:szCs w:val="44"/>
                        </w:rPr>
                      </w:pPr>
                    </w:p>
                    <w:p w:rsidR="00CE2A47" w:rsidRPr="003D6BFC" w:rsidRDefault="001F19DE" w:rsidP="009345B3">
                      <w:pPr>
                        <w:jc w:val="center"/>
                        <w:rPr>
                          <w:b/>
                          <w:color w:val="FFFFFF" w:themeColor="background1"/>
                          <w:sz w:val="44"/>
                          <w:szCs w:val="44"/>
                        </w:rPr>
                      </w:pPr>
                      <w:r>
                        <w:rPr>
                          <w:b/>
                          <w:color w:val="FFFFFF" w:themeColor="background1"/>
                          <w:sz w:val="44"/>
                          <w:szCs w:val="44"/>
                        </w:rPr>
                        <w:t>May 1, 2013</w:t>
                      </w:r>
                      <w:r w:rsidR="00CE2A47" w:rsidRPr="003D6BFC">
                        <w:rPr>
                          <w:b/>
                          <w:color w:val="FFFFFF" w:themeColor="background1"/>
                          <w:sz w:val="44"/>
                          <w:szCs w:val="44"/>
                        </w:rPr>
                        <w:t xml:space="preserve"> </w:t>
                      </w:r>
                    </w:p>
                    <w:p w:rsidR="00CE2A47" w:rsidRDefault="00CE2A47" w:rsidP="009345B3"/>
                  </w:txbxContent>
                </v:textbox>
              </v:shape>
            </w:pict>
          </mc:Fallback>
        </mc:AlternateContent>
      </w:r>
      <w:r w:rsidR="00E43976">
        <w:rPr>
          <w:noProof/>
        </w:rPr>
        <w:drawing>
          <wp:anchor distT="0" distB="0" distL="114300" distR="114300" simplePos="0" relativeHeight="251676672" behindDoc="0" locked="0" layoutInCell="1" allowOverlap="1">
            <wp:simplePos x="0" y="0"/>
            <wp:positionH relativeFrom="column">
              <wp:posOffset>-336176</wp:posOffset>
            </wp:positionH>
            <wp:positionV relativeFrom="paragraph">
              <wp:posOffset>2958354</wp:posOffset>
            </wp:positionV>
            <wp:extent cx="1371600" cy="1371600"/>
            <wp:effectExtent l="0" t="0" r="0" b="0"/>
            <wp:wrapNone/>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C PS Logo.png"/>
                    <pic:cNvPicPr preferRelativeResize="0"/>
                  </pic:nvPicPr>
                  <pic:blipFill>
                    <a:blip r:embed="rId12" cstate="print">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anchor>
        </w:drawing>
      </w:r>
      <w:r w:rsidR="00E43976">
        <w:rPr>
          <w:noProof/>
        </w:rPr>
        <w:drawing>
          <wp:anchor distT="0" distB="0" distL="114300" distR="114300" simplePos="0" relativeHeight="251677696" behindDoc="0" locked="0" layoutInCell="1" allowOverlap="1">
            <wp:simplePos x="0" y="0"/>
            <wp:positionH relativeFrom="column">
              <wp:posOffset>-455930</wp:posOffset>
            </wp:positionH>
            <wp:positionV relativeFrom="paragraph">
              <wp:posOffset>1600200</wp:posOffset>
            </wp:positionV>
            <wp:extent cx="1616710" cy="914400"/>
            <wp:effectExtent l="19050" t="0" r="254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yPS2.png"/>
                    <pic:cNvPicPr preferRelativeResize="0"/>
                  </pic:nvPicPr>
                  <pic:blipFill>
                    <a:blip r:embed="rId13" cstate="print">
                      <a:extLst>
                        <a:ext uri="{28A0092B-C50C-407E-A947-70E740481C1C}">
                          <a14:useLocalDpi xmlns:a14="http://schemas.microsoft.com/office/drawing/2010/main" val="0"/>
                        </a:ext>
                      </a:extLst>
                    </a:blip>
                    <a:stretch>
                      <a:fillRect/>
                    </a:stretch>
                  </pic:blipFill>
                  <pic:spPr>
                    <a:xfrm>
                      <a:off x="0" y="0"/>
                      <a:ext cx="1616710" cy="914400"/>
                    </a:xfrm>
                    <a:prstGeom prst="rect">
                      <a:avLst/>
                    </a:prstGeom>
                    <a:solidFill>
                      <a:schemeClr val="bg1"/>
                    </a:solidFill>
                  </pic:spPr>
                </pic:pic>
              </a:graphicData>
            </a:graphic>
          </wp:anchor>
        </w:drawing>
      </w:r>
      <w:r w:rsidR="003D6BFC">
        <w:rPr>
          <w:noProof/>
        </w:rPr>
        <w:drawing>
          <wp:anchor distT="0" distB="0" distL="114300" distR="114300" simplePos="0" relativeHeight="251681792" behindDoc="0" locked="0" layoutInCell="1" allowOverlap="1">
            <wp:simplePos x="0" y="0"/>
            <wp:positionH relativeFrom="column">
              <wp:posOffset>1522997</wp:posOffset>
            </wp:positionH>
            <wp:positionV relativeFrom="paragraph">
              <wp:posOffset>2887579</wp:posOffset>
            </wp:positionV>
            <wp:extent cx="1555482" cy="1552074"/>
            <wp:effectExtent l="19050" t="0" r="6618" b="0"/>
            <wp:wrapNone/>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Vineyard Crossings.jpg"/>
                    <pic:cNvPicPr preferRelativeResize="0"/>
                  </pic:nvPicPr>
                  <pic:blipFill>
                    <a:blip r:embed="rId14" cstate="print">
                      <a:extLst>
                        <a:ext uri="{28A0092B-C50C-407E-A947-70E740481C1C}">
                          <a14:useLocalDpi xmlns:a14="http://schemas.microsoft.com/office/drawing/2010/main" val="0"/>
                        </a:ext>
                      </a:extLst>
                    </a:blip>
                    <a:stretch>
                      <a:fillRect/>
                    </a:stretch>
                  </pic:blipFill>
                  <pic:spPr>
                    <a:xfrm>
                      <a:off x="0" y="0"/>
                      <a:ext cx="1555483" cy="1552075"/>
                    </a:xfrm>
                    <a:prstGeom prst="rect">
                      <a:avLst/>
                    </a:prstGeom>
                  </pic:spPr>
                </pic:pic>
              </a:graphicData>
            </a:graphic>
          </wp:anchor>
        </w:drawing>
      </w:r>
      <w:r w:rsidR="001A4C46">
        <w:rPr>
          <w:noProof/>
        </w:rPr>
        <mc:AlternateContent>
          <mc:Choice Requires="wps">
            <w:drawing>
              <wp:anchor distT="0" distB="0" distL="114300" distR="114300" simplePos="0" relativeHeight="251670528" behindDoc="0" locked="0" layoutInCell="1" allowOverlap="1">
                <wp:simplePos x="0" y="0"/>
                <wp:positionH relativeFrom="column">
                  <wp:posOffset>-673735</wp:posOffset>
                </wp:positionH>
                <wp:positionV relativeFrom="paragraph">
                  <wp:posOffset>7677150</wp:posOffset>
                </wp:positionV>
                <wp:extent cx="1981200" cy="1144905"/>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1200" cy="11449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E2A47" w:rsidRPr="00A455D8" w:rsidRDefault="00CE2A47" w:rsidP="009345B3">
                            <w:pPr>
                              <w:keepLines/>
                              <w:rPr>
                                <w:b/>
                                <w:color w:val="FFFFFF" w:themeColor="background1"/>
                                <w:sz w:val="20"/>
                                <w:szCs w:val="20"/>
                              </w:rPr>
                            </w:pPr>
                            <w:r w:rsidRPr="00A455D8">
                              <w:rPr>
                                <w:b/>
                                <w:color w:val="FFFFFF" w:themeColor="background1"/>
                                <w:sz w:val="20"/>
                                <w:szCs w:val="20"/>
                              </w:rPr>
                              <w:t>LeSar Development Consultants</w:t>
                            </w:r>
                          </w:p>
                          <w:p w:rsidR="00CE2A47" w:rsidRPr="00BA1AFA" w:rsidRDefault="00CE2A47" w:rsidP="009345B3">
                            <w:pPr>
                              <w:keepLines/>
                              <w:rPr>
                                <w:b/>
                                <w:color w:val="FFFFFF" w:themeColor="background1"/>
                                <w:sz w:val="16"/>
                                <w:szCs w:val="16"/>
                              </w:rPr>
                            </w:pPr>
                            <w:r w:rsidRPr="00BA1AFA">
                              <w:rPr>
                                <w:b/>
                                <w:color w:val="FFFFFF" w:themeColor="background1"/>
                                <w:sz w:val="16"/>
                                <w:szCs w:val="16"/>
                              </w:rPr>
                              <w:t>www.lesardevelopment.com</w:t>
                            </w:r>
                          </w:p>
                          <w:p w:rsidR="00CE2A47" w:rsidRDefault="00CE2A47" w:rsidP="009345B3">
                            <w:pPr>
                              <w:keepLines/>
                              <w:rPr>
                                <w:b/>
                                <w:color w:val="FFFFFF" w:themeColor="background1"/>
                                <w:sz w:val="16"/>
                                <w:szCs w:val="16"/>
                              </w:rPr>
                            </w:pPr>
                          </w:p>
                          <w:p w:rsidR="00CE2A47" w:rsidRPr="00BA1AFA" w:rsidRDefault="00CE2A47" w:rsidP="009345B3">
                            <w:pPr>
                              <w:keepLines/>
                              <w:rPr>
                                <w:b/>
                                <w:color w:val="FFFFFF" w:themeColor="background1"/>
                                <w:sz w:val="16"/>
                                <w:szCs w:val="16"/>
                              </w:rPr>
                            </w:pPr>
                            <w:r w:rsidRPr="00BA1AFA">
                              <w:rPr>
                                <w:b/>
                                <w:color w:val="FFFFFF" w:themeColor="background1"/>
                                <w:sz w:val="16"/>
                                <w:szCs w:val="16"/>
                              </w:rPr>
                              <w:t>Jennifer LeSar, President</w:t>
                            </w:r>
                          </w:p>
                          <w:p w:rsidR="00CE2A47" w:rsidRDefault="00CE2A47" w:rsidP="009345B3">
                            <w:pPr>
                              <w:keepLines/>
                              <w:rPr>
                                <w:b/>
                                <w:color w:val="FFFFFF" w:themeColor="background1"/>
                                <w:sz w:val="16"/>
                                <w:szCs w:val="16"/>
                              </w:rPr>
                            </w:pPr>
                            <w:r w:rsidRPr="00BA1AFA">
                              <w:rPr>
                                <w:b/>
                                <w:color w:val="FFFFFF" w:themeColor="background1"/>
                                <w:sz w:val="16"/>
                                <w:szCs w:val="16"/>
                              </w:rPr>
                              <w:t>619-236-0612</w:t>
                            </w:r>
                            <w:r>
                              <w:rPr>
                                <w:b/>
                                <w:color w:val="FFFFFF" w:themeColor="background1"/>
                                <w:sz w:val="16"/>
                                <w:szCs w:val="16"/>
                              </w:rPr>
                              <w:t xml:space="preserve"> ext. 101</w:t>
                            </w:r>
                          </w:p>
                          <w:p w:rsidR="00CE2A47" w:rsidRPr="00BA1AFA" w:rsidRDefault="00CE2A47" w:rsidP="009345B3">
                            <w:pPr>
                              <w:keepLines/>
                              <w:rPr>
                                <w:b/>
                                <w:color w:val="FFFFFF" w:themeColor="background1"/>
                                <w:sz w:val="16"/>
                                <w:szCs w:val="16"/>
                              </w:rPr>
                            </w:pPr>
                            <w:r>
                              <w:rPr>
                                <w:b/>
                                <w:color w:val="FFFFFF" w:themeColor="background1"/>
                                <w:sz w:val="16"/>
                                <w:szCs w:val="16"/>
                              </w:rPr>
                              <w:t>Jennifer@lesardevelopment.com</w:t>
                            </w:r>
                          </w:p>
                          <w:p w:rsidR="00CE2A47" w:rsidRPr="00BA1AFA" w:rsidRDefault="00CE2A47" w:rsidP="009345B3">
                            <w:pPr>
                              <w:rPr>
                                <w:b/>
                                <w:color w:val="FFFFFF" w:themeColor="background1"/>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19" o:spid="_x0000_s1027" type="#_x0000_t202" style="position:absolute;left:0;text-align:left;margin-left:-53.05pt;margin-top:604.5pt;width:156pt;height:90.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" filled="f" stroked="f" strokeweight=".5pt">
                <v:path arrowok="t"/>
                <v:textbox>
                  <w:txbxContent>
                    <w:p w:rsidR="00CE2A47" w:rsidRPr="00A455D8" w:rsidRDefault="00CE2A47" w:rsidP="009345B3">
                      <w:pPr>
                        <w:keepLines/>
                        <w:rPr>
                          <w:b/>
                          <w:color w:val="FFFFFF" w:themeColor="background1"/>
                          <w:sz w:val="20"/>
                          <w:szCs w:val="20"/>
                        </w:rPr>
                      </w:pPr>
                      <w:r w:rsidRPr="00A455D8">
                        <w:rPr>
                          <w:b/>
                          <w:color w:val="FFFFFF" w:themeColor="background1"/>
                          <w:sz w:val="20"/>
                          <w:szCs w:val="20"/>
                        </w:rPr>
                        <w:t>LeSar Development Consultants</w:t>
                      </w:r>
                    </w:p>
                    <w:p w:rsidR="00CE2A47" w:rsidRPr="00BA1AFA" w:rsidRDefault="00CE2A47" w:rsidP="009345B3">
                      <w:pPr>
                        <w:keepLines/>
                        <w:rPr>
                          <w:b/>
                          <w:color w:val="FFFFFF" w:themeColor="background1"/>
                          <w:sz w:val="16"/>
                          <w:szCs w:val="16"/>
                        </w:rPr>
                      </w:pPr>
                      <w:r w:rsidRPr="00BA1AFA">
                        <w:rPr>
                          <w:b/>
                          <w:color w:val="FFFFFF" w:themeColor="background1"/>
                          <w:sz w:val="16"/>
                          <w:szCs w:val="16"/>
                        </w:rPr>
                        <w:t>www.lesardevelopment.com</w:t>
                      </w:r>
                    </w:p>
                    <w:p w:rsidR="00CE2A47" w:rsidRDefault="00CE2A47" w:rsidP="009345B3">
                      <w:pPr>
                        <w:keepLines/>
                        <w:rPr>
                          <w:b/>
                          <w:color w:val="FFFFFF" w:themeColor="background1"/>
                          <w:sz w:val="16"/>
                          <w:szCs w:val="16"/>
                        </w:rPr>
                      </w:pPr>
                    </w:p>
                    <w:p w:rsidR="00CE2A47" w:rsidRPr="00BA1AFA" w:rsidRDefault="00CE2A47" w:rsidP="009345B3">
                      <w:pPr>
                        <w:keepLines/>
                        <w:rPr>
                          <w:b/>
                          <w:color w:val="FFFFFF" w:themeColor="background1"/>
                          <w:sz w:val="16"/>
                          <w:szCs w:val="16"/>
                        </w:rPr>
                      </w:pPr>
                      <w:r w:rsidRPr="00BA1AFA">
                        <w:rPr>
                          <w:b/>
                          <w:color w:val="FFFFFF" w:themeColor="background1"/>
                          <w:sz w:val="16"/>
                          <w:szCs w:val="16"/>
                        </w:rPr>
                        <w:t>Jennifer LeSar, President</w:t>
                      </w:r>
                    </w:p>
                    <w:p w:rsidR="00CE2A47" w:rsidRDefault="00CE2A47" w:rsidP="009345B3">
                      <w:pPr>
                        <w:keepLines/>
                        <w:rPr>
                          <w:b/>
                          <w:color w:val="FFFFFF" w:themeColor="background1"/>
                          <w:sz w:val="16"/>
                          <w:szCs w:val="16"/>
                        </w:rPr>
                      </w:pPr>
                      <w:r w:rsidRPr="00BA1AFA">
                        <w:rPr>
                          <w:b/>
                          <w:color w:val="FFFFFF" w:themeColor="background1"/>
                          <w:sz w:val="16"/>
                          <w:szCs w:val="16"/>
                        </w:rPr>
                        <w:t>619-236-0612</w:t>
                      </w:r>
                      <w:r>
                        <w:rPr>
                          <w:b/>
                          <w:color w:val="FFFFFF" w:themeColor="background1"/>
                          <w:sz w:val="16"/>
                          <w:szCs w:val="16"/>
                        </w:rPr>
                        <w:t xml:space="preserve"> ext. 101</w:t>
                      </w:r>
                    </w:p>
                    <w:p w:rsidR="00CE2A47" w:rsidRPr="00BA1AFA" w:rsidRDefault="00CE2A47" w:rsidP="009345B3">
                      <w:pPr>
                        <w:keepLines/>
                        <w:rPr>
                          <w:b/>
                          <w:color w:val="FFFFFF" w:themeColor="background1"/>
                          <w:sz w:val="16"/>
                          <w:szCs w:val="16"/>
                        </w:rPr>
                      </w:pPr>
                      <w:r>
                        <w:rPr>
                          <w:b/>
                          <w:color w:val="FFFFFF" w:themeColor="background1"/>
                          <w:sz w:val="16"/>
                          <w:szCs w:val="16"/>
                        </w:rPr>
                        <w:t>Jennifer@lesardevelopment.com</w:t>
                      </w:r>
                    </w:p>
                    <w:p w:rsidR="00CE2A47" w:rsidRPr="00BA1AFA" w:rsidRDefault="00CE2A47" w:rsidP="009345B3">
                      <w:pPr>
                        <w:rPr>
                          <w:b/>
                          <w:color w:val="FFFFFF" w:themeColor="background1"/>
                          <w:sz w:val="16"/>
                          <w:szCs w:val="16"/>
                        </w:rPr>
                      </w:pPr>
                    </w:p>
                  </w:txbxContent>
                </v:textbox>
              </v:shape>
            </w:pict>
          </mc:Fallback>
        </mc:AlternateContent>
      </w:r>
      <w:r w:rsidR="003D6BFC">
        <w:rPr>
          <w:noProof/>
        </w:rPr>
        <w:drawing>
          <wp:anchor distT="0" distB="0" distL="114300" distR="114300" simplePos="0" relativeHeight="251672576" behindDoc="0" locked="0" layoutInCell="1" allowOverlap="1">
            <wp:simplePos x="0" y="0"/>
            <wp:positionH relativeFrom="column">
              <wp:posOffset>4709160</wp:posOffset>
            </wp:positionH>
            <wp:positionV relativeFrom="paragraph">
              <wp:posOffset>4493260</wp:posOffset>
            </wp:positionV>
            <wp:extent cx="1553210" cy="1551940"/>
            <wp:effectExtent l="19050" t="0" r="8890" b="0"/>
            <wp:wrapNone/>
            <wp:docPr id="41" name="Pictur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histlestop Townhomes.jpg"/>
                    <pic:cNvPicPr preferRelativeResize="0"/>
                  </pic:nvPicPr>
                  <pic:blipFill>
                    <a:blip r:embed="rId15" cstate="print">
                      <a:extLst>
                        <a:ext uri="{28A0092B-C50C-407E-A947-70E740481C1C}">
                          <a14:useLocalDpi xmlns:a14="http://schemas.microsoft.com/office/drawing/2010/main" val="0"/>
                        </a:ext>
                      </a:extLst>
                    </a:blip>
                    <a:stretch>
                      <a:fillRect/>
                    </a:stretch>
                  </pic:blipFill>
                  <pic:spPr>
                    <a:xfrm>
                      <a:off x="0" y="0"/>
                      <a:ext cx="1553210" cy="1551940"/>
                    </a:xfrm>
                    <a:prstGeom prst="rect">
                      <a:avLst/>
                    </a:prstGeom>
                  </pic:spPr>
                </pic:pic>
              </a:graphicData>
            </a:graphic>
          </wp:anchor>
        </w:drawing>
      </w:r>
      <w:r w:rsidR="003D6BFC">
        <w:rPr>
          <w:noProof/>
        </w:rPr>
        <w:drawing>
          <wp:anchor distT="0" distB="0" distL="114300" distR="114300" simplePos="0" relativeHeight="251674624" behindDoc="0" locked="0" layoutInCell="1" allowOverlap="1">
            <wp:simplePos x="0" y="0"/>
            <wp:positionH relativeFrom="column">
              <wp:posOffset>3116580</wp:posOffset>
            </wp:positionH>
            <wp:positionV relativeFrom="paragraph">
              <wp:posOffset>4493260</wp:posOffset>
            </wp:positionV>
            <wp:extent cx="1553210" cy="1551940"/>
            <wp:effectExtent l="19050" t="0" r="8890" b="0"/>
            <wp:wrapNone/>
            <wp:docPr id="58" name="Pictur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ilverado Creek.jpg"/>
                    <pic:cNvPicPr preferRelativeResize="0"/>
                  </pic:nvPicPr>
                  <pic:blipFill>
                    <a:blip r:embed="rId16" cstate="print">
                      <a:extLst>
                        <a:ext uri="{28A0092B-C50C-407E-A947-70E740481C1C}">
                          <a14:useLocalDpi xmlns:a14="http://schemas.microsoft.com/office/drawing/2010/main" val="0"/>
                        </a:ext>
                      </a:extLst>
                    </a:blip>
                    <a:stretch>
                      <a:fillRect/>
                    </a:stretch>
                  </pic:blipFill>
                  <pic:spPr>
                    <a:xfrm>
                      <a:off x="0" y="0"/>
                      <a:ext cx="1553210" cy="1551940"/>
                    </a:xfrm>
                    <a:prstGeom prst="rect">
                      <a:avLst/>
                    </a:prstGeom>
                  </pic:spPr>
                </pic:pic>
              </a:graphicData>
            </a:graphic>
          </wp:anchor>
        </w:drawing>
      </w:r>
      <w:r w:rsidR="003D6BFC">
        <w:rPr>
          <w:noProof/>
        </w:rPr>
        <w:drawing>
          <wp:anchor distT="0" distB="0" distL="114300" distR="114300" simplePos="0" relativeHeight="251678720" behindDoc="0" locked="0" layoutInCell="1" allowOverlap="1">
            <wp:simplePos x="0" y="0"/>
            <wp:positionH relativeFrom="column">
              <wp:posOffset>1523365</wp:posOffset>
            </wp:positionH>
            <wp:positionV relativeFrom="paragraph">
              <wp:posOffset>4493260</wp:posOffset>
            </wp:positionV>
            <wp:extent cx="1553210" cy="1551940"/>
            <wp:effectExtent l="19050" t="0" r="8890" b="0"/>
            <wp:wrapNone/>
            <wp:docPr id="24"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Vineyard Crossings 2.jpg"/>
                    <pic:cNvPicPr preferRelativeResize="0"/>
                  </pic:nvPicPr>
                  <pic:blipFill>
                    <a:blip r:embed="rId17" cstate="print">
                      <a:extLst>
                        <a:ext uri="{28A0092B-C50C-407E-A947-70E740481C1C}">
                          <a14:useLocalDpi xmlns:a14="http://schemas.microsoft.com/office/drawing/2010/main" val="0"/>
                        </a:ext>
                      </a:extLst>
                    </a:blip>
                    <a:stretch>
                      <a:fillRect/>
                    </a:stretch>
                  </pic:blipFill>
                  <pic:spPr>
                    <a:xfrm>
                      <a:off x="0" y="0"/>
                      <a:ext cx="1553210" cy="1551940"/>
                    </a:xfrm>
                    <a:prstGeom prst="rect">
                      <a:avLst/>
                    </a:prstGeom>
                  </pic:spPr>
                </pic:pic>
              </a:graphicData>
            </a:graphic>
          </wp:anchor>
        </w:drawing>
      </w:r>
      <w:r w:rsidR="003D6BFC">
        <w:rPr>
          <w:noProof/>
        </w:rPr>
        <w:drawing>
          <wp:anchor distT="0" distB="0" distL="114300" distR="114300" simplePos="0" relativeHeight="251671552" behindDoc="0" locked="0" layoutInCell="1" allowOverlap="1">
            <wp:simplePos x="0" y="0"/>
            <wp:positionH relativeFrom="column">
              <wp:posOffset>4704715</wp:posOffset>
            </wp:positionH>
            <wp:positionV relativeFrom="paragraph">
              <wp:posOffset>2887345</wp:posOffset>
            </wp:positionV>
            <wp:extent cx="1553210" cy="1551940"/>
            <wp:effectExtent l="19050" t="0" r="8890" b="0"/>
            <wp:wrapNone/>
            <wp:docPr id="40"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gnolia Housing.jpg"/>
                    <pic:cNvPicPr preferRelativeResize="0"/>
                  </pic:nvPicPr>
                  <pic:blipFill>
                    <a:blip r:embed="rId18" cstate="print">
                      <a:extLst>
                        <a:ext uri="{28A0092B-C50C-407E-A947-70E740481C1C}">
                          <a14:useLocalDpi xmlns:a14="http://schemas.microsoft.com/office/drawing/2010/main" val="0"/>
                        </a:ext>
                      </a:extLst>
                    </a:blip>
                    <a:stretch>
                      <a:fillRect/>
                    </a:stretch>
                  </pic:blipFill>
                  <pic:spPr>
                    <a:xfrm>
                      <a:off x="0" y="0"/>
                      <a:ext cx="1553210" cy="1551940"/>
                    </a:xfrm>
                    <a:prstGeom prst="rect">
                      <a:avLst/>
                    </a:prstGeom>
                  </pic:spPr>
                </pic:pic>
              </a:graphicData>
            </a:graphic>
          </wp:anchor>
        </w:drawing>
      </w:r>
      <w:r w:rsidR="003D6BFC">
        <w:rPr>
          <w:noProof/>
        </w:rPr>
        <w:drawing>
          <wp:anchor distT="0" distB="0" distL="114300" distR="114300" simplePos="0" relativeHeight="251673600" behindDoc="0" locked="0" layoutInCell="1" allowOverlap="1">
            <wp:simplePos x="0" y="0"/>
            <wp:positionH relativeFrom="column">
              <wp:posOffset>3116580</wp:posOffset>
            </wp:positionH>
            <wp:positionV relativeFrom="paragraph">
              <wp:posOffset>2887345</wp:posOffset>
            </wp:positionV>
            <wp:extent cx="1553210" cy="1551940"/>
            <wp:effectExtent l="19050" t="0" r="8890" b="0"/>
            <wp:wrapNone/>
            <wp:docPr id="57" name="Pictur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Jefferson St.jpg"/>
                    <pic:cNvPicPr preferRelativeResize="0"/>
                  </pic:nvPicPr>
                  <pic:blipFill>
                    <a:blip r:embed="rId19" cstate="print">
                      <a:extLst>
                        <a:ext uri="{28A0092B-C50C-407E-A947-70E740481C1C}">
                          <a14:useLocalDpi xmlns:a14="http://schemas.microsoft.com/office/drawing/2010/main" val="0"/>
                        </a:ext>
                      </a:extLst>
                    </a:blip>
                    <a:stretch>
                      <a:fillRect/>
                    </a:stretch>
                  </pic:blipFill>
                  <pic:spPr>
                    <a:xfrm>
                      <a:off x="0" y="0"/>
                      <a:ext cx="1553210" cy="1551940"/>
                    </a:xfrm>
                    <a:prstGeom prst="rect">
                      <a:avLst/>
                    </a:prstGeom>
                  </pic:spPr>
                </pic:pic>
              </a:graphicData>
            </a:graphic>
          </wp:anchor>
        </w:drawing>
      </w:r>
      <w:r w:rsidR="001A4C46">
        <w:rPr>
          <w:noProof/>
        </w:rPr>
        <mc:AlternateContent>
          <mc:Choice Requires="wps">
            <w:drawing>
              <wp:anchor distT="0" distB="0" distL="114300" distR="114300" simplePos="0" relativeHeight="251679744" behindDoc="0" locked="0" layoutInCell="1" allowOverlap="1">
                <wp:simplePos x="0" y="0"/>
                <wp:positionH relativeFrom="column">
                  <wp:posOffset>1295400</wp:posOffset>
                </wp:positionH>
                <wp:positionV relativeFrom="paragraph">
                  <wp:posOffset>-149860</wp:posOffset>
                </wp:positionV>
                <wp:extent cx="5181600" cy="3128645"/>
                <wp:effectExtent l="0" t="0" r="0" b="0"/>
                <wp:wrapNone/>
                <wp:docPr id="1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81600" cy="31286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E2A47" w:rsidRDefault="00CE2A47" w:rsidP="009345B3">
                            <w:pPr>
                              <w:jc w:val="center"/>
                              <w:rPr>
                                <w:b/>
                                <w:color w:val="FFFFFF" w:themeColor="background1"/>
                                <w:sz w:val="44"/>
                                <w:szCs w:val="44"/>
                              </w:rPr>
                            </w:pPr>
                          </w:p>
                          <w:p w:rsidR="00CE2A47" w:rsidRPr="003D6BFC" w:rsidRDefault="00CE2A47" w:rsidP="009345B3">
                            <w:pPr>
                              <w:jc w:val="center"/>
                              <w:rPr>
                                <w:b/>
                                <w:color w:val="FFFFFF" w:themeColor="background1"/>
                                <w:sz w:val="56"/>
                                <w:szCs w:val="56"/>
                              </w:rPr>
                            </w:pPr>
                            <w:r w:rsidRPr="003D6BFC">
                              <w:rPr>
                                <w:b/>
                                <w:color w:val="FFFFFF" w:themeColor="background1"/>
                                <w:sz w:val="56"/>
                                <w:szCs w:val="56"/>
                              </w:rPr>
                              <w:t xml:space="preserve">Napa County </w:t>
                            </w:r>
                          </w:p>
                          <w:p w:rsidR="00CE2A47" w:rsidRPr="003D6BFC" w:rsidRDefault="00CE2A47" w:rsidP="009345B3">
                            <w:pPr>
                              <w:jc w:val="center"/>
                              <w:rPr>
                                <w:b/>
                                <w:color w:val="FFFFFF" w:themeColor="background1"/>
                                <w:sz w:val="44"/>
                                <w:szCs w:val="44"/>
                              </w:rPr>
                            </w:pPr>
                          </w:p>
                          <w:p w:rsidR="00CE2A47" w:rsidRPr="003D6BFC" w:rsidRDefault="00CE2A47" w:rsidP="009345B3">
                            <w:pPr>
                              <w:jc w:val="center"/>
                              <w:rPr>
                                <w:b/>
                                <w:color w:val="FFFFFF" w:themeColor="background1"/>
                                <w:sz w:val="72"/>
                                <w:szCs w:val="72"/>
                              </w:rPr>
                            </w:pPr>
                            <w:r w:rsidRPr="003D6BFC">
                              <w:rPr>
                                <w:b/>
                                <w:color w:val="FFFFFF" w:themeColor="background1"/>
                                <w:sz w:val="72"/>
                                <w:szCs w:val="72"/>
                              </w:rPr>
                              <w:t xml:space="preserve">Affordable Housing </w:t>
                            </w:r>
                          </w:p>
                          <w:p w:rsidR="00CE2A47" w:rsidRPr="003D6BFC" w:rsidRDefault="00CE2A47" w:rsidP="003D6BFC">
                            <w:pPr>
                              <w:jc w:val="center"/>
                              <w:rPr>
                                <w:b/>
                                <w:color w:val="FFFFFF" w:themeColor="background1"/>
                                <w:sz w:val="72"/>
                                <w:szCs w:val="72"/>
                              </w:rPr>
                            </w:pPr>
                            <w:r w:rsidRPr="003D6BFC">
                              <w:rPr>
                                <w:b/>
                                <w:color w:val="FFFFFF" w:themeColor="background1"/>
                                <w:sz w:val="72"/>
                                <w:szCs w:val="72"/>
                              </w:rPr>
                              <w:t xml:space="preserve">Multi-Year Action Plan </w:t>
                            </w:r>
                          </w:p>
                          <w:p w:rsidR="00CE2A47" w:rsidRDefault="00CE2A47" w:rsidP="009345B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8" type="#_x0000_t202" style="position:absolute;left:0;text-align:left;margin-left:102pt;margin-top:-11.8pt;width:408pt;height:246.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" filled="f" stroked="f" strokeweight=".5pt">
                <v:path arrowok="t"/>
                <v:textbox>
                  <w:txbxContent>
                    <w:p w:rsidR="00CE2A47" w:rsidRDefault="00CE2A47" w:rsidP="009345B3">
                      <w:pPr>
                        <w:jc w:val="center"/>
                        <w:rPr>
                          <w:b/>
                          <w:color w:val="FFFFFF" w:themeColor="background1"/>
                          <w:sz w:val="44"/>
                          <w:szCs w:val="44"/>
                        </w:rPr>
                      </w:pPr>
                    </w:p>
                    <w:p w:rsidR="00CE2A47" w:rsidRPr="003D6BFC" w:rsidRDefault="00CE2A47" w:rsidP="009345B3">
                      <w:pPr>
                        <w:jc w:val="center"/>
                        <w:rPr>
                          <w:b/>
                          <w:color w:val="FFFFFF" w:themeColor="background1"/>
                          <w:sz w:val="56"/>
                          <w:szCs w:val="56"/>
                        </w:rPr>
                      </w:pPr>
                      <w:r w:rsidRPr="003D6BFC">
                        <w:rPr>
                          <w:b/>
                          <w:color w:val="FFFFFF" w:themeColor="background1"/>
                          <w:sz w:val="56"/>
                          <w:szCs w:val="56"/>
                        </w:rPr>
                        <w:t xml:space="preserve">Napa County </w:t>
                      </w:r>
                    </w:p>
                    <w:p w:rsidR="00CE2A47" w:rsidRPr="003D6BFC" w:rsidRDefault="00CE2A47" w:rsidP="009345B3">
                      <w:pPr>
                        <w:jc w:val="center"/>
                        <w:rPr>
                          <w:b/>
                          <w:color w:val="FFFFFF" w:themeColor="background1"/>
                          <w:sz w:val="44"/>
                          <w:szCs w:val="44"/>
                        </w:rPr>
                      </w:pPr>
                    </w:p>
                    <w:p w:rsidR="00CE2A47" w:rsidRPr="003D6BFC" w:rsidRDefault="00CE2A47" w:rsidP="009345B3">
                      <w:pPr>
                        <w:jc w:val="center"/>
                        <w:rPr>
                          <w:b/>
                          <w:color w:val="FFFFFF" w:themeColor="background1"/>
                          <w:sz w:val="72"/>
                          <w:szCs w:val="72"/>
                        </w:rPr>
                      </w:pPr>
                      <w:r w:rsidRPr="003D6BFC">
                        <w:rPr>
                          <w:b/>
                          <w:color w:val="FFFFFF" w:themeColor="background1"/>
                          <w:sz w:val="72"/>
                          <w:szCs w:val="72"/>
                        </w:rPr>
                        <w:t xml:space="preserve">Affordable Housing </w:t>
                      </w:r>
                    </w:p>
                    <w:p w:rsidR="00CE2A47" w:rsidRPr="003D6BFC" w:rsidRDefault="00CE2A47" w:rsidP="003D6BFC">
                      <w:pPr>
                        <w:jc w:val="center"/>
                        <w:rPr>
                          <w:b/>
                          <w:color w:val="FFFFFF" w:themeColor="background1"/>
                          <w:sz w:val="72"/>
                          <w:szCs w:val="72"/>
                        </w:rPr>
                      </w:pPr>
                      <w:r w:rsidRPr="003D6BFC">
                        <w:rPr>
                          <w:b/>
                          <w:color w:val="FFFFFF" w:themeColor="background1"/>
                          <w:sz w:val="72"/>
                          <w:szCs w:val="72"/>
                        </w:rPr>
                        <w:t xml:space="preserve">Multi-Year Action Plan </w:t>
                      </w:r>
                    </w:p>
                    <w:p w:rsidR="00CE2A47" w:rsidRDefault="00CE2A47" w:rsidP="009345B3"/>
                  </w:txbxContent>
                </v:textbox>
              </v:shape>
            </w:pict>
          </mc:Fallback>
        </mc:AlternateContent>
      </w:r>
      <w:r w:rsidR="00864C50">
        <w:rPr>
          <w:noProof/>
        </w:rPr>
        <w:drawing>
          <wp:anchor distT="0" distB="0" distL="114300" distR="114300" simplePos="0" relativeHeight="251675648" behindDoc="0" locked="0" layoutInCell="1" allowOverlap="1">
            <wp:simplePos x="0" y="0"/>
            <wp:positionH relativeFrom="column">
              <wp:posOffset>-330305</wp:posOffset>
            </wp:positionH>
            <wp:positionV relativeFrom="paragraph">
              <wp:posOffset>-228600</wp:posOffset>
            </wp:positionV>
            <wp:extent cx="1371600" cy="1371600"/>
            <wp:effectExtent l="0" t="0" r="0" b="0"/>
            <wp:wrapNone/>
            <wp:docPr id="22"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ountyPS.png"/>
                    <pic:cNvPicPr preferRelativeResize="0"/>
                  </pic:nvPicPr>
                  <pic:blipFill>
                    <a:blip r:embed="rId20" cstate="print">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anchor>
        </w:drawing>
      </w:r>
      <w:r w:rsidR="001A4C46">
        <w:rPr>
          <w:noProof/>
        </w:rPr>
        <mc:AlternateContent>
          <mc:Choice Requires="wps">
            <w:drawing>
              <wp:anchor distT="0" distB="0" distL="114300" distR="114300" simplePos="0" relativeHeight="251668480" behindDoc="1" locked="0" layoutInCell="1" allowOverlap="1">
                <wp:simplePos x="0" y="0"/>
                <wp:positionH relativeFrom="column">
                  <wp:posOffset>1293495</wp:posOffset>
                </wp:positionH>
                <wp:positionV relativeFrom="paragraph">
                  <wp:posOffset>-611505</wp:posOffset>
                </wp:positionV>
                <wp:extent cx="5267960" cy="9454515"/>
                <wp:effectExtent l="0" t="0" r="8890" b="0"/>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67960" cy="945451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8" o:spid="_x0000_s1026" style="position:absolute;margin-left:101.85pt;margin-top:-48.15pt;width:414.8pt;height:744.4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" fillcolor="#1f497d [3215]" stroked="f" strokeweight="2pt">
                <v:path arrowok="t"/>
              </v:rect>
            </w:pict>
          </mc:Fallback>
        </mc:AlternateContent>
      </w:r>
      <w:r w:rsidR="001A4C46">
        <w:rPr>
          <w:noProof/>
        </w:rPr>
        <mc:AlternateContent>
          <mc:Choice Requires="wps">
            <w:drawing>
              <wp:anchor distT="0" distB="0" distL="114300" distR="114300" simplePos="0" relativeHeight="251667456" behindDoc="0" locked="0" layoutInCell="1" allowOverlap="1">
                <wp:simplePos x="0" y="0"/>
                <wp:positionH relativeFrom="column">
                  <wp:posOffset>-604520</wp:posOffset>
                </wp:positionH>
                <wp:positionV relativeFrom="paragraph">
                  <wp:posOffset>-612140</wp:posOffset>
                </wp:positionV>
                <wp:extent cx="1899920" cy="9454515"/>
                <wp:effectExtent l="0" t="0" r="5080" b="0"/>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9920" cy="9454515"/>
                        </a:xfrm>
                        <a:prstGeom prst="rect">
                          <a:avLst/>
                        </a:prstGeom>
                        <a:solidFill>
                          <a:schemeClr val="tx2">
                            <a:alpha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 o:spid="_x0000_s1026" style="position:absolute;margin-left:-47.6pt;margin-top:-48.2pt;width:149.6pt;height:744.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" fillcolor="#1f497d [3215]" stroked="f" strokeweight="2pt">
                <v:fill opacity="52428f"/>
                <v:path arrowok="t"/>
              </v:rect>
            </w:pict>
          </mc:Fallback>
        </mc:AlternateContent>
      </w:r>
      <w:r w:rsidR="001A4C46">
        <w:rPr>
          <w:noProof/>
        </w:rPr>
        <mc:AlternateContent>
          <mc:Choice Requires="wps">
            <w:drawing>
              <wp:anchor distT="0" distB="0" distL="114300" distR="114300" simplePos="0" relativeHeight="251669504" behindDoc="0" locked="0" layoutInCell="1" allowOverlap="1">
                <wp:simplePos x="0" y="0"/>
                <wp:positionH relativeFrom="column">
                  <wp:posOffset>-609600</wp:posOffset>
                </wp:positionH>
                <wp:positionV relativeFrom="paragraph">
                  <wp:posOffset>6339840</wp:posOffset>
                </wp:positionV>
                <wp:extent cx="1905000" cy="1461135"/>
                <wp:effectExtent l="0" t="0" r="0" b="571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5000" cy="14611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E2A47" w:rsidRDefault="00CE2A47" w:rsidP="003D6BFC">
                            <w:pPr>
                              <w:rPr>
                                <w:b/>
                                <w:color w:val="FFFFFF" w:themeColor="background1"/>
                                <w:sz w:val="16"/>
                                <w:szCs w:val="16"/>
                              </w:rPr>
                            </w:pPr>
                            <w:r>
                              <w:rPr>
                                <w:b/>
                                <w:color w:val="FFFFFF" w:themeColor="background1"/>
                                <w:sz w:val="16"/>
                                <w:szCs w:val="16"/>
                              </w:rPr>
                              <w:t>Prepared with the support of</w:t>
                            </w:r>
                            <w:r w:rsidRPr="00BA1AFA">
                              <w:rPr>
                                <w:b/>
                                <w:color w:val="FFFFFF" w:themeColor="background1"/>
                                <w:sz w:val="16"/>
                                <w:szCs w:val="16"/>
                              </w:rPr>
                              <w:t>:</w:t>
                            </w:r>
                          </w:p>
                          <w:p w:rsidR="00CE2A47" w:rsidRPr="00BA1AFA" w:rsidRDefault="00CE2A47" w:rsidP="009345B3">
                            <w:pPr>
                              <w:rPr>
                                <w:b/>
                                <w:color w:val="FFFFFF" w:themeColor="background1"/>
                                <w:sz w:val="16"/>
                                <w:szCs w:val="16"/>
                              </w:rPr>
                            </w:pPr>
                          </w:p>
                          <w:p w:rsidR="00CE2A47" w:rsidRPr="00BA1AFA" w:rsidRDefault="00CE2A47" w:rsidP="009345B3">
                            <w:pPr>
                              <w:rPr>
                                <w:b/>
                              </w:rPr>
                            </w:pPr>
                            <w:r w:rsidRPr="00BA1AFA">
                              <w:rPr>
                                <w:b/>
                                <w:noProof/>
                              </w:rPr>
                              <w:drawing>
                                <wp:inline distT="0" distB="0" distL="0" distR="0">
                                  <wp:extent cx="1277420" cy="9474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DC.jpg"/>
                                          <pic:cNvPicPr/>
                                        </pic:nvPicPr>
                                        <pic:blipFill>
                                          <a:blip r:embed="rId21">
                                            <a:extLst>
                                              <a:ext uri="{28A0092B-C50C-407E-A947-70E740481C1C}">
                                                <a14:useLocalDpi xmlns:a14="http://schemas.microsoft.com/office/drawing/2010/main" val="0"/>
                                              </a:ext>
                                            </a:extLst>
                                          </a:blip>
                                          <a:stretch>
                                            <a:fillRect/>
                                          </a:stretch>
                                        </pic:blipFill>
                                        <pic:spPr>
                                          <a:xfrm>
                                            <a:off x="0" y="0"/>
                                            <a:ext cx="1278297" cy="948070"/>
                                          </a:xfrm>
                                          <a:prstGeom prst="rect">
                                            <a:avLst/>
                                          </a:prstGeom>
                                        </pic:spPr>
                                      </pic:pic>
                                    </a:graphicData>
                                  </a:graphic>
                                </wp:inline>
                              </w:drawing>
                            </w:r>
                          </w:p>
                          <w:p w:rsidR="00CE2A47" w:rsidRPr="00BA1AFA" w:rsidRDefault="00CE2A47" w:rsidP="009345B3">
                            <w:pPr>
                              <w:keepLines/>
                              <w:ind w:left="1440" w:firstLine="720"/>
                              <w:rPr>
                                <w:b/>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29" type="#_x0000_t202" style="position:absolute;left:0;text-align:left;margin-left:-48pt;margin-top:499.2pt;width:150pt;height:115.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" filled="f" stroked="f" strokeweight=".5pt">
                <v:path arrowok="t"/>
                <v:textbox>
                  <w:txbxContent>
                    <w:p w:rsidR="00CE2A47" w:rsidRDefault="00CE2A47" w:rsidP="003D6BFC">
                      <w:pPr>
                        <w:rPr>
                          <w:b/>
                          <w:color w:val="FFFFFF" w:themeColor="background1"/>
                          <w:sz w:val="16"/>
                          <w:szCs w:val="16"/>
                        </w:rPr>
                      </w:pPr>
                      <w:r>
                        <w:rPr>
                          <w:b/>
                          <w:color w:val="FFFFFF" w:themeColor="background1"/>
                          <w:sz w:val="16"/>
                          <w:szCs w:val="16"/>
                        </w:rPr>
                        <w:t>Prepared with the support of</w:t>
                      </w:r>
                      <w:r w:rsidRPr="00BA1AFA">
                        <w:rPr>
                          <w:b/>
                          <w:color w:val="FFFFFF" w:themeColor="background1"/>
                          <w:sz w:val="16"/>
                          <w:szCs w:val="16"/>
                        </w:rPr>
                        <w:t>:</w:t>
                      </w:r>
                    </w:p>
                    <w:p w:rsidR="00CE2A47" w:rsidRPr="00BA1AFA" w:rsidRDefault="00CE2A47" w:rsidP="009345B3">
                      <w:pPr>
                        <w:rPr>
                          <w:b/>
                          <w:color w:val="FFFFFF" w:themeColor="background1"/>
                          <w:sz w:val="16"/>
                          <w:szCs w:val="16"/>
                        </w:rPr>
                      </w:pPr>
                    </w:p>
                    <w:p w:rsidR="00CE2A47" w:rsidRPr="00BA1AFA" w:rsidRDefault="00CE2A47" w:rsidP="009345B3">
                      <w:pPr>
                        <w:rPr>
                          <w:b/>
                        </w:rPr>
                      </w:pPr>
                      <w:r w:rsidRPr="00BA1AFA">
                        <w:rPr>
                          <w:b/>
                          <w:noProof/>
                        </w:rPr>
                        <w:drawing>
                          <wp:inline distT="0" distB="0" distL="0" distR="0">
                            <wp:extent cx="1277420" cy="9474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DC.jpg"/>
                                    <pic:cNvPicPr/>
                                  </pic:nvPicPr>
                                  <pic:blipFill>
                                    <a:blip r:embed="rId22">
                                      <a:extLst>
                                        <a:ext uri="{28A0092B-C50C-407E-A947-70E740481C1C}">
                                          <a14:useLocalDpi xmlns:a14="http://schemas.microsoft.com/office/drawing/2010/main" val="0"/>
                                        </a:ext>
                                      </a:extLst>
                                    </a:blip>
                                    <a:stretch>
                                      <a:fillRect/>
                                    </a:stretch>
                                  </pic:blipFill>
                                  <pic:spPr>
                                    <a:xfrm>
                                      <a:off x="0" y="0"/>
                                      <a:ext cx="1278297" cy="948070"/>
                                    </a:xfrm>
                                    <a:prstGeom prst="rect">
                                      <a:avLst/>
                                    </a:prstGeom>
                                  </pic:spPr>
                                </pic:pic>
                              </a:graphicData>
                            </a:graphic>
                          </wp:inline>
                        </w:drawing>
                      </w:r>
                    </w:p>
                    <w:p w:rsidR="00CE2A47" w:rsidRPr="00BA1AFA" w:rsidRDefault="00CE2A47" w:rsidP="009345B3">
                      <w:pPr>
                        <w:keepLines/>
                        <w:ind w:left="1440" w:firstLine="720"/>
                        <w:rPr>
                          <w:b/>
                          <w:sz w:val="18"/>
                          <w:szCs w:val="18"/>
                        </w:rPr>
                      </w:pPr>
                    </w:p>
                  </w:txbxContent>
                </v:textbox>
              </v:shape>
            </w:pict>
          </mc:Fallback>
        </mc:AlternateConten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p>
    <w:p w:rsidR="002E6E92" w:rsidRPr="00DD66DC" w:rsidRDefault="000E6AD0" w:rsidP="00DD66DC">
      <w:pPr>
        <w:jc w:val="center"/>
        <w:rPr>
          <w:b/>
        </w:rPr>
      </w:pPr>
      <w:bookmarkStart w:id="16" w:name="Table_of_Contents"/>
      <w:r w:rsidRPr="00EE6D9A">
        <w:rPr>
          <w:b/>
          <w:sz w:val="28"/>
          <w:szCs w:val="28"/>
        </w:rPr>
        <w:lastRenderedPageBreak/>
        <w:t>TABLE OF CONTENTS</w:t>
      </w:r>
    </w:p>
    <w:bookmarkEnd w:id="16"/>
    <w:p w:rsidR="007B0F40" w:rsidRDefault="00426CC0">
      <w:pPr>
        <w:pStyle w:val="TOC1"/>
        <w:rPr>
          <w:rFonts w:asciiTheme="minorHAnsi" w:eastAsiaTheme="minorEastAsia" w:hAnsiTheme="minorHAnsi" w:cstheme="minorBidi"/>
          <w:b w:val="0"/>
          <w:bCs w:val="0"/>
          <w:caps w:val="0"/>
          <w:smallCaps w:val="0"/>
          <w:sz w:val="22"/>
          <w:szCs w:val="22"/>
        </w:rPr>
      </w:pPr>
      <w:r>
        <w:fldChar w:fldCharType="begin"/>
      </w:r>
      <w:r w:rsidR="0060470D">
        <w:instrText xml:space="preserve"> TOC \o "1-3" \h \z \t "TOC1,1,TOC2,2,TOC3,3" </w:instrText>
      </w:r>
      <w:r>
        <w:fldChar w:fldCharType="separate"/>
      </w:r>
      <w:hyperlink w:anchor="_Toc359933691" w:history="1">
        <w:r w:rsidR="007B0F40" w:rsidRPr="00791186">
          <w:rPr>
            <w:rStyle w:val="Hyperlink"/>
          </w:rPr>
          <w:t>Letter from the Chairs</w:t>
        </w:r>
        <w:r w:rsidR="007B0F40">
          <w:rPr>
            <w:webHidden/>
          </w:rPr>
          <w:tab/>
        </w:r>
        <w:r>
          <w:rPr>
            <w:webHidden/>
          </w:rPr>
          <w:fldChar w:fldCharType="begin"/>
        </w:r>
        <w:r w:rsidR="007B0F40">
          <w:rPr>
            <w:webHidden/>
          </w:rPr>
          <w:instrText xml:space="preserve"> PAGEREF _Toc359933691 \h </w:instrText>
        </w:r>
        <w:r>
          <w:rPr>
            <w:webHidden/>
          </w:rPr>
        </w:r>
        <w:r>
          <w:rPr>
            <w:webHidden/>
          </w:rPr>
          <w:fldChar w:fldCharType="separate"/>
        </w:r>
        <w:r w:rsidR="007B0F40">
          <w:rPr>
            <w:webHidden/>
          </w:rPr>
          <w:t>1</w:t>
        </w:r>
        <w:r>
          <w:rPr>
            <w:webHidden/>
          </w:rPr>
          <w:fldChar w:fldCharType="end"/>
        </w:r>
      </w:hyperlink>
    </w:p>
    <w:p w:rsidR="007B0F40" w:rsidRDefault="00CB322F">
      <w:pPr>
        <w:pStyle w:val="TOC1"/>
        <w:rPr>
          <w:rFonts w:asciiTheme="minorHAnsi" w:eastAsiaTheme="minorEastAsia" w:hAnsiTheme="minorHAnsi" w:cstheme="minorBidi"/>
          <w:b w:val="0"/>
          <w:bCs w:val="0"/>
          <w:caps w:val="0"/>
          <w:smallCaps w:val="0"/>
          <w:sz w:val="22"/>
          <w:szCs w:val="22"/>
        </w:rPr>
      </w:pPr>
      <w:hyperlink w:anchor="_Toc359933692" w:history="1">
        <w:r w:rsidR="007B0F40" w:rsidRPr="00791186">
          <w:rPr>
            <w:rStyle w:val="Hyperlink"/>
          </w:rPr>
          <w:t>Recognition of Contributors</w:t>
        </w:r>
        <w:r w:rsidR="007B0F40">
          <w:rPr>
            <w:webHidden/>
          </w:rPr>
          <w:tab/>
        </w:r>
        <w:r w:rsidR="00426CC0">
          <w:rPr>
            <w:webHidden/>
          </w:rPr>
          <w:fldChar w:fldCharType="begin"/>
        </w:r>
        <w:r w:rsidR="007B0F40">
          <w:rPr>
            <w:webHidden/>
          </w:rPr>
          <w:instrText xml:space="preserve"> PAGEREF _Toc359933692 \h </w:instrText>
        </w:r>
        <w:r w:rsidR="00426CC0">
          <w:rPr>
            <w:webHidden/>
          </w:rPr>
        </w:r>
        <w:r w:rsidR="00426CC0">
          <w:rPr>
            <w:webHidden/>
          </w:rPr>
          <w:fldChar w:fldCharType="separate"/>
        </w:r>
        <w:r w:rsidR="007B0F40">
          <w:rPr>
            <w:webHidden/>
          </w:rPr>
          <w:t>3</w:t>
        </w:r>
        <w:r w:rsidR="00426CC0">
          <w:rPr>
            <w:webHidden/>
          </w:rPr>
          <w:fldChar w:fldCharType="end"/>
        </w:r>
      </w:hyperlink>
    </w:p>
    <w:p w:rsidR="007B0F40" w:rsidRDefault="00CB322F">
      <w:pPr>
        <w:pStyle w:val="TOC1"/>
        <w:rPr>
          <w:rFonts w:asciiTheme="minorHAnsi" w:eastAsiaTheme="minorEastAsia" w:hAnsiTheme="minorHAnsi" w:cstheme="minorBidi"/>
          <w:b w:val="0"/>
          <w:bCs w:val="0"/>
          <w:caps w:val="0"/>
          <w:smallCaps w:val="0"/>
          <w:sz w:val="22"/>
          <w:szCs w:val="22"/>
        </w:rPr>
      </w:pPr>
      <w:hyperlink w:anchor="_Toc359933693" w:history="1">
        <w:r w:rsidR="007B0F40" w:rsidRPr="00791186">
          <w:rPr>
            <w:rStyle w:val="Hyperlink"/>
          </w:rPr>
          <w:t>Section 1:  A Review of Housing Task Force Deliberations</w:t>
        </w:r>
        <w:r w:rsidR="007B0F40">
          <w:rPr>
            <w:webHidden/>
          </w:rPr>
          <w:tab/>
        </w:r>
        <w:r w:rsidR="00426CC0">
          <w:rPr>
            <w:webHidden/>
          </w:rPr>
          <w:fldChar w:fldCharType="begin"/>
        </w:r>
        <w:r w:rsidR="007B0F40">
          <w:rPr>
            <w:webHidden/>
          </w:rPr>
          <w:instrText xml:space="preserve"> PAGEREF _Toc359933693 \h </w:instrText>
        </w:r>
        <w:r w:rsidR="00426CC0">
          <w:rPr>
            <w:webHidden/>
          </w:rPr>
        </w:r>
        <w:r w:rsidR="00426CC0">
          <w:rPr>
            <w:webHidden/>
          </w:rPr>
          <w:fldChar w:fldCharType="separate"/>
        </w:r>
        <w:r w:rsidR="007B0F40">
          <w:rPr>
            <w:webHidden/>
          </w:rPr>
          <w:t>8</w:t>
        </w:r>
        <w:r w:rsidR="00426CC0">
          <w:rPr>
            <w:webHidden/>
          </w:rPr>
          <w:fldChar w:fldCharType="end"/>
        </w:r>
      </w:hyperlink>
    </w:p>
    <w:p w:rsidR="007B0F40" w:rsidRDefault="00CB322F">
      <w:pPr>
        <w:pStyle w:val="TOC1"/>
        <w:rPr>
          <w:rFonts w:asciiTheme="minorHAnsi" w:eastAsiaTheme="minorEastAsia" w:hAnsiTheme="minorHAnsi" w:cstheme="minorBidi"/>
          <w:b w:val="0"/>
          <w:bCs w:val="0"/>
          <w:caps w:val="0"/>
          <w:smallCaps w:val="0"/>
          <w:sz w:val="22"/>
          <w:szCs w:val="22"/>
        </w:rPr>
      </w:pPr>
      <w:hyperlink w:anchor="_Toc359933694" w:history="1">
        <w:r w:rsidR="007B0F40" w:rsidRPr="00791186">
          <w:rPr>
            <w:rStyle w:val="Hyperlink"/>
          </w:rPr>
          <w:t>Section 2:  FIVE KEY STRATEGIES TO PROMOTE AFFORDABLE HOUSING</w:t>
        </w:r>
        <w:r w:rsidR="007B0F40">
          <w:rPr>
            <w:webHidden/>
          </w:rPr>
          <w:tab/>
        </w:r>
        <w:r w:rsidR="00426CC0">
          <w:rPr>
            <w:webHidden/>
          </w:rPr>
          <w:fldChar w:fldCharType="begin"/>
        </w:r>
        <w:r w:rsidR="007B0F40">
          <w:rPr>
            <w:webHidden/>
          </w:rPr>
          <w:instrText xml:space="preserve"> PAGEREF _Toc359933694 \h </w:instrText>
        </w:r>
        <w:r w:rsidR="00426CC0">
          <w:rPr>
            <w:webHidden/>
          </w:rPr>
        </w:r>
        <w:r w:rsidR="00426CC0">
          <w:rPr>
            <w:webHidden/>
          </w:rPr>
          <w:fldChar w:fldCharType="separate"/>
        </w:r>
        <w:r w:rsidR="007B0F40">
          <w:rPr>
            <w:webHidden/>
          </w:rPr>
          <w:t>14</w:t>
        </w:r>
        <w:r w:rsidR="00426CC0">
          <w:rPr>
            <w:webHidden/>
          </w:rPr>
          <w:fldChar w:fldCharType="end"/>
        </w:r>
      </w:hyperlink>
    </w:p>
    <w:p w:rsidR="007B0F40" w:rsidRDefault="00CB322F">
      <w:pPr>
        <w:pStyle w:val="TOC2"/>
        <w:tabs>
          <w:tab w:val="right" w:leader="dot" w:pos="9350"/>
        </w:tabs>
        <w:rPr>
          <w:rFonts w:asciiTheme="minorHAnsi" w:eastAsiaTheme="minorEastAsia" w:hAnsiTheme="minorHAnsi" w:cstheme="minorBidi"/>
          <w:smallCaps w:val="0"/>
          <w:noProof/>
          <w:sz w:val="22"/>
          <w:szCs w:val="22"/>
        </w:rPr>
      </w:pPr>
      <w:hyperlink w:anchor="_Toc359933695" w:history="1">
        <w:r w:rsidR="007B0F40" w:rsidRPr="00791186">
          <w:rPr>
            <w:rStyle w:val="Hyperlink"/>
            <w:noProof/>
          </w:rPr>
          <w:t>Strategy 1:  Promote Cost Efficiencies</w:t>
        </w:r>
        <w:r w:rsidR="007B0F40">
          <w:rPr>
            <w:noProof/>
            <w:webHidden/>
          </w:rPr>
          <w:tab/>
        </w:r>
        <w:r w:rsidR="00426CC0">
          <w:rPr>
            <w:noProof/>
            <w:webHidden/>
          </w:rPr>
          <w:fldChar w:fldCharType="begin"/>
        </w:r>
        <w:r w:rsidR="007B0F40">
          <w:rPr>
            <w:noProof/>
            <w:webHidden/>
          </w:rPr>
          <w:instrText xml:space="preserve"> PAGEREF _Toc359933695 \h </w:instrText>
        </w:r>
        <w:r w:rsidR="00426CC0">
          <w:rPr>
            <w:noProof/>
            <w:webHidden/>
          </w:rPr>
        </w:r>
        <w:r w:rsidR="00426CC0">
          <w:rPr>
            <w:noProof/>
            <w:webHidden/>
          </w:rPr>
          <w:fldChar w:fldCharType="separate"/>
        </w:r>
        <w:r w:rsidR="007B0F40">
          <w:rPr>
            <w:noProof/>
            <w:webHidden/>
          </w:rPr>
          <w:t>15</w:t>
        </w:r>
        <w:r w:rsidR="00426CC0">
          <w:rPr>
            <w:noProof/>
            <w:webHidden/>
          </w:rPr>
          <w:fldChar w:fldCharType="end"/>
        </w:r>
      </w:hyperlink>
    </w:p>
    <w:p w:rsidR="007B0F40" w:rsidRDefault="00CB322F">
      <w:pPr>
        <w:pStyle w:val="TOC3"/>
        <w:tabs>
          <w:tab w:val="left" w:pos="1933"/>
        </w:tabs>
        <w:rPr>
          <w:rFonts w:asciiTheme="minorHAnsi" w:eastAsiaTheme="minorEastAsia" w:hAnsiTheme="minorHAnsi" w:cstheme="minorBidi"/>
          <w:i w:val="0"/>
          <w:iCs w:val="0"/>
          <w:noProof/>
          <w:sz w:val="22"/>
          <w:szCs w:val="22"/>
        </w:rPr>
      </w:pPr>
      <w:hyperlink w:anchor="_Toc359933696" w:history="1">
        <w:r w:rsidR="007B0F40" w:rsidRPr="00791186">
          <w:rPr>
            <w:rStyle w:val="Hyperlink"/>
            <w:noProof/>
          </w:rPr>
          <w:t>Action Step #1:</w:t>
        </w:r>
        <w:r w:rsidR="007B0F40">
          <w:rPr>
            <w:rFonts w:asciiTheme="minorHAnsi" w:eastAsiaTheme="minorEastAsia" w:hAnsiTheme="minorHAnsi" w:cstheme="minorBidi"/>
            <w:i w:val="0"/>
            <w:iCs w:val="0"/>
            <w:noProof/>
            <w:sz w:val="22"/>
            <w:szCs w:val="22"/>
          </w:rPr>
          <w:tab/>
        </w:r>
        <w:r w:rsidR="007B0F40" w:rsidRPr="00791186">
          <w:rPr>
            <w:rStyle w:val="Hyperlink"/>
            <w:noProof/>
          </w:rPr>
          <w:t>Study Alternate Ways to Lower Costs</w:t>
        </w:r>
        <w:r w:rsidR="007B0F40">
          <w:rPr>
            <w:noProof/>
            <w:webHidden/>
          </w:rPr>
          <w:tab/>
        </w:r>
        <w:r w:rsidR="00426CC0">
          <w:rPr>
            <w:noProof/>
            <w:webHidden/>
          </w:rPr>
          <w:fldChar w:fldCharType="begin"/>
        </w:r>
        <w:r w:rsidR="007B0F40">
          <w:rPr>
            <w:noProof/>
            <w:webHidden/>
          </w:rPr>
          <w:instrText xml:space="preserve"> PAGEREF _Toc359933696 \h </w:instrText>
        </w:r>
        <w:r w:rsidR="00426CC0">
          <w:rPr>
            <w:noProof/>
            <w:webHidden/>
          </w:rPr>
        </w:r>
        <w:r w:rsidR="00426CC0">
          <w:rPr>
            <w:noProof/>
            <w:webHidden/>
          </w:rPr>
          <w:fldChar w:fldCharType="separate"/>
        </w:r>
        <w:r w:rsidR="007B0F40">
          <w:rPr>
            <w:noProof/>
            <w:webHidden/>
          </w:rPr>
          <w:t>15</w:t>
        </w:r>
        <w:r w:rsidR="00426CC0">
          <w:rPr>
            <w:noProof/>
            <w:webHidden/>
          </w:rPr>
          <w:fldChar w:fldCharType="end"/>
        </w:r>
      </w:hyperlink>
    </w:p>
    <w:p w:rsidR="007B0F40" w:rsidRDefault="00CB322F">
      <w:pPr>
        <w:pStyle w:val="TOC3"/>
        <w:tabs>
          <w:tab w:val="left" w:pos="1933"/>
        </w:tabs>
        <w:rPr>
          <w:rFonts w:asciiTheme="minorHAnsi" w:eastAsiaTheme="minorEastAsia" w:hAnsiTheme="minorHAnsi" w:cstheme="minorBidi"/>
          <w:i w:val="0"/>
          <w:iCs w:val="0"/>
          <w:noProof/>
          <w:sz w:val="22"/>
          <w:szCs w:val="22"/>
        </w:rPr>
      </w:pPr>
      <w:hyperlink w:anchor="_Toc359933697" w:history="1">
        <w:r w:rsidR="007B0F40" w:rsidRPr="00791186">
          <w:rPr>
            <w:rStyle w:val="Hyperlink"/>
            <w:noProof/>
          </w:rPr>
          <w:t>Action Step #2:</w:t>
        </w:r>
        <w:r w:rsidR="007B0F40">
          <w:rPr>
            <w:rFonts w:asciiTheme="minorHAnsi" w:eastAsiaTheme="minorEastAsia" w:hAnsiTheme="minorHAnsi" w:cstheme="minorBidi"/>
            <w:i w:val="0"/>
            <w:iCs w:val="0"/>
            <w:noProof/>
            <w:sz w:val="22"/>
            <w:szCs w:val="22"/>
          </w:rPr>
          <w:tab/>
        </w:r>
        <w:r w:rsidR="007B0F40" w:rsidRPr="00791186">
          <w:rPr>
            <w:rStyle w:val="Hyperlink"/>
            <w:noProof/>
          </w:rPr>
          <w:t>Tie Fees to Actual Costs for Affordable Units</w:t>
        </w:r>
        <w:r w:rsidR="007B0F40">
          <w:rPr>
            <w:noProof/>
            <w:webHidden/>
          </w:rPr>
          <w:tab/>
        </w:r>
        <w:r w:rsidR="00426CC0">
          <w:rPr>
            <w:noProof/>
            <w:webHidden/>
          </w:rPr>
          <w:fldChar w:fldCharType="begin"/>
        </w:r>
        <w:r w:rsidR="007B0F40">
          <w:rPr>
            <w:noProof/>
            <w:webHidden/>
          </w:rPr>
          <w:instrText xml:space="preserve"> PAGEREF _Toc359933697 \h </w:instrText>
        </w:r>
        <w:r w:rsidR="00426CC0">
          <w:rPr>
            <w:noProof/>
            <w:webHidden/>
          </w:rPr>
        </w:r>
        <w:r w:rsidR="00426CC0">
          <w:rPr>
            <w:noProof/>
            <w:webHidden/>
          </w:rPr>
          <w:fldChar w:fldCharType="separate"/>
        </w:r>
        <w:r w:rsidR="007B0F40">
          <w:rPr>
            <w:noProof/>
            <w:webHidden/>
          </w:rPr>
          <w:t>15</w:t>
        </w:r>
        <w:r w:rsidR="00426CC0">
          <w:rPr>
            <w:noProof/>
            <w:webHidden/>
          </w:rPr>
          <w:fldChar w:fldCharType="end"/>
        </w:r>
      </w:hyperlink>
    </w:p>
    <w:p w:rsidR="007B0F40" w:rsidRDefault="00CB322F">
      <w:pPr>
        <w:pStyle w:val="TOC3"/>
        <w:tabs>
          <w:tab w:val="left" w:pos="1933"/>
        </w:tabs>
        <w:rPr>
          <w:rFonts w:asciiTheme="minorHAnsi" w:eastAsiaTheme="minorEastAsia" w:hAnsiTheme="minorHAnsi" w:cstheme="minorBidi"/>
          <w:i w:val="0"/>
          <w:iCs w:val="0"/>
          <w:noProof/>
          <w:sz w:val="22"/>
          <w:szCs w:val="22"/>
        </w:rPr>
      </w:pPr>
      <w:hyperlink w:anchor="_Toc359933698" w:history="1">
        <w:r w:rsidR="007B0F40" w:rsidRPr="00791186">
          <w:rPr>
            <w:rStyle w:val="Hyperlink"/>
            <w:noProof/>
          </w:rPr>
          <w:t>Action Step #3:</w:t>
        </w:r>
        <w:r w:rsidR="007B0F40">
          <w:rPr>
            <w:rFonts w:asciiTheme="minorHAnsi" w:eastAsiaTheme="minorEastAsia" w:hAnsiTheme="minorHAnsi" w:cstheme="minorBidi"/>
            <w:i w:val="0"/>
            <w:iCs w:val="0"/>
            <w:noProof/>
            <w:sz w:val="22"/>
            <w:szCs w:val="22"/>
          </w:rPr>
          <w:tab/>
        </w:r>
        <w:r w:rsidR="007B0F40" w:rsidRPr="00791186">
          <w:rPr>
            <w:rStyle w:val="Hyperlink"/>
            <w:noProof/>
          </w:rPr>
          <w:t>Facilitate Legalization of Second Units</w:t>
        </w:r>
        <w:r w:rsidR="007B0F40">
          <w:rPr>
            <w:noProof/>
            <w:webHidden/>
          </w:rPr>
          <w:tab/>
        </w:r>
        <w:r w:rsidR="00426CC0">
          <w:rPr>
            <w:noProof/>
            <w:webHidden/>
          </w:rPr>
          <w:fldChar w:fldCharType="begin"/>
        </w:r>
        <w:r w:rsidR="007B0F40">
          <w:rPr>
            <w:noProof/>
            <w:webHidden/>
          </w:rPr>
          <w:instrText xml:space="preserve"> PAGEREF _Toc359933698 \h </w:instrText>
        </w:r>
        <w:r w:rsidR="00426CC0">
          <w:rPr>
            <w:noProof/>
            <w:webHidden/>
          </w:rPr>
        </w:r>
        <w:r w:rsidR="00426CC0">
          <w:rPr>
            <w:noProof/>
            <w:webHidden/>
          </w:rPr>
          <w:fldChar w:fldCharType="separate"/>
        </w:r>
        <w:r w:rsidR="007B0F40">
          <w:rPr>
            <w:noProof/>
            <w:webHidden/>
          </w:rPr>
          <w:t>16</w:t>
        </w:r>
        <w:r w:rsidR="00426CC0">
          <w:rPr>
            <w:noProof/>
            <w:webHidden/>
          </w:rPr>
          <w:fldChar w:fldCharType="end"/>
        </w:r>
      </w:hyperlink>
    </w:p>
    <w:p w:rsidR="007B0F40" w:rsidRDefault="00CB322F">
      <w:pPr>
        <w:pStyle w:val="TOC3"/>
        <w:tabs>
          <w:tab w:val="left" w:pos="1933"/>
        </w:tabs>
        <w:rPr>
          <w:rFonts w:asciiTheme="minorHAnsi" w:eastAsiaTheme="minorEastAsia" w:hAnsiTheme="minorHAnsi" w:cstheme="minorBidi"/>
          <w:i w:val="0"/>
          <w:iCs w:val="0"/>
          <w:noProof/>
          <w:sz w:val="22"/>
          <w:szCs w:val="22"/>
        </w:rPr>
      </w:pPr>
      <w:hyperlink w:anchor="_Toc359933699" w:history="1">
        <w:r w:rsidR="007B0F40" w:rsidRPr="00791186">
          <w:rPr>
            <w:rStyle w:val="Hyperlink"/>
            <w:noProof/>
          </w:rPr>
          <w:t>Action Step #4:</w:t>
        </w:r>
        <w:r w:rsidR="007B0F40">
          <w:rPr>
            <w:rFonts w:asciiTheme="minorHAnsi" w:eastAsiaTheme="minorEastAsia" w:hAnsiTheme="minorHAnsi" w:cstheme="minorBidi"/>
            <w:i w:val="0"/>
            <w:iCs w:val="0"/>
            <w:noProof/>
            <w:sz w:val="22"/>
            <w:szCs w:val="22"/>
          </w:rPr>
          <w:tab/>
        </w:r>
        <w:r w:rsidR="007B0F40" w:rsidRPr="00791186">
          <w:rPr>
            <w:rStyle w:val="Hyperlink"/>
            <w:noProof/>
          </w:rPr>
          <w:t>Establish a Countywide Green Ordinance</w:t>
        </w:r>
        <w:r w:rsidR="007B0F40">
          <w:rPr>
            <w:noProof/>
            <w:webHidden/>
          </w:rPr>
          <w:tab/>
        </w:r>
        <w:r w:rsidR="00426CC0">
          <w:rPr>
            <w:noProof/>
            <w:webHidden/>
          </w:rPr>
          <w:fldChar w:fldCharType="begin"/>
        </w:r>
        <w:r w:rsidR="007B0F40">
          <w:rPr>
            <w:noProof/>
            <w:webHidden/>
          </w:rPr>
          <w:instrText xml:space="preserve"> PAGEREF _Toc359933699 \h </w:instrText>
        </w:r>
        <w:r w:rsidR="00426CC0">
          <w:rPr>
            <w:noProof/>
            <w:webHidden/>
          </w:rPr>
        </w:r>
        <w:r w:rsidR="00426CC0">
          <w:rPr>
            <w:noProof/>
            <w:webHidden/>
          </w:rPr>
          <w:fldChar w:fldCharType="separate"/>
        </w:r>
        <w:r w:rsidR="007B0F40">
          <w:rPr>
            <w:noProof/>
            <w:webHidden/>
          </w:rPr>
          <w:t>16</w:t>
        </w:r>
        <w:r w:rsidR="00426CC0">
          <w:rPr>
            <w:noProof/>
            <w:webHidden/>
          </w:rPr>
          <w:fldChar w:fldCharType="end"/>
        </w:r>
      </w:hyperlink>
    </w:p>
    <w:p w:rsidR="007B0F40" w:rsidRDefault="00CB322F">
      <w:pPr>
        <w:pStyle w:val="TOC3"/>
        <w:tabs>
          <w:tab w:val="left" w:pos="1933"/>
        </w:tabs>
        <w:rPr>
          <w:rFonts w:asciiTheme="minorHAnsi" w:eastAsiaTheme="minorEastAsia" w:hAnsiTheme="minorHAnsi" w:cstheme="minorBidi"/>
          <w:i w:val="0"/>
          <w:iCs w:val="0"/>
          <w:noProof/>
          <w:sz w:val="22"/>
          <w:szCs w:val="22"/>
        </w:rPr>
      </w:pPr>
      <w:hyperlink w:anchor="_Toc359933700" w:history="1">
        <w:r w:rsidR="007B0F40" w:rsidRPr="00791186">
          <w:rPr>
            <w:rStyle w:val="Hyperlink"/>
            <w:noProof/>
          </w:rPr>
          <w:t>Action Step #5:</w:t>
        </w:r>
        <w:r w:rsidR="007B0F40">
          <w:rPr>
            <w:rFonts w:asciiTheme="minorHAnsi" w:eastAsiaTheme="minorEastAsia" w:hAnsiTheme="minorHAnsi" w:cstheme="minorBidi"/>
            <w:i w:val="0"/>
            <w:iCs w:val="0"/>
            <w:noProof/>
            <w:sz w:val="22"/>
            <w:szCs w:val="22"/>
          </w:rPr>
          <w:tab/>
        </w:r>
        <w:r w:rsidR="007B0F40" w:rsidRPr="00791186">
          <w:rPr>
            <w:rStyle w:val="Hyperlink"/>
            <w:noProof/>
          </w:rPr>
          <w:t>Promote Unit Size Appropriateness</w:t>
        </w:r>
        <w:r w:rsidR="007B0F40">
          <w:rPr>
            <w:noProof/>
            <w:webHidden/>
          </w:rPr>
          <w:tab/>
        </w:r>
        <w:r w:rsidR="00426CC0">
          <w:rPr>
            <w:noProof/>
            <w:webHidden/>
          </w:rPr>
          <w:fldChar w:fldCharType="begin"/>
        </w:r>
        <w:r w:rsidR="007B0F40">
          <w:rPr>
            <w:noProof/>
            <w:webHidden/>
          </w:rPr>
          <w:instrText xml:space="preserve"> PAGEREF _Toc359933700 \h </w:instrText>
        </w:r>
        <w:r w:rsidR="00426CC0">
          <w:rPr>
            <w:noProof/>
            <w:webHidden/>
          </w:rPr>
        </w:r>
        <w:r w:rsidR="00426CC0">
          <w:rPr>
            <w:noProof/>
            <w:webHidden/>
          </w:rPr>
          <w:fldChar w:fldCharType="separate"/>
        </w:r>
        <w:r w:rsidR="007B0F40">
          <w:rPr>
            <w:noProof/>
            <w:webHidden/>
          </w:rPr>
          <w:t>16</w:t>
        </w:r>
        <w:r w:rsidR="00426CC0">
          <w:rPr>
            <w:noProof/>
            <w:webHidden/>
          </w:rPr>
          <w:fldChar w:fldCharType="end"/>
        </w:r>
      </w:hyperlink>
    </w:p>
    <w:p w:rsidR="007B0F40" w:rsidRDefault="00CB322F">
      <w:pPr>
        <w:pStyle w:val="TOC2"/>
        <w:tabs>
          <w:tab w:val="right" w:leader="dot" w:pos="9350"/>
        </w:tabs>
        <w:rPr>
          <w:rFonts w:asciiTheme="minorHAnsi" w:eastAsiaTheme="minorEastAsia" w:hAnsiTheme="minorHAnsi" w:cstheme="minorBidi"/>
          <w:smallCaps w:val="0"/>
          <w:noProof/>
          <w:sz w:val="22"/>
          <w:szCs w:val="22"/>
        </w:rPr>
      </w:pPr>
      <w:hyperlink w:anchor="_Toc359933701" w:history="1">
        <w:r w:rsidR="007B0F40" w:rsidRPr="00791186">
          <w:rPr>
            <w:rStyle w:val="Hyperlink"/>
            <w:noProof/>
          </w:rPr>
          <w:t>Strategy 2:  Determine the Optimal Mix of Housing Types</w:t>
        </w:r>
        <w:r w:rsidR="007B0F40">
          <w:rPr>
            <w:noProof/>
            <w:webHidden/>
          </w:rPr>
          <w:tab/>
        </w:r>
        <w:r w:rsidR="00426CC0">
          <w:rPr>
            <w:noProof/>
            <w:webHidden/>
          </w:rPr>
          <w:fldChar w:fldCharType="begin"/>
        </w:r>
        <w:r w:rsidR="007B0F40">
          <w:rPr>
            <w:noProof/>
            <w:webHidden/>
          </w:rPr>
          <w:instrText xml:space="preserve"> PAGEREF _Toc359933701 \h </w:instrText>
        </w:r>
        <w:r w:rsidR="00426CC0">
          <w:rPr>
            <w:noProof/>
            <w:webHidden/>
          </w:rPr>
        </w:r>
        <w:r w:rsidR="00426CC0">
          <w:rPr>
            <w:noProof/>
            <w:webHidden/>
          </w:rPr>
          <w:fldChar w:fldCharType="separate"/>
        </w:r>
        <w:r w:rsidR="007B0F40">
          <w:rPr>
            <w:noProof/>
            <w:webHidden/>
          </w:rPr>
          <w:t>17</w:t>
        </w:r>
        <w:r w:rsidR="00426CC0">
          <w:rPr>
            <w:noProof/>
            <w:webHidden/>
          </w:rPr>
          <w:fldChar w:fldCharType="end"/>
        </w:r>
      </w:hyperlink>
    </w:p>
    <w:p w:rsidR="007B0F40" w:rsidRDefault="00CB322F">
      <w:pPr>
        <w:pStyle w:val="TOC3"/>
        <w:tabs>
          <w:tab w:val="left" w:pos="1933"/>
        </w:tabs>
        <w:rPr>
          <w:rFonts w:asciiTheme="minorHAnsi" w:eastAsiaTheme="minorEastAsia" w:hAnsiTheme="minorHAnsi" w:cstheme="minorBidi"/>
          <w:i w:val="0"/>
          <w:iCs w:val="0"/>
          <w:noProof/>
          <w:sz w:val="22"/>
          <w:szCs w:val="22"/>
        </w:rPr>
      </w:pPr>
      <w:hyperlink w:anchor="_Toc359933702" w:history="1">
        <w:r w:rsidR="007B0F40" w:rsidRPr="00791186">
          <w:rPr>
            <w:rStyle w:val="Hyperlink"/>
            <w:noProof/>
          </w:rPr>
          <w:t>Action Step #1:</w:t>
        </w:r>
        <w:r w:rsidR="007B0F40">
          <w:rPr>
            <w:rFonts w:asciiTheme="minorHAnsi" w:eastAsiaTheme="minorEastAsia" w:hAnsiTheme="minorHAnsi" w:cstheme="minorBidi"/>
            <w:i w:val="0"/>
            <w:iCs w:val="0"/>
            <w:noProof/>
            <w:sz w:val="22"/>
            <w:szCs w:val="22"/>
          </w:rPr>
          <w:tab/>
        </w:r>
        <w:r w:rsidR="007B0F40" w:rsidRPr="00791186">
          <w:rPr>
            <w:rStyle w:val="Hyperlink"/>
            <w:noProof/>
          </w:rPr>
          <w:t>Encourage Affordable Housing Site Selection near Transit and Employment Centers</w:t>
        </w:r>
        <w:r w:rsidR="007B0F40">
          <w:rPr>
            <w:noProof/>
            <w:webHidden/>
          </w:rPr>
          <w:tab/>
        </w:r>
        <w:r w:rsidR="00426CC0">
          <w:rPr>
            <w:noProof/>
            <w:webHidden/>
          </w:rPr>
          <w:fldChar w:fldCharType="begin"/>
        </w:r>
        <w:r w:rsidR="007B0F40">
          <w:rPr>
            <w:noProof/>
            <w:webHidden/>
          </w:rPr>
          <w:instrText xml:space="preserve"> PAGEREF _Toc359933702 \h </w:instrText>
        </w:r>
        <w:r w:rsidR="00426CC0">
          <w:rPr>
            <w:noProof/>
            <w:webHidden/>
          </w:rPr>
        </w:r>
        <w:r w:rsidR="00426CC0">
          <w:rPr>
            <w:noProof/>
            <w:webHidden/>
          </w:rPr>
          <w:fldChar w:fldCharType="separate"/>
        </w:r>
        <w:r w:rsidR="007B0F40">
          <w:rPr>
            <w:noProof/>
            <w:webHidden/>
          </w:rPr>
          <w:t>18</w:t>
        </w:r>
        <w:r w:rsidR="00426CC0">
          <w:rPr>
            <w:noProof/>
            <w:webHidden/>
          </w:rPr>
          <w:fldChar w:fldCharType="end"/>
        </w:r>
      </w:hyperlink>
    </w:p>
    <w:p w:rsidR="007B0F40" w:rsidRDefault="00CB322F">
      <w:pPr>
        <w:pStyle w:val="TOC3"/>
        <w:tabs>
          <w:tab w:val="left" w:pos="1933"/>
        </w:tabs>
        <w:rPr>
          <w:rFonts w:asciiTheme="minorHAnsi" w:eastAsiaTheme="minorEastAsia" w:hAnsiTheme="minorHAnsi" w:cstheme="minorBidi"/>
          <w:i w:val="0"/>
          <w:iCs w:val="0"/>
          <w:noProof/>
          <w:sz w:val="22"/>
          <w:szCs w:val="22"/>
        </w:rPr>
      </w:pPr>
      <w:hyperlink w:anchor="_Toc359933703" w:history="1">
        <w:r w:rsidR="007B0F40" w:rsidRPr="00791186">
          <w:rPr>
            <w:rStyle w:val="Hyperlink"/>
            <w:noProof/>
          </w:rPr>
          <w:t>Action Step #2:</w:t>
        </w:r>
        <w:r w:rsidR="007B0F40">
          <w:rPr>
            <w:rFonts w:asciiTheme="minorHAnsi" w:eastAsiaTheme="minorEastAsia" w:hAnsiTheme="minorHAnsi" w:cstheme="minorBidi"/>
            <w:i w:val="0"/>
            <w:iCs w:val="0"/>
            <w:noProof/>
            <w:sz w:val="22"/>
            <w:szCs w:val="22"/>
          </w:rPr>
          <w:tab/>
        </w:r>
        <w:r w:rsidR="007B0F40" w:rsidRPr="00791186">
          <w:rPr>
            <w:rStyle w:val="Hyperlink"/>
            <w:noProof/>
          </w:rPr>
          <w:t xml:space="preserve">Direct Resources so that </w:t>
        </w:r>
        <w:r w:rsidR="007B0F40" w:rsidRPr="00791186">
          <w:rPr>
            <w:rStyle w:val="Hyperlink"/>
            <w:bCs/>
            <w:noProof/>
          </w:rPr>
          <w:t>Homeownership Opportunities of All Types Are Encouraged</w:t>
        </w:r>
        <w:r w:rsidR="007B0F40">
          <w:rPr>
            <w:noProof/>
            <w:webHidden/>
          </w:rPr>
          <w:tab/>
        </w:r>
        <w:r w:rsidR="00426CC0">
          <w:rPr>
            <w:noProof/>
            <w:webHidden/>
          </w:rPr>
          <w:fldChar w:fldCharType="begin"/>
        </w:r>
        <w:r w:rsidR="007B0F40">
          <w:rPr>
            <w:noProof/>
            <w:webHidden/>
          </w:rPr>
          <w:instrText xml:space="preserve"> PAGEREF _Toc359933703 \h </w:instrText>
        </w:r>
        <w:r w:rsidR="00426CC0">
          <w:rPr>
            <w:noProof/>
            <w:webHidden/>
          </w:rPr>
        </w:r>
        <w:r w:rsidR="00426CC0">
          <w:rPr>
            <w:noProof/>
            <w:webHidden/>
          </w:rPr>
          <w:fldChar w:fldCharType="separate"/>
        </w:r>
        <w:r w:rsidR="007B0F40">
          <w:rPr>
            <w:noProof/>
            <w:webHidden/>
          </w:rPr>
          <w:t>19</w:t>
        </w:r>
        <w:r w:rsidR="00426CC0">
          <w:rPr>
            <w:noProof/>
            <w:webHidden/>
          </w:rPr>
          <w:fldChar w:fldCharType="end"/>
        </w:r>
      </w:hyperlink>
    </w:p>
    <w:p w:rsidR="007B0F40" w:rsidRDefault="00CB322F">
      <w:pPr>
        <w:pStyle w:val="TOC3"/>
        <w:tabs>
          <w:tab w:val="left" w:pos="1933"/>
        </w:tabs>
        <w:rPr>
          <w:rFonts w:asciiTheme="minorHAnsi" w:eastAsiaTheme="minorEastAsia" w:hAnsiTheme="minorHAnsi" w:cstheme="minorBidi"/>
          <w:i w:val="0"/>
          <w:iCs w:val="0"/>
          <w:noProof/>
          <w:sz w:val="22"/>
          <w:szCs w:val="22"/>
        </w:rPr>
      </w:pPr>
      <w:hyperlink w:anchor="_Toc359933704" w:history="1">
        <w:r w:rsidR="007B0F40" w:rsidRPr="00791186">
          <w:rPr>
            <w:rStyle w:val="Hyperlink"/>
            <w:noProof/>
          </w:rPr>
          <w:t>Action Step #3:</w:t>
        </w:r>
        <w:r w:rsidR="007B0F40">
          <w:rPr>
            <w:rFonts w:asciiTheme="minorHAnsi" w:eastAsiaTheme="minorEastAsia" w:hAnsiTheme="minorHAnsi" w:cstheme="minorBidi"/>
            <w:i w:val="0"/>
            <w:iCs w:val="0"/>
            <w:noProof/>
            <w:sz w:val="22"/>
            <w:szCs w:val="22"/>
          </w:rPr>
          <w:tab/>
        </w:r>
        <w:r w:rsidR="007B0F40" w:rsidRPr="00791186">
          <w:rPr>
            <w:rStyle w:val="Hyperlink"/>
            <w:noProof/>
          </w:rPr>
          <w:t>Direct Resources so that the predominate type of Assisted Units are Rental Housing.</w:t>
        </w:r>
        <w:r w:rsidR="007B0F40">
          <w:rPr>
            <w:noProof/>
            <w:webHidden/>
          </w:rPr>
          <w:tab/>
        </w:r>
        <w:r w:rsidR="00426CC0">
          <w:rPr>
            <w:noProof/>
            <w:webHidden/>
          </w:rPr>
          <w:fldChar w:fldCharType="begin"/>
        </w:r>
        <w:r w:rsidR="007B0F40">
          <w:rPr>
            <w:noProof/>
            <w:webHidden/>
          </w:rPr>
          <w:instrText xml:space="preserve"> PAGEREF _Toc359933704 \h </w:instrText>
        </w:r>
        <w:r w:rsidR="00426CC0">
          <w:rPr>
            <w:noProof/>
            <w:webHidden/>
          </w:rPr>
        </w:r>
        <w:r w:rsidR="00426CC0">
          <w:rPr>
            <w:noProof/>
            <w:webHidden/>
          </w:rPr>
          <w:fldChar w:fldCharType="separate"/>
        </w:r>
        <w:r w:rsidR="007B0F40">
          <w:rPr>
            <w:noProof/>
            <w:webHidden/>
          </w:rPr>
          <w:t>19</w:t>
        </w:r>
        <w:r w:rsidR="00426CC0">
          <w:rPr>
            <w:noProof/>
            <w:webHidden/>
          </w:rPr>
          <w:fldChar w:fldCharType="end"/>
        </w:r>
      </w:hyperlink>
    </w:p>
    <w:p w:rsidR="007B0F40" w:rsidRDefault="00CB322F">
      <w:pPr>
        <w:pStyle w:val="TOC3"/>
        <w:tabs>
          <w:tab w:val="left" w:pos="2033"/>
        </w:tabs>
        <w:rPr>
          <w:rFonts w:asciiTheme="minorHAnsi" w:eastAsiaTheme="minorEastAsia" w:hAnsiTheme="minorHAnsi" w:cstheme="minorBidi"/>
          <w:i w:val="0"/>
          <w:iCs w:val="0"/>
          <w:noProof/>
          <w:sz w:val="22"/>
          <w:szCs w:val="22"/>
        </w:rPr>
      </w:pPr>
      <w:hyperlink w:anchor="_Toc359933705" w:history="1">
        <w:r w:rsidR="007B0F40" w:rsidRPr="00791186">
          <w:rPr>
            <w:rStyle w:val="Hyperlink"/>
            <w:noProof/>
          </w:rPr>
          <w:t xml:space="preserve">Action Step #4:  </w:t>
        </w:r>
        <w:r w:rsidR="007B0F40">
          <w:rPr>
            <w:rFonts w:asciiTheme="minorHAnsi" w:eastAsiaTheme="minorEastAsia" w:hAnsiTheme="minorHAnsi" w:cstheme="minorBidi"/>
            <w:i w:val="0"/>
            <w:iCs w:val="0"/>
            <w:noProof/>
            <w:sz w:val="22"/>
            <w:szCs w:val="22"/>
          </w:rPr>
          <w:tab/>
        </w:r>
        <w:r w:rsidR="007B0F40" w:rsidRPr="00791186">
          <w:rPr>
            <w:rStyle w:val="Hyperlink"/>
            <w:noProof/>
          </w:rPr>
          <w:t>Target a Mix of Households Including Workforce, Special Needs and Seniors</w:t>
        </w:r>
        <w:r w:rsidR="007B0F40">
          <w:rPr>
            <w:noProof/>
            <w:webHidden/>
          </w:rPr>
          <w:tab/>
        </w:r>
        <w:r w:rsidR="00426CC0">
          <w:rPr>
            <w:noProof/>
            <w:webHidden/>
          </w:rPr>
          <w:fldChar w:fldCharType="begin"/>
        </w:r>
        <w:r w:rsidR="007B0F40">
          <w:rPr>
            <w:noProof/>
            <w:webHidden/>
          </w:rPr>
          <w:instrText xml:space="preserve"> PAGEREF _Toc359933705 \h </w:instrText>
        </w:r>
        <w:r w:rsidR="00426CC0">
          <w:rPr>
            <w:noProof/>
            <w:webHidden/>
          </w:rPr>
        </w:r>
        <w:r w:rsidR="00426CC0">
          <w:rPr>
            <w:noProof/>
            <w:webHidden/>
          </w:rPr>
          <w:fldChar w:fldCharType="separate"/>
        </w:r>
        <w:r w:rsidR="007B0F40">
          <w:rPr>
            <w:noProof/>
            <w:webHidden/>
          </w:rPr>
          <w:t>19</w:t>
        </w:r>
        <w:r w:rsidR="00426CC0">
          <w:rPr>
            <w:noProof/>
            <w:webHidden/>
          </w:rPr>
          <w:fldChar w:fldCharType="end"/>
        </w:r>
      </w:hyperlink>
    </w:p>
    <w:p w:rsidR="007B0F40" w:rsidRDefault="00CB322F">
      <w:pPr>
        <w:pStyle w:val="TOC2"/>
        <w:tabs>
          <w:tab w:val="right" w:leader="dot" w:pos="9350"/>
        </w:tabs>
        <w:rPr>
          <w:rFonts w:asciiTheme="minorHAnsi" w:eastAsiaTheme="minorEastAsia" w:hAnsiTheme="minorHAnsi" w:cstheme="minorBidi"/>
          <w:smallCaps w:val="0"/>
          <w:noProof/>
          <w:sz w:val="22"/>
          <w:szCs w:val="22"/>
        </w:rPr>
      </w:pPr>
      <w:hyperlink w:anchor="_Toc359933706" w:history="1">
        <w:r w:rsidR="007B0F40" w:rsidRPr="00791186">
          <w:rPr>
            <w:rStyle w:val="Hyperlink"/>
            <w:noProof/>
          </w:rPr>
          <w:t>Strategy 3:  Maximize Financing Resources</w:t>
        </w:r>
        <w:r w:rsidR="007B0F40">
          <w:rPr>
            <w:noProof/>
            <w:webHidden/>
          </w:rPr>
          <w:tab/>
        </w:r>
        <w:r w:rsidR="00426CC0">
          <w:rPr>
            <w:noProof/>
            <w:webHidden/>
          </w:rPr>
          <w:fldChar w:fldCharType="begin"/>
        </w:r>
        <w:r w:rsidR="007B0F40">
          <w:rPr>
            <w:noProof/>
            <w:webHidden/>
          </w:rPr>
          <w:instrText xml:space="preserve"> PAGEREF _Toc359933706 \h </w:instrText>
        </w:r>
        <w:r w:rsidR="00426CC0">
          <w:rPr>
            <w:noProof/>
            <w:webHidden/>
          </w:rPr>
        </w:r>
        <w:r w:rsidR="00426CC0">
          <w:rPr>
            <w:noProof/>
            <w:webHidden/>
          </w:rPr>
          <w:fldChar w:fldCharType="separate"/>
        </w:r>
        <w:r w:rsidR="007B0F40">
          <w:rPr>
            <w:noProof/>
            <w:webHidden/>
          </w:rPr>
          <w:t>19</w:t>
        </w:r>
        <w:r w:rsidR="00426CC0">
          <w:rPr>
            <w:noProof/>
            <w:webHidden/>
          </w:rPr>
          <w:fldChar w:fldCharType="end"/>
        </w:r>
      </w:hyperlink>
    </w:p>
    <w:p w:rsidR="007B0F40" w:rsidRDefault="00CB322F">
      <w:pPr>
        <w:pStyle w:val="TOC3"/>
        <w:rPr>
          <w:rFonts w:asciiTheme="minorHAnsi" w:eastAsiaTheme="minorEastAsia" w:hAnsiTheme="minorHAnsi" w:cstheme="minorBidi"/>
          <w:i w:val="0"/>
          <w:iCs w:val="0"/>
          <w:noProof/>
          <w:sz w:val="22"/>
          <w:szCs w:val="22"/>
        </w:rPr>
      </w:pPr>
      <w:hyperlink w:anchor="_Toc359933707" w:history="1">
        <w:r w:rsidR="007B0F40" w:rsidRPr="00791186">
          <w:rPr>
            <w:rStyle w:val="Hyperlink"/>
            <w:noProof/>
          </w:rPr>
          <w:t>The Task Force recommends establishing sources of revenues which ensure a total $5 million annually beginning in 2018 in order to create a minimum of 60 affordable housing units per year. The Task Force established this goal based upon the number of units and local dollars required for the recent County/City of Napa NOFA projects.  The Task Force believes this funding should come from a number of sources. Because several large business sectors cause a need for affordable housing, the Task Force recommends working with each of the major industries to ensure each contributes towards the cost of providing affordable housing.  The sectors impacting the need for affordable housing include wineries, hospitality, development, healthcare, government and retail. Rather than make specific recommendations for new revenue sources for these sectors, the Task Force instead recommended outreaching to each of these groups for input on how their share of the cost should be structured. Therefore, Action Steps 1 through 4 requires working with each industry before developing specific funding recommendations.</w:t>
        </w:r>
        <w:r w:rsidR="007B0F40">
          <w:rPr>
            <w:noProof/>
            <w:webHidden/>
          </w:rPr>
          <w:tab/>
        </w:r>
        <w:r w:rsidR="00426CC0">
          <w:rPr>
            <w:noProof/>
            <w:webHidden/>
          </w:rPr>
          <w:fldChar w:fldCharType="begin"/>
        </w:r>
        <w:r w:rsidR="007B0F40">
          <w:rPr>
            <w:noProof/>
            <w:webHidden/>
          </w:rPr>
          <w:instrText xml:space="preserve"> PAGEREF _Toc359933707 \h </w:instrText>
        </w:r>
        <w:r w:rsidR="00426CC0">
          <w:rPr>
            <w:noProof/>
            <w:webHidden/>
          </w:rPr>
        </w:r>
        <w:r w:rsidR="00426CC0">
          <w:rPr>
            <w:noProof/>
            <w:webHidden/>
          </w:rPr>
          <w:fldChar w:fldCharType="separate"/>
        </w:r>
        <w:r w:rsidR="007B0F40">
          <w:rPr>
            <w:noProof/>
            <w:webHidden/>
          </w:rPr>
          <w:t>20</w:t>
        </w:r>
        <w:r w:rsidR="00426CC0">
          <w:rPr>
            <w:noProof/>
            <w:webHidden/>
          </w:rPr>
          <w:fldChar w:fldCharType="end"/>
        </w:r>
      </w:hyperlink>
    </w:p>
    <w:p w:rsidR="007B0F40" w:rsidRDefault="00CB322F">
      <w:pPr>
        <w:pStyle w:val="TOC3"/>
        <w:tabs>
          <w:tab w:val="left" w:pos="1933"/>
        </w:tabs>
        <w:rPr>
          <w:rFonts w:asciiTheme="minorHAnsi" w:eastAsiaTheme="minorEastAsia" w:hAnsiTheme="minorHAnsi" w:cstheme="minorBidi"/>
          <w:i w:val="0"/>
          <w:iCs w:val="0"/>
          <w:noProof/>
          <w:sz w:val="22"/>
          <w:szCs w:val="22"/>
        </w:rPr>
      </w:pPr>
      <w:hyperlink w:anchor="_Toc359933708" w:history="1">
        <w:r w:rsidR="007B0F40" w:rsidRPr="00791186">
          <w:rPr>
            <w:rStyle w:val="Hyperlink"/>
            <w:noProof/>
          </w:rPr>
          <w:t>Action Step #1:</w:t>
        </w:r>
        <w:r w:rsidR="007B0F40">
          <w:rPr>
            <w:rFonts w:asciiTheme="minorHAnsi" w:eastAsiaTheme="minorEastAsia" w:hAnsiTheme="minorHAnsi" w:cstheme="minorBidi"/>
            <w:i w:val="0"/>
            <w:iCs w:val="0"/>
            <w:noProof/>
            <w:sz w:val="22"/>
            <w:szCs w:val="22"/>
          </w:rPr>
          <w:tab/>
        </w:r>
        <w:r w:rsidR="007B0F40" w:rsidRPr="00791186">
          <w:rPr>
            <w:rStyle w:val="Hyperlink"/>
            <w:bCs/>
            <w:noProof/>
          </w:rPr>
          <w:t>Work with Development Community to Provide Additional Funding for Affordable Housing and Consider Adjusting Development Impact Fees throughout the County</w:t>
        </w:r>
        <w:r w:rsidR="007B0F40">
          <w:rPr>
            <w:noProof/>
            <w:webHidden/>
          </w:rPr>
          <w:tab/>
        </w:r>
        <w:r w:rsidR="00426CC0">
          <w:rPr>
            <w:noProof/>
            <w:webHidden/>
          </w:rPr>
          <w:fldChar w:fldCharType="begin"/>
        </w:r>
        <w:r w:rsidR="007B0F40">
          <w:rPr>
            <w:noProof/>
            <w:webHidden/>
          </w:rPr>
          <w:instrText xml:space="preserve"> PAGEREF _Toc359933708 \h </w:instrText>
        </w:r>
        <w:r w:rsidR="00426CC0">
          <w:rPr>
            <w:noProof/>
            <w:webHidden/>
          </w:rPr>
        </w:r>
        <w:r w:rsidR="00426CC0">
          <w:rPr>
            <w:noProof/>
            <w:webHidden/>
          </w:rPr>
          <w:fldChar w:fldCharType="separate"/>
        </w:r>
        <w:r w:rsidR="007B0F40">
          <w:rPr>
            <w:noProof/>
            <w:webHidden/>
          </w:rPr>
          <w:t>21</w:t>
        </w:r>
        <w:r w:rsidR="00426CC0">
          <w:rPr>
            <w:noProof/>
            <w:webHidden/>
          </w:rPr>
          <w:fldChar w:fldCharType="end"/>
        </w:r>
      </w:hyperlink>
    </w:p>
    <w:p w:rsidR="007B0F40" w:rsidRDefault="00CB322F">
      <w:pPr>
        <w:pStyle w:val="TOC3"/>
        <w:tabs>
          <w:tab w:val="left" w:pos="1933"/>
        </w:tabs>
        <w:rPr>
          <w:rFonts w:asciiTheme="minorHAnsi" w:eastAsiaTheme="minorEastAsia" w:hAnsiTheme="minorHAnsi" w:cstheme="minorBidi"/>
          <w:i w:val="0"/>
          <w:iCs w:val="0"/>
          <w:noProof/>
          <w:sz w:val="22"/>
          <w:szCs w:val="22"/>
        </w:rPr>
      </w:pPr>
      <w:hyperlink w:anchor="_Toc359933709" w:history="1">
        <w:r w:rsidR="007B0F40" w:rsidRPr="00791186">
          <w:rPr>
            <w:rStyle w:val="Hyperlink"/>
            <w:noProof/>
          </w:rPr>
          <w:t>Action Step #4:</w:t>
        </w:r>
        <w:r w:rsidR="007B0F40">
          <w:rPr>
            <w:rFonts w:asciiTheme="minorHAnsi" w:eastAsiaTheme="minorEastAsia" w:hAnsiTheme="minorHAnsi" w:cstheme="minorBidi"/>
            <w:i w:val="0"/>
            <w:iCs w:val="0"/>
            <w:noProof/>
            <w:sz w:val="22"/>
            <w:szCs w:val="22"/>
          </w:rPr>
          <w:tab/>
        </w:r>
        <w:r w:rsidR="007B0F40" w:rsidRPr="00791186">
          <w:rPr>
            <w:rStyle w:val="Hyperlink"/>
            <w:noProof/>
          </w:rPr>
          <w:t>Direct Revenues to a Countywide Regional Pool for Affordable Housing</w:t>
        </w:r>
        <w:r w:rsidR="007B0F40">
          <w:rPr>
            <w:noProof/>
            <w:webHidden/>
          </w:rPr>
          <w:tab/>
        </w:r>
        <w:r w:rsidR="00426CC0">
          <w:rPr>
            <w:noProof/>
            <w:webHidden/>
          </w:rPr>
          <w:fldChar w:fldCharType="begin"/>
        </w:r>
        <w:r w:rsidR="007B0F40">
          <w:rPr>
            <w:noProof/>
            <w:webHidden/>
          </w:rPr>
          <w:instrText xml:space="preserve"> PAGEREF _Toc359933709 \h </w:instrText>
        </w:r>
        <w:r w:rsidR="00426CC0">
          <w:rPr>
            <w:noProof/>
            <w:webHidden/>
          </w:rPr>
        </w:r>
        <w:r w:rsidR="00426CC0">
          <w:rPr>
            <w:noProof/>
            <w:webHidden/>
          </w:rPr>
          <w:fldChar w:fldCharType="separate"/>
        </w:r>
        <w:r w:rsidR="007B0F40">
          <w:rPr>
            <w:noProof/>
            <w:webHidden/>
          </w:rPr>
          <w:t>22</w:t>
        </w:r>
        <w:r w:rsidR="00426CC0">
          <w:rPr>
            <w:noProof/>
            <w:webHidden/>
          </w:rPr>
          <w:fldChar w:fldCharType="end"/>
        </w:r>
      </w:hyperlink>
    </w:p>
    <w:p w:rsidR="007B0F40" w:rsidRDefault="00CB322F">
      <w:pPr>
        <w:pStyle w:val="TOC3"/>
        <w:tabs>
          <w:tab w:val="left" w:pos="1933"/>
        </w:tabs>
        <w:rPr>
          <w:rFonts w:asciiTheme="minorHAnsi" w:eastAsiaTheme="minorEastAsia" w:hAnsiTheme="minorHAnsi" w:cstheme="minorBidi"/>
          <w:i w:val="0"/>
          <w:iCs w:val="0"/>
          <w:noProof/>
          <w:sz w:val="22"/>
          <w:szCs w:val="22"/>
        </w:rPr>
      </w:pPr>
      <w:hyperlink w:anchor="_Toc359933710" w:history="1">
        <w:r w:rsidR="007B0F40" w:rsidRPr="00791186">
          <w:rPr>
            <w:rStyle w:val="Hyperlink"/>
            <w:noProof/>
          </w:rPr>
          <w:t>Action Step #7:</w:t>
        </w:r>
        <w:r w:rsidR="007B0F40">
          <w:rPr>
            <w:rFonts w:asciiTheme="minorHAnsi" w:eastAsiaTheme="minorEastAsia" w:hAnsiTheme="minorHAnsi" w:cstheme="minorBidi"/>
            <w:i w:val="0"/>
            <w:iCs w:val="0"/>
            <w:noProof/>
            <w:sz w:val="22"/>
            <w:szCs w:val="22"/>
          </w:rPr>
          <w:tab/>
        </w:r>
        <w:r w:rsidR="007B0F40" w:rsidRPr="00791186">
          <w:rPr>
            <w:rStyle w:val="Hyperlink"/>
            <w:noProof/>
          </w:rPr>
          <w:t>Increase Real Estate Transfer Tax</w:t>
        </w:r>
        <w:r w:rsidR="007B0F40">
          <w:rPr>
            <w:noProof/>
            <w:webHidden/>
          </w:rPr>
          <w:tab/>
        </w:r>
        <w:r w:rsidR="00426CC0">
          <w:rPr>
            <w:noProof/>
            <w:webHidden/>
          </w:rPr>
          <w:fldChar w:fldCharType="begin"/>
        </w:r>
        <w:r w:rsidR="007B0F40">
          <w:rPr>
            <w:noProof/>
            <w:webHidden/>
          </w:rPr>
          <w:instrText xml:space="preserve"> PAGEREF _Toc359933710 \h </w:instrText>
        </w:r>
        <w:r w:rsidR="00426CC0">
          <w:rPr>
            <w:noProof/>
            <w:webHidden/>
          </w:rPr>
        </w:r>
        <w:r w:rsidR="00426CC0">
          <w:rPr>
            <w:noProof/>
            <w:webHidden/>
          </w:rPr>
          <w:fldChar w:fldCharType="separate"/>
        </w:r>
        <w:r w:rsidR="007B0F40">
          <w:rPr>
            <w:noProof/>
            <w:webHidden/>
          </w:rPr>
          <w:t>23</w:t>
        </w:r>
        <w:r w:rsidR="00426CC0">
          <w:rPr>
            <w:noProof/>
            <w:webHidden/>
          </w:rPr>
          <w:fldChar w:fldCharType="end"/>
        </w:r>
      </w:hyperlink>
    </w:p>
    <w:p w:rsidR="007B0F40" w:rsidRDefault="00CB322F">
      <w:pPr>
        <w:pStyle w:val="TOC2"/>
        <w:tabs>
          <w:tab w:val="right" w:leader="dot" w:pos="9350"/>
        </w:tabs>
        <w:rPr>
          <w:rFonts w:asciiTheme="minorHAnsi" w:eastAsiaTheme="minorEastAsia" w:hAnsiTheme="minorHAnsi" w:cstheme="minorBidi"/>
          <w:smallCaps w:val="0"/>
          <w:noProof/>
          <w:sz w:val="22"/>
          <w:szCs w:val="22"/>
        </w:rPr>
      </w:pPr>
      <w:hyperlink w:anchor="_Toc359933711" w:history="1">
        <w:r w:rsidR="007B0F40" w:rsidRPr="00791186">
          <w:rPr>
            <w:rStyle w:val="Hyperlink"/>
            <w:noProof/>
          </w:rPr>
          <w:t>Strategy 4:  Implement Non-Monetary Production Opportunities</w:t>
        </w:r>
        <w:r w:rsidR="007B0F40">
          <w:rPr>
            <w:noProof/>
            <w:webHidden/>
          </w:rPr>
          <w:tab/>
        </w:r>
        <w:r w:rsidR="00426CC0">
          <w:rPr>
            <w:noProof/>
            <w:webHidden/>
          </w:rPr>
          <w:fldChar w:fldCharType="begin"/>
        </w:r>
        <w:r w:rsidR="007B0F40">
          <w:rPr>
            <w:noProof/>
            <w:webHidden/>
          </w:rPr>
          <w:instrText xml:space="preserve"> PAGEREF _Toc359933711 \h </w:instrText>
        </w:r>
        <w:r w:rsidR="00426CC0">
          <w:rPr>
            <w:noProof/>
            <w:webHidden/>
          </w:rPr>
        </w:r>
        <w:r w:rsidR="00426CC0">
          <w:rPr>
            <w:noProof/>
            <w:webHidden/>
          </w:rPr>
          <w:fldChar w:fldCharType="separate"/>
        </w:r>
        <w:r w:rsidR="007B0F40">
          <w:rPr>
            <w:noProof/>
            <w:webHidden/>
          </w:rPr>
          <w:t>23</w:t>
        </w:r>
        <w:r w:rsidR="00426CC0">
          <w:rPr>
            <w:noProof/>
            <w:webHidden/>
          </w:rPr>
          <w:fldChar w:fldCharType="end"/>
        </w:r>
      </w:hyperlink>
    </w:p>
    <w:p w:rsidR="007B0F40" w:rsidRDefault="00CB322F">
      <w:pPr>
        <w:pStyle w:val="TOC3"/>
        <w:tabs>
          <w:tab w:val="left" w:pos="1933"/>
        </w:tabs>
        <w:rPr>
          <w:rFonts w:asciiTheme="minorHAnsi" w:eastAsiaTheme="minorEastAsia" w:hAnsiTheme="minorHAnsi" w:cstheme="minorBidi"/>
          <w:i w:val="0"/>
          <w:iCs w:val="0"/>
          <w:noProof/>
          <w:sz w:val="22"/>
          <w:szCs w:val="22"/>
        </w:rPr>
      </w:pPr>
      <w:hyperlink w:anchor="_Toc359933712" w:history="1">
        <w:r w:rsidR="007B0F40" w:rsidRPr="00791186">
          <w:rPr>
            <w:rStyle w:val="Hyperlink"/>
            <w:noProof/>
          </w:rPr>
          <w:t>Action Step #1:</w:t>
        </w:r>
        <w:r w:rsidR="007B0F40">
          <w:rPr>
            <w:rFonts w:asciiTheme="minorHAnsi" w:eastAsiaTheme="minorEastAsia" w:hAnsiTheme="minorHAnsi" w:cstheme="minorBidi"/>
            <w:i w:val="0"/>
            <w:iCs w:val="0"/>
            <w:noProof/>
            <w:sz w:val="22"/>
            <w:szCs w:val="22"/>
          </w:rPr>
          <w:tab/>
        </w:r>
        <w:r w:rsidR="007B0F40" w:rsidRPr="00791186">
          <w:rPr>
            <w:rStyle w:val="Hyperlink"/>
            <w:noProof/>
          </w:rPr>
          <w:t>Allow By-Right Affordable Housing in Residential Zones</w:t>
        </w:r>
        <w:r w:rsidR="007B0F40">
          <w:rPr>
            <w:noProof/>
            <w:webHidden/>
          </w:rPr>
          <w:tab/>
        </w:r>
        <w:r w:rsidR="00426CC0">
          <w:rPr>
            <w:noProof/>
            <w:webHidden/>
          </w:rPr>
          <w:fldChar w:fldCharType="begin"/>
        </w:r>
        <w:r w:rsidR="007B0F40">
          <w:rPr>
            <w:noProof/>
            <w:webHidden/>
          </w:rPr>
          <w:instrText xml:space="preserve"> PAGEREF _Toc359933712 \h </w:instrText>
        </w:r>
        <w:r w:rsidR="00426CC0">
          <w:rPr>
            <w:noProof/>
            <w:webHidden/>
          </w:rPr>
        </w:r>
        <w:r w:rsidR="00426CC0">
          <w:rPr>
            <w:noProof/>
            <w:webHidden/>
          </w:rPr>
          <w:fldChar w:fldCharType="separate"/>
        </w:r>
        <w:r w:rsidR="007B0F40">
          <w:rPr>
            <w:noProof/>
            <w:webHidden/>
          </w:rPr>
          <w:t>23</w:t>
        </w:r>
        <w:r w:rsidR="00426CC0">
          <w:rPr>
            <w:noProof/>
            <w:webHidden/>
          </w:rPr>
          <w:fldChar w:fldCharType="end"/>
        </w:r>
      </w:hyperlink>
    </w:p>
    <w:p w:rsidR="007B0F40" w:rsidRDefault="00CB322F">
      <w:pPr>
        <w:pStyle w:val="TOC3"/>
        <w:tabs>
          <w:tab w:val="left" w:pos="1933"/>
        </w:tabs>
        <w:rPr>
          <w:rFonts w:asciiTheme="minorHAnsi" w:eastAsiaTheme="minorEastAsia" w:hAnsiTheme="minorHAnsi" w:cstheme="minorBidi"/>
          <w:i w:val="0"/>
          <w:iCs w:val="0"/>
          <w:noProof/>
          <w:sz w:val="22"/>
          <w:szCs w:val="22"/>
        </w:rPr>
      </w:pPr>
      <w:hyperlink w:anchor="_Toc359933713" w:history="1">
        <w:r w:rsidR="007B0F40" w:rsidRPr="00791186">
          <w:rPr>
            <w:rStyle w:val="Hyperlink"/>
            <w:noProof/>
          </w:rPr>
          <w:t>Action Step #2:</w:t>
        </w:r>
        <w:r w:rsidR="007B0F40">
          <w:rPr>
            <w:rFonts w:asciiTheme="minorHAnsi" w:eastAsiaTheme="minorEastAsia" w:hAnsiTheme="minorHAnsi" w:cstheme="minorBidi"/>
            <w:i w:val="0"/>
            <w:iCs w:val="0"/>
            <w:noProof/>
            <w:sz w:val="22"/>
            <w:szCs w:val="22"/>
          </w:rPr>
          <w:tab/>
        </w:r>
        <w:r w:rsidR="007B0F40" w:rsidRPr="00791186">
          <w:rPr>
            <w:rStyle w:val="Hyperlink"/>
            <w:noProof/>
          </w:rPr>
          <w:t>Pursue Greater Density</w:t>
        </w:r>
        <w:r w:rsidR="007B0F40">
          <w:rPr>
            <w:noProof/>
            <w:webHidden/>
          </w:rPr>
          <w:tab/>
        </w:r>
        <w:r w:rsidR="00426CC0">
          <w:rPr>
            <w:noProof/>
            <w:webHidden/>
          </w:rPr>
          <w:fldChar w:fldCharType="begin"/>
        </w:r>
        <w:r w:rsidR="007B0F40">
          <w:rPr>
            <w:noProof/>
            <w:webHidden/>
          </w:rPr>
          <w:instrText xml:space="preserve"> PAGEREF _Toc359933713 \h </w:instrText>
        </w:r>
        <w:r w:rsidR="00426CC0">
          <w:rPr>
            <w:noProof/>
            <w:webHidden/>
          </w:rPr>
        </w:r>
        <w:r w:rsidR="00426CC0">
          <w:rPr>
            <w:noProof/>
            <w:webHidden/>
          </w:rPr>
          <w:fldChar w:fldCharType="separate"/>
        </w:r>
        <w:r w:rsidR="007B0F40">
          <w:rPr>
            <w:noProof/>
            <w:webHidden/>
          </w:rPr>
          <w:t>24</w:t>
        </w:r>
        <w:r w:rsidR="00426CC0">
          <w:rPr>
            <w:noProof/>
            <w:webHidden/>
          </w:rPr>
          <w:fldChar w:fldCharType="end"/>
        </w:r>
      </w:hyperlink>
    </w:p>
    <w:p w:rsidR="007B0F40" w:rsidRDefault="00CB322F">
      <w:pPr>
        <w:pStyle w:val="TOC3"/>
        <w:tabs>
          <w:tab w:val="left" w:pos="1933"/>
        </w:tabs>
        <w:rPr>
          <w:rFonts w:asciiTheme="minorHAnsi" w:eastAsiaTheme="minorEastAsia" w:hAnsiTheme="minorHAnsi" w:cstheme="minorBidi"/>
          <w:i w:val="0"/>
          <w:iCs w:val="0"/>
          <w:noProof/>
          <w:sz w:val="22"/>
          <w:szCs w:val="22"/>
        </w:rPr>
      </w:pPr>
      <w:hyperlink w:anchor="_Toc359933714" w:history="1">
        <w:r w:rsidR="007B0F40" w:rsidRPr="00791186">
          <w:rPr>
            <w:rStyle w:val="Hyperlink"/>
            <w:noProof/>
          </w:rPr>
          <w:t>Action Step #3:</w:t>
        </w:r>
        <w:r w:rsidR="007B0F40">
          <w:rPr>
            <w:rFonts w:asciiTheme="minorHAnsi" w:eastAsiaTheme="minorEastAsia" w:hAnsiTheme="minorHAnsi" w:cstheme="minorBidi"/>
            <w:i w:val="0"/>
            <w:iCs w:val="0"/>
            <w:noProof/>
            <w:sz w:val="22"/>
            <w:szCs w:val="22"/>
          </w:rPr>
          <w:tab/>
        </w:r>
        <w:r w:rsidR="007B0F40" w:rsidRPr="00791186">
          <w:rPr>
            <w:rStyle w:val="Hyperlink"/>
            <w:noProof/>
          </w:rPr>
          <w:t>Prioritize Methods to Fast Track Development Processes</w:t>
        </w:r>
        <w:r w:rsidR="007B0F40">
          <w:rPr>
            <w:noProof/>
            <w:webHidden/>
          </w:rPr>
          <w:tab/>
        </w:r>
        <w:r w:rsidR="00426CC0">
          <w:rPr>
            <w:noProof/>
            <w:webHidden/>
          </w:rPr>
          <w:fldChar w:fldCharType="begin"/>
        </w:r>
        <w:r w:rsidR="007B0F40">
          <w:rPr>
            <w:noProof/>
            <w:webHidden/>
          </w:rPr>
          <w:instrText xml:space="preserve"> PAGEREF _Toc359933714 \h </w:instrText>
        </w:r>
        <w:r w:rsidR="00426CC0">
          <w:rPr>
            <w:noProof/>
            <w:webHidden/>
          </w:rPr>
        </w:r>
        <w:r w:rsidR="00426CC0">
          <w:rPr>
            <w:noProof/>
            <w:webHidden/>
          </w:rPr>
          <w:fldChar w:fldCharType="separate"/>
        </w:r>
        <w:r w:rsidR="007B0F40">
          <w:rPr>
            <w:noProof/>
            <w:webHidden/>
          </w:rPr>
          <w:t>25</w:t>
        </w:r>
        <w:r w:rsidR="00426CC0">
          <w:rPr>
            <w:noProof/>
            <w:webHidden/>
          </w:rPr>
          <w:fldChar w:fldCharType="end"/>
        </w:r>
      </w:hyperlink>
    </w:p>
    <w:p w:rsidR="007B0F40" w:rsidRDefault="00CB322F">
      <w:pPr>
        <w:pStyle w:val="TOC3"/>
        <w:tabs>
          <w:tab w:val="left" w:pos="1933"/>
        </w:tabs>
        <w:rPr>
          <w:rFonts w:asciiTheme="minorHAnsi" w:eastAsiaTheme="minorEastAsia" w:hAnsiTheme="minorHAnsi" w:cstheme="minorBidi"/>
          <w:i w:val="0"/>
          <w:iCs w:val="0"/>
          <w:noProof/>
          <w:sz w:val="22"/>
          <w:szCs w:val="22"/>
        </w:rPr>
      </w:pPr>
      <w:hyperlink w:anchor="_Toc359933715" w:history="1">
        <w:r w:rsidR="007B0F40" w:rsidRPr="00791186">
          <w:rPr>
            <w:rStyle w:val="Hyperlink"/>
            <w:noProof/>
          </w:rPr>
          <w:t>Action Step #4:</w:t>
        </w:r>
        <w:r w:rsidR="007B0F40">
          <w:rPr>
            <w:rFonts w:asciiTheme="minorHAnsi" w:eastAsiaTheme="minorEastAsia" w:hAnsiTheme="minorHAnsi" w:cstheme="minorBidi"/>
            <w:i w:val="0"/>
            <w:iCs w:val="0"/>
            <w:noProof/>
            <w:sz w:val="22"/>
            <w:szCs w:val="22"/>
          </w:rPr>
          <w:tab/>
        </w:r>
        <w:r w:rsidR="007B0F40" w:rsidRPr="00791186">
          <w:rPr>
            <w:rStyle w:val="Hyperlink"/>
            <w:noProof/>
          </w:rPr>
          <w:t>Hold Article 34 Election</w:t>
        </w:r>
        <w:r w:rsidR="007B0F40">
          <w:rPr>
            <w:noProof/>
            <w:webHidden/>
          </w:rPr>
          <w:tab/>
        </w:r>
        <w:r w:rsidR="00426CC0">
          <w:rPr>
            <w:noProof/>
            <w:webHidden/>
          </w:rPr>
          <w:fldChar w:fldCharType="begin"/>
        </w:r>
        <w:r w:rsidR="007B0F40">
          <w:rPr>
            <w:noProof/>
            <w:webHidden/>
          </w:rPr>
          <w:instrText xml:space="preserve"> PAGEREF _Toc359933715 \h </w:instrText>
        </w:r>
        <w:r w:rsidR="00426CC0">
          <w:rPr>
            <w:noProof/>
            <w:webHidden/>
          </w:rPr>
        </w:r>
        <w:r w:rsidR="00426CC0">
          <w:rPr>
            <w:noProof/>
            <w:webHidden/>
          </w:rPr>
          <w:fldChar w:fldCharType="separate"/>
        </w:r>
        <w:r w:rsidR="007B0F40">
          <w:rPr>
            <w:noProof/>
            <w:webHidden/>
          </w:rPr>
          <w:t>25</w:t>
        </w:r>
        <w:r w:rsidR="00426CC0">
          <w:rPr>
            <w:noProof/>
            <w:webHidden/>
          </w:rPr>
          <w:fldChar w:fldCharType="end"/>
        </w:r>
      </w:hyperlink>
    </w:p>
    <w:p w:rsidR="007B0F40" w:rsidRDefault="00CB322F">
      <w:pPr>
        <w:pStyle w:val="TOC3"/>
        <w:tabs>
          <w:tab w:val="left" w:pos="1933"/>
        </w:tabs>
        <w:rPr>
          <w:rFonts w:asciiTheme="minorHAnsi" w:eastAsiaTheme="minorEastAsia" w:hAnsiTheme="minorHAnsi" w:cstheme="minorBidi"/>
          <w:i w:val="0"/>
          <w:iCs w:val="0"/>
          <w:noProof/>
          <w:sz w:val="22"/>
          <w:szCs w:val="22"/>
        </w:rPr>
      </w:pPr>
      <w:hyperlink w:anchor="_Toc359933716" w:history="1">
        <w:r w:rsidR="007B0F40" w:rsidRPr="00791186">
          <w:rPr>
            <w:rStyle w:val="Hyperlink"/>
            <w:noProof/>
          </w:rPr>
          <w:t>Action Step #5:</w:t>
        </w:r>
        <w:r w:rsidR="007B0F40">
          <w:rPr>
            <w:rFonts w:asciiTheme="minorHAnsi" w:eastAsiaTheme="minorEastAsia" w:hAnsiTheme="minorHAnsi" w:cstheme="minorBidi"/>
            <w:i w:val="0"/>
            <w:iCs w:val="0"/>
            <w:noProof/>
            <w:sz w:val="22"/>
            <w:szCs w:val="22"/>
          </w:rPr>
          <w:tab/>
        </w:r>
        <w:r w:rsidR="007B0F40" w:rsidRPr="00791186">
          <w:rPr>
            <w:rStyle w:val="Hyperlink"/>
            <w:noProof/>
          </w:rPr>
          <w:t>Promote Employee Housing</w:t>
        </w:r>
        <w:r w:rsidR="007B0F40">
          <w:rPr>
            <w:noProof/>
            <w:webHidden/>
          </w:rPr>
          <w:tab/>
        </w:r>
        <w:r w:rsidR="00426CC0">
          <w:rPr>
            <w:noProof/>
            <w:webHidden/>
          </w:rPr>
          <w:fldChar w:fldCharType="begin"/>
        </w:r>
        <w:r w:rsidR="007B0F40">
          <w:rPr>
            <w:noProof/>
            <w:webHidden/>
          </w:rPr>
          <w:instrText xml:space="preserve"> PAGEREF _Toc359933716 \h </w:instrText>
        </w:r>
        <w:r w:rsidR="00426CC0">
          <w:rPr>
            <w:noProof/>
            <w:webHidden/>
          </w:rPr>
        </w:r>
        <w:r w:rsidR="00426CC0">
          <w:rPr>
            <w:noProof/>
            <w:webHidden/>
          </w:rPr>
          <w:fldChar w:fldCharType="separate"/>
        </w:r>
        <w:r w:rsidR="007B0F40">
          <w:rPr>
            <w:noProof/>
            <w:webHidden/>
          </w:rPr>
          <w:t>25</w:t>
        </w:r>
        <w:r w:rsidR="00426CC0">
          <w:rPr>
            <w:noProof/>
            <w:webHidden/>
          </w:rPr>
          <w:fldChar w:fldCharType="end"/>
        </w:r>
      </w:hyperlink>
    </w:p>
    <w:p w:rsidR="007B0F40" w:rsidRDefault="00CB322F">
      <w:pPr>
        <w:pStyle w:val="TOC3"/>
        <w:tabs>
          <w:tab w:val="left" w:pos="1933"/>
        </w:tabs>
        <w:rPr>
          <w:rFonts w:asciiTheme="minorHAnsi" w:eastAsiaTheme="minorEastAsia" w:hAnsiTheme="minorHAnsi" w:cstheme="minorBidi"/>
          <w:i w:val="0"/>
          <w:iCs w:val="0"/>
          <w:noProof/>
          <w:sz w:val="22"/>
          <w:szCs w:val="22"/>
        </w:rPr>
      </w:pPr>
      <w:hyperlink w:anchor="_Toc359933717" w:history="1">
        <w:r w:rsidR="007B0F40" w:rsidRPr="00791186">
          <w:rPr>
            <w:rStyle w:val="Hyperlink"/>
            <w:noProof/>
          </w:rPr>
          <w:t>Action Step #6:</w:t>
        </w:r>
        <w:r w:rsidR="007B0F40">
          <w:rPr>
            <w:rFonts w:asciiTheme="minorHAnsi" w:eastAsiaTheme="minorEastAsia" w:hAnsiTheme="minorHAnsi" w:cstheme="minorBidi"/>
            <w:i w:val="0"/>
            <w:iCs w:val="0"/>
            <w:noProof/>
            <w:sz w:val="22"/>
            <w:szCs w:val="22"/>
          </w:rPr>
          <w:tab/>
        </w:r>
        <w:r w:rsidR="007B0F40" w:rsidRPr="00791186">
          <w:rPr>
            <w:rStyle w:val="Hyperlink"/>
            <w:noProof/>
          </w:rPr>
          <w:t>Generate Proximity Housing Incentives and Policies</w:t>
        </w:r>
        <w:r w:rsidR="007B0F40">
          <w:rPr>
            <w:noProof/>
            <w:webHidden/>
          </w:rPr>
          <w:tab/>
        </w:r>
        <w:r w:rsidR="00426CC0">
          <w:rPr>
            <w:noProof/>
            <w:webHidden/>
          </w:rPr>
          <w:fldChar w:fldCharType="begin"/>
        </w:r>
        <w:r w:rsidR="007B0F40">
          <w:rPr>
            <w:noProof/>
            <w:webHidden/>
          </w:rPr>
          <w:instrText xml:space="preserve"> PAGEREF _Toc359933717 \h </w:instrText>
        </w:r>
        <w:r w:rsidR="00426CC0">
          <w:rPr>
            <w:noProof/>
            <w:webHidden/>
          </w:rPr>
        </w:r>
        <w:r w:rsidR="00426CC0">
          <w:rPr>
            <w:noProof/>
            <w:webHidden/>
          </w:rPr>
          <w:fldChar w:fldCharType="separate"/>
        </w:r>
        <w:r w:rsidR="007B0F40">
          <w:rPr>
            <w:noProof/>
            <w:webHidden/>
          </w:rPr>
          <w:t>26</w:t>
        </w:r>
        <w:r w:rsidR="00426CC0">
          <w:rPr>
            <w:noProof/>
            <w:webHidden/>
          </w:rPr>
          <w:fldChar w:fldCharType="end"/>
        </w:r>
      </w:hyperlink>
    </w:p>
    <w:p w:rsidR="007B0F40" w:rsidRDefault="00CB322F">
      <w:pPr>
        <w:pStyle w:val="TOC2"/>
        <w:tabs>
          <w:tab w:val="right" w:leader="dot" w:pos="9350"/>
        </w:tabs>
        <w:rPr>
          <w:rFonts w:asciiTheme="minorHAnsi" w:eastAsiaTheme="minorEastAsia" w:hAnsiTheme="minorHAnsi" w:cstheme="minorBidi"/>
          <w:smallCaps w:val="0"/>
          <w:noProof/>
          <w:sz w:val="22"/>
          <w:szCs w:val="22"/>
        </w:rPr>
      </w:pPr>
      <w:hyperlink w:anchor="_Toc359933718" w:history="1">
        <w:r w:rsidR="007B0F40" w:rsidRPr="00791186">
          <w:rPr>
            <w:rStyle w:val="Hyperlink"/>
            <w:noProof/>
          </w:rPr>
          <w:t>Strategy 5:  Provide Appropriate Oversight and Collect Data to Inform Practice and Measure Success</w:t>
        </w:r>
        <w:r w:rsidR="007B0F40">
          <w:rPr>
            <w:noProof/>
            <w:webHidden/>
          </w:rPr>
          <w:tab/>
        </w:r>
        <w:r w:rsidR="00426CC0">
          <w:rPr>
            <w:noProof/>
            <w:webHidden/>
          </w:rPr>
          <w:fldChar w:fldCharType="begin"/>
        </w:r>
        <w:r w:rsidR="007B0F40">
          <w:rPr>
            <w:noProof/>
            <w:webHidden/>
          </w:rPr>
          <w:instrText xml:space="preserve"> PAGEREF _Toc359933718 \h </w:instrText>
        </w:r>
        <w:r w:rsidR="00426CC0">
          <w:rPr>
            <w:noProof/>
            <w:webHidden/>
          </w:rPr>
        </w:r>
        <w:r w:rsidR="00426CC0">
          <w:rPr>
            <w:noProof/>
            <w:webHidden/>
          </w:rPr>
          <w:fldChar w:fldCharType="separate"/>
        </w:r>
        <w:r w:rsidR="007B0F40">
          <w:rPr>
            <w:noProof/>
            <w:webHidden/>
          </w:rPr>
          <w:t>26</w:t>
        </w:r>
        <w:r w:rsidR="00426CC0">
          <w:rPr>
            <w:noProof/>
            <w:webHidden/>
          </w:rPr>
          <w:fldChar w:fldCharType="end"/>
        </w:r>
      </w:hyperlink>
    </w:p>
    <w:p w:rsidR="007B0F40" w:rsidRDefault="00CB322F">
      <w:pPr>
        <w:pStyle w:val="TOC3"/>
        <w:tabs>
          <w:tab w:val="left" w:pos="1933"/>
        </w:tabs>
        <w:rPr>
          <w:rFonts w:asciiTheme="minorHAnsi" w:eastAsiaTheme="minorEastAsia" w:hAnsiTheme="minorHAnsi" w:cstheme="minorBidi"/>
          <w:i w:val="0"/>
          <w:iCs w:val="0"/>
          <w:noProof/>
          <w:sz w:val="22"/>
          <w:szCs w:val="22"/>
        </w:rPr>
      </w:pPr>
      <w:hyperlink w:anchor="_Toc359933719" w:history="1">
        <w:r w:rsidR="007B0F40" w:rsidRPr="00791186">
          <w:rPr>
            <w:rStyle w:val="Hyperlink"/>
            <w:noProof/>
          </w:rPr>
          <w:t>Action Step #1:</w:t>
        </w:r>
        <w:r w:rsidR="007B0F40">
          <w:rPr>
            <w:rFonts w:asciiTheme="minorHAnsi" w:eastAsiaTheme="minorEastAsia" w:hAnsiTheme="minorHAnsi" w:cstheme="minorBidi"/>
            <w:i w:val="0"/>
            <w:iCs w:val="0"/>
            <w:noProof/>
            <w:sz w:val="22"/>
            <w:szCs w:val="22"/>
          </w:rPr>
          <w:tab/>
        </w:r>
        <w:r w:rsidR="007B0F40" w:rsidRPr="00791186">
          <w:rPr>
            <w:rStyle w:val="Hyperlink"/>
            <w:noProof/>
          </w:rPr>
          <w:t>Provide an Internal Monitoring System that will Produce Feedback on Opportunities for Enhanced Collaboration</w:t>
        </w:r>
        <w:r w:rsidR="007B0F40">
          <w:rPr>
            <w:noProof/>
            <w:webHidden/>
          </w:rPr>
          <w:tab/>
        </w:r>
        <w:r w:rsidR="00426CC0">
          <w:rPr>
            <w:noProof/>
            <w:webHidden/>
          </w:rPr>
          <w:fldChar w:fldCharType="begin"/>
        </w:r>
        <w:r w:rsidR="007B0F40">
          <w:rPr>
            <w:noProof/>
            <w:webHidden/>
          </w:rPr>
          <w:instrText xml:space="preserve"> PAGEREF _Toc359933719 \h </w:instrText>
        </w:r>
        <w:r w:rsidR="00426CC0">
          <w:rPr>
            <w:noProof/>
            <w:webHidden/>
          </w:rPr>
        </w:r>
        <w:r w:rsidR="00426CC0">
          <w:rPr>
            <w:noProof/>
            <w:webHidden/>
          </w:rPr>
          <w:fldChar w:fldCharType="separate"/>
        </w:r>
        <w:r w:rsidR="007B0F40">
          <w:rPr>
            <w:noProof/>
            <w:webHidden/>
          </w:rPr>
          <w:t>27</w:t>
        </w:r>
        <w:r w:rsidR="00426CC0">
          <w:rPr>
            <w:noProof/>
            <w:webHidden/>
          </w:rPr>
          <w:fldChar w:fldCharType="end"/>
        </w:r>
      </w:hyperlink>
    </w:p>
    <w:p w:rsidR="007B0F40" w:rsidRDefault="00CB322F">
      <w:pPr>
        <w:pStyle w:val="TOC3"/>
        <w:tabs>
          <w:tab w:val="left" w:pos="1933"/>
        </w:tabs>
        <w:rPr>
          <w:rFonts w:asciiTheme="minorHAnsi" w:eastAsiaTheme="minorEastAsia" w:hAnsiTheme="minorHAnsi" w:cstheme="minorBidi"/>
          <w:i w:val="0"/>
          <w:iCs w:val="0"/>
          <w:noProof/>
          <w:sz w:val="22"/>
          <w:szCs w:val="22"/>
        </w:rPr>
      </w:pPr>
      <w:hyperlink w:anchor="_Toc359933720" w:history="1">
        <w:r w:rsidR="007B0F40" w:rsidRPr="00791186">
          <w:rPr>
            <w:rStyle w:val="Hyperlink"/>
            <w:noProof/>
          </w:rPr>
          <w:t>Action Step #2:</w:t>
        </w:r>
        <w:r w:rsidR="007B0F40">
          <w:rPr>
            <w:rFonts w:asciiTheme="minorHAnsi" w:eastAsiaTheme="minorEastAsia" w:hAnsiTheme="minorHAnsi" w:cstheme="minorBidi"/>
            <w:i w:val="0"/>
            <w:iCs w:val="0"/>
            <w:noProof/>
            <w:sz w:val="22"/>
            <w:szCs w:val="22"/>
          </w:rPr>
          <w:tab/>
        </w:r>
        <w:r w:rsidR="007B0F40" w:rsidRPr="00791186">
          <w:rPr>
            <w:rStyle w:val="Hyperlink"/>
            <w:noProof/>
          </w:rPr>
          <w:t>Provide Adequate Oversight for Plan Implementation</w:t>
        </w:r>
        <w:r w:rsidR="007B0F40">
          <w:rPr>
            <w:noProof/>
            <w:webHidden/>
          </w:rPr>
          <w:tab/>
        </w:r>
        <w:r w:rsidR="00426CC0">
          <w:rPr>
            <w:noProof/>
            <w:webHidden/>
          </w:rPr>
          <w:fldChar w:fldCharType="begin"/>
        </w:r>
        <w:r w:rsidR="007B0F40">
          <w:rPr>
            <w:noProof/>
            <w:webHidden/>
          </w:rPr>
          <w:instrText xml:space="preserve"> PAGEREF _Toc359933720 \h </w:instrText>
        </w:r>
        <w:r w:rsidR="00426CC0">
          <w:rPr>
            <w:noProof/>
            <w:webHidden/>
          </w:rPr>
        </w:r>
        <w:r w:rsidR="00426CC0">
          <w:rPr>
            <w:noProof/>
            <w:webHidden/>
          </w:rPr>
          <w:fldChar w:fldCharType="separate"/>
        </w:r>
        <w:r w:rsidR="007B0F40">
          <w:rPr>
            <w:noProof/>
            <w:webHidden/>
          </w:rPr>
          <w:t>27</w:t>
        </w:r>
        <w:r w:rsidR="00426CC0">
          <w:rPr>
            <w:noProof/>
            <w:webHidden/>
          </w:rPr>
          <w:fldChar w:fldCharType="end"/>
        </w:r>
      </w:hyperlink>
    </w:p>
    <w:p w:rsidR="007B0F40" w:rsidRDefault="00CB322F">
      <w:pPr>
        <w:pStyle w:val="TOC1"/>
        <w:rPr>
          <w:rFonts w:asciiTheme="minorHAnsi" w:eastAsiaTheme="minorEastAsia" w:hAnsiTheme="minorHAnsi" w:cstheme="minorBidi"/>
          <w:b w:val="0"/>
          <w:bCs w:val="0"/>
          <w:caps w:val="0"/>
          <w:smallCaps w:val="0"/>
          <w:sz w:val="22"/>
          <w:szCs w:val="22"/>
        </w:rPr>
      </w:pPr>
      <w:hyperlink w:anchor="_Toc359933721" w:history="1">
        <w:r w:rsidR="007B0F40" w:rsidRPr="00791186">
          <w:rPr>
            <w:rStyle w:val="Hyperlink"/>
          </w:rPr>
          <w:t>Appendix A Bibliography</w:t>
        </w:r>
        <w:r w:rsidR="007B0F40">
          <w:rPr>
            <w:webHidden/>
          </w:rPr>
          <w:tab/>
        </w:r>
        <w:r w:rsidR="00426CC0">
          <w:rPr>
            <w:webHidden/>
          </w:rPr>
          <w:fldChar w:fldCharType="begin"/>
        </w:r>
        <w:r w:rsidR="007B0F40">
          <w:rPr>
            <w:webHidden/>
          </w:rPr>
          <w:instrText xml:space="preserve"> PAGEREF _Toc359933721 \h </w:instrText>
        </w:r>
        <w:r w:rsidR="00426CC0">
          <w:rPr>
            <w:webHidden/>
          </w:rPr>
        </w:r>
        <w:r w:rsidR="00426CC0">
          <w:rPr>
            <w:webHidden/>
          </w:rPr>
          <w:fldChar w:fldCharType="separate"/>
        </w:r>
        <w:r w:rsidR="007B0F40">
          <w:rPr>
            <w:webHidden/>
          </w:rPr>
          <w:t>41</w:t>
        </w:r>
        <w:r w:rsidR="00426CC0">
          <w:rPr>
            <w:webHidden/>
          </w:rPr>
          <w:fldChar w:fldCharType="end"/>
        </w:r>
      </w:hyperlink>
    </w:p>
    <w:p w:rsidR="007B0F40" w:rsidRDefault="00CB322F">
      <w:pPr>
        <w:pStyle w:val="TOC1"/>
        <w:rPr>
          <w:rFonts w:asciiTheme="minorHAnsi" w:eastAsiaTheme="minorEastAsia" w:hAnsiTheme="minorHAnsi" w:cstheme="minorBidi"/>
          <w:b w:val="0"/>
          <w:bCs w:val="0"/>
          <w:caps w:val="0"/>
          <w:smallCaps w:val="0"/>
          <w:sz w:val="22"/>
          <w:szCs w:val="22"/>
        </w:rPr>
      </w:pPr>
      <w:hyperlink w:anchor="_Toc359933722" w:history="1">
        <w:r w:rsidR="007B0F40" w:rsidRPr="00791186">
          <w:rPr>
            <w:rStyle w:val="Hyperlink"/>
          </w:rPr>
          <w:t>Appendix B Summary of Task Force Meetings</w:t>
        </w:r>
        <w:r w:rsidR="007B0F40">
          <w:rPr>
            <w:webHidden/>
          </w:rPr>
          <w:tab/>
        </w:r>
        <w:r w:rsidR="00426CC0">
          <w:rPr>
            <w:webHidden/>
          </w:rPr>
          <w:fldChar w:fldCharType="begin"/>
        </w:r>
        <w:r w:rsidR="007B0F40">
          <w:rPr>
            <w:webHidden/>
          </w:rPr>
          <w:instrText xml:space="preserve"> PAGEREF _Toc359933722 \h </w:instrText>
        </w:r>
        <w:r w:rsidR="00426CC0">
          <w:rPr>
            <w:webHidden/>
          </w:rPr>
        </w:r>
        <w:r w:rsidR="00426CC0">
          <w:rPr>
            <w:webHidden/>
          </w:rPr>
          <w:fldChar w:fldCharType="separate"/>
        </w:r>
        <w:r w:rsidR="007B0F40">
          <w:rPr>
            <w:webHidden/>
          </w:rPr>
          <w:t>43</w:t>
        </w:r>
        <w:r w:rsidR="00426CC0">
          <w:rPr>
            <w:webHidden/>
          </w:rPr>
          <w:fldChar w:fldCharType="end"/>
        </w:r>
      </w:hyperlink>
    </w:p>
    <w:p w:rsidR="007B0F40" w:rsidRDefault="00CB322F">
      <w:pPr>
        <w:pStyle w:val="TOC1"/>
        <w:rPr>
          <w:rFonts w:asciiTheme="minorHAnsi" w:eastAsiaTheme="minorEastAsia" w:hAnsiTheme="minorHAnsi" w:cstheme="minorBidi"/>
          <w:b w:val="0"/>
          <w:bCs w:val="0"/>
          <w:caps w:val="0"/>
          <w:smallCaps w:val="0"/>
          <w:sz w:val="22"/>
          <w:szCs w:val="22"/>
        </w:rPr>
      </w:pPr>
      <w:hyperlink w:anchor="_Toc359933723" w:history="1">
        <w:r w:rsidR="007B0F40" w:rsidRPr="00791186">
          <w:rPr>
            <w:rStyle w:val="Hyperlink"/>
          </w:rPr>
          <w:t>Appendix C Non-Monetary Strategies Matrix</w:t>
        </w:r>
        <w:r w:rsidR="007B0F40">
          <w:rPr>
            <w:webHidden/>
          </w:rPr>
          <w:tab/>
        </w:r>
        <w:r w:rsidR="00426CC0">
          <w:rPr>
            <w:webHidden/>
          </w:rPr>
          <w:fldChar w:fldCharType="begin"/>
        </w:r>
        <w:r w:rsidR="007B0F40">
          <w:rPr>
            <w:webHidden/>
          </w:rPr>
          <w:instrText xml:space="preserve"> PAGEREF _Toc359933723 \h </w:instrText>
        </w:r>
        <w:r w:rsidR="00426CC0">
          <w:rPr>
            <w:webHidden/>
          </w:rPr>
        </w:r>
        <w:r w:rsidR="00426CC0">
          <w:rPr>
            <w:webHidden/>
          </w:rPr>
          <w:fldChar w:fldCharType="separate"/>
        </w:r>
        <w:r w:rsidR="007B0F40">
          <w:rPr>
            <w:webHidden/>
          </w:rPr>
          <w:t>49</w:t>
        </w:r>
        <w:r w:rsidR="00426CC0">
          <w:rPr>
            <w:webHidden/>
          </w:rPr>
          <w:fldChar w:fldCharType="end"/>
        </w:r>
      </w:hyperlink>
    </w:p>
    <w:p w:rsidR="007B0F40" w:rsidRDefault="00CB322F">
      <w:pPr>
        <w:pStyle w:val="TOC1"/>
        <w:rPr>
          <w:rFonts w:asciiTheme="minorHAnsi" w:eastAsiaTheme="minorEastAsia" w:hAnsiTheme="minorHAnsi" w:cstheme="minorBidi"/>
          <w:b w:val="0"/>
          <w:bCs w:val="0"/>
          <w:caps w:val="0"/>
          <w:smallCaps w:val="0"/>
          <w:sz w:val="22"/>
          <w:szCs w:val="22"/>
        </w:rPr>
      </w:pPr>
      <w:hyperlink w:anchor="_Toc359933724" w:history="1">
        <w:r w:rsidR="007B0F40" w:rsidRPr="00791186">
          <w:rPr>
            <w:rStyle w:val="Hyperlink"/>
          </w:rPr>
          <w:t>Appendix D Strategy Rankings</w:t>
        </w:r>
        <w:r w:rsidR="007B0F40">
          <w:rPr>
            <w:webHidden/>
          </w:rPr>
          <w:tab/>
        </w:r>
        <w:r w:rsidR="00426CC0">
          <w:rPr>
            <w:webHidden/>
          </w:rPr>
          <w:fldChar w:fldCharType="begin"/>
        </w:r>
        <w:r w:rsidR="007B0F40">
          <w:rPr>
            <w:webHidden/>
          </w:rPr>
          <w:instrText xml:space="preserve"> PAGEREF _Toc359933724 \h </w:instrText>
        </w:r>
        <w:r w:rsidR="00426CC0">
          <w:rPr>
            <w:webHidden/>
          </w:rPr>
        </w:r>
        <w:r w:rsidR="00426CC0">
          <w:rPr>
            <w:webHidden/>
          </w:rPr>
          <w:fldChar w:fldCharType="separate"/>
        </w:r>
        <w:r w:rsidR="007B0F40">
          <w:rPr>
            <w:webHidden/>
          </w:rPr>
          <w:t>51</w:t>
        </w:r>
        <w:r w:rsidR="00426CC0">
          <w:rPr>
            <w:webHidden/>
          </w:rPr>
          <w:fldChar w:fldCharType="end"/>
        </w:r>
      </w:hyperlink>
    </w:p>
    <w:p w:rsidR="007B0F40" w:rsidRDefault="00CB322F">
      <w:pPr>
        <w:pStyle w:val="TOC1"/>
        <w:rPr>
          <w:rFonts w:asciiTheme="minorHAnsi" w:eastAsiaTheme="minorEastAsia" w:hAnsiTheme="minorHAnsi" w:cstheme="minorBidi"/>
          <w:b w:val="0"/>
          <w:bCs w:val="0"/>
          <w:caps w:val="0"/>
          <w:smallCaps w:val="0"/>
          <w:sz w:val="22"/>
          <w:szCs w:val="22"/>
        </w:rPr>
      </w:pPr>
      <w:hyperlink w:anchor="_Toc359933725" w:history="1">
        <w:r w:rsidR="007B0F40" w:rsidRPr="00791186">
          <w:rPr>
            <w:rStyle w:val="Hyperlink"/>
          </w:rPr>
          <w:t>APPENDIX E POTENTIAL NEW REVENUE</w:t>
        </w:r>
        <w:r w:rsidR="007B0F40">
          <w:rPr>
            <w:webHidden/>
          </w:rPr>
          <w:tab/>
        </w:r>
        <w:r w:rsidR="00426CC0">
          <w:rPr>
            <w:webHidden/>
          </w:rPr>
          <w:fldChar w:fldCharType="begin"/>
        </w:r>
        <w:r w:rsidR="007B0F40">
          <w:rPr>
            <w:webHidden/>
          </w:rPr>
          <w:instrText xml:space="preserve"> PAGEREF _Toc359933725 \h </w:instrText>
        </w:r>
        <w:r w:rsidR="00426CC0">
          <w:rPr>
            <w:webHidden/>
          </w:rPr>
        </w:r>
        <w:r w:rsidR="00426CC0">
          <w:rPr>
            <w:webHidden/>
          </w:rPr>
          <w:fldChar w:fldCharType="separate"/>
        </w:r>
        <w:r w:rsidR="007B0F40">
          <w:rPr>
            <w:webHidden/>
          </w:rPr>
          <w:t>52</w:t>
        </w:r>
        <w:r w:rsidR="00426CC0">
          <w:rPr>
            <w:webHidden/>
          </w:rPr>
          <w:fldChar w:fldCharType="end"/>
        </w:r>
      </w:hyperlink>
    </w:p>
    <w:p w:rsidR="00FF2510" w:rsidRPr="00B57C42" w:rsidRDefault="00426CC0" w:rsidP="00B57C42">
      <w:pPr>
        <w:rPr>
          <w:b/>
          <w:bCs/>
          <w:caps/>
          <w:color w:val="000000"/>
          <w:sz w:val="22"/>
          <w:szCs w:val="22"/>
        </w:rPr>
      </w:pPr>
      <w:r>
        <w:fldChar w:fldCharType="end"/>
      </w:r>
      <w:r w:rsidR="00144DB5">
        <w:br w:type="page"/>
      </w:r>
    </w:p>
    <w:p w:rsidR="000C7D65" w:rsidRDefault="000C7D65" w:rsidP="00DD66DC">
      <w:pPr>
        <w:jc w:val="center"/>
        <w:sectPr w:rsidR="000C7D65" w:rsidSect="00F436FD">
          <w:headerReference w:type="default" r:id="rId23"/>
          <w:footerReference w:type="even" r:id="rId24"/>
          <w:footerReference w:type="default" r:id="rId25"/>
          <w:pgSz w:w="12240" w:h="15840" w:code="1"/>
          <w:pgMar w:top="1440" w:right="1440" w:bottom="634" w:left="1440" w:header="720" w:footer="720" w:gutter="0"/>
          <w:pgBorders w:offsetFrom="page">
            <w:top w:val="single" w:sz="4" w:space="24" w:color="00008C"/>
            <w:left w:val="single" w:sz="4" w:space="24" w:color="00008C"/>
            <w:bottom w:val="single" w:sz="4" w:space="24" w:color="00008C"/>
            <w:right w:val="single" w:sz="4" w:space="24" w:color="00008C"/>
          </w:pgBorders>
          <w:cols w:space="720"/>
          <w:titlePg/>
          <w:docGrid w:linePitch="360"/>
        </w:sectPr>
      </w:pPr>
    </w:p>
    <w:p w:rsidR="005238E0" w:rsidRPr="002B44E1" w:rsidRDefault="00CB322F" w:rsidP="00DD66DC">
      <w:pPr>
        <w:jc w:val="center"/>
        <w:rPr>
          <w:sz w:val="22"/>
          <w:szCs w:val="22"/>
        </w:rPr>
      </w:pPr>
      <w:hyperlink w:anchor="Table_of_Contents" w:history="1">
        <w:bookmarkStart w:id="17" w:name="_Toc352584356"/>
        <w:bookmarkStart w:id="18" w:name="_Toc359933691"/>
        <w:r w:rsidR="00861365" w:rsidRPr="00126C36">
          <w:rPr>
            <w:rStyle w:val="TOC1Char"/>
          </w:rPr>
          <w:t>Letter from the Chairs</w:t>
        </w:r>
        <w:bookmarkEnd w:id="17"/>
        <w:bookmarkEnd w:id="18"/>
        <w:r w:rsidR="00861365" w:rsidRPr="00126C36">
          <w:rPr>
            <w:rStyle w:val="Hyperlink"/>
            <w:sz w:val="22"/>
            <w:szCs w:val="22"/>
          </w:rPr>
          <w:t xml:space="preserve"> </w:t>
        </w:r>
        <w:r w:rsidR="00861365" w:rsidRPr="00126C36">
          <w:rPr>
            <w:rStyle w:val="Hyperlink"/>
            <w:b/>
            <w:smallCaps/>
            <w:sz w:val="28"/>
          </w:rPr>
          <w:t>of the Joint City/County Affordable Housing Task Force</w:t>
        </w:r>
      </w:hyperlink>
    </w:p>
    <w:p w:rsidR="00EC15BE" w:rsidRDefault="00EC15BE" w:rsidP="00DD66DC">
      <w:pPr>
        <w:jc w:val="both"/>
        <w:rPr>
          <w:sz w:val="22"/>
          <w:szCs w:val="22"/>
        </w:rPr>
      </w:pPr>
    </w:p>
    <w:p w:rsidR="00D6229F" w:rsidRPr="00054727" w:rsidRDefault="005D71EA" w:rsidP="00DD66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rPr>
      </w:pPr>
      <w:r w:rsidRPr="005D71EA">
        <w:rPr>
          <w:sz w:val="22"/>
          <w:szCs w:val="22"/>
        </w:rPr>
        <w:t>The availability of housing is of vital importance</w:t>
      </w:r>
      <w:r w:rsidR="00BC525E">
        <w:rPr>
          <w:sz w:val="22"/>
          <w:szCs w:val="22"/>
        </w:rPr>
        <w:t xml:space="preserve"> in Napa County</w:t>
      </w:r>
      <w:r w:rsidRPr="005D71EA">
        <w:rPr>
          <w:sz w:val="22"/>
          <w:szCs w:val="22"/>
        </w:rPr>
        <w:t>,</w:t>
      </w:r>
      <w:r w:rsidR="00BC525E">
        <w:rPr>
          <w:sz w:val="22"/>
          <w:szCs w:val="22"/>
        </w:rPr>
        <w:t xml:space="preserve"> and the early attainment </w:t>
      </w:r>
      <w:r w:rsidRPr="005D71EA">
        <w:rPr>
          <w:sz w:val="22"/>
          <w:szCs w:val="22"/>
        </w:rPr>
        <w:t xml:space="preserve">of this goal requires the </w:t>
      </w:r>
      <w:r w:rsidRPr="00054727">
        <w:rPr>
          <w:sz w:val="22"/>
          <w:szCs w:val="22"/>
        </w:rPr>
        <w:t>cooperative</w:t>
      </w:r>
      <w:r w:rsidR="00BC525E" w:rsidRPr="00054727">
        <w:rPr>
          <w:sz w:val="22"/>
          <w:szCs w:val="22"/>
        </w:rPr>
        <w:t xml:space="preserve"> </w:t>
      </w:r>
      <w:r w:rsidRPr="00054727">
        <w:rPr>
          <w:sz w:val="22"/>
          <w:szCs w:val="22"/>
        </w:rPr>
        <w:t xml:space="preserve">participation of </w:t>
      </w:r>
      <w:r w:rsidR="00BC525E" w:rsidRPr="00054727">
        <w:rPr>
          <w:sz w:val="22"/>
          <w:szCs w:val="22"/>
        </w:rPr>
        <w:t>government</w:t>
      </w:r>
      <w:r w:rsidRPr="00054727">
        <w:rPr>
          <w:sz w:val="22"/>
          <w:szCs w:val="22"/>
        </w:rPr>
        <w:t xml:space="preserve"> and the private sector to</w:t>
      </w:r>
      <w:r w:rsidR="00BC525E" w:rsidRPr="00054727">
        <w:rPr>
          <w:sz w:val="22"/>
          <w:szCs w:val="22"/>
        </w:rPr>
        <w:t xml:space="preserve"> </w:t>
      </w:r>
      <w:r w:rsidRPr="00054727">
        <w:rPr>
          <w:sz w:val="22"/>
          <w:szCs w:val="22"/>
        </w:rPr>
        <w:t>expand housing opportunities and accommodate the housing needs of</w:t>
      </w:r>
      <w:r w:rsidR="00BC525E" w:rsidRPr="00054727">
        <w:rPr>
          <w:sz w:val="22"/>
          <w:szCs w:val="22"/>
        </w:rPr>
        <w:t xml:space="preserve"> area residents</w:t>
      </w:r>
      <w:r w:rsidRPr="00054727">
        <w:rPr>
          <w:sz w:val="22"/>
          <w:szCs w:val="22"/>
        </w:rPr>
        <w:t xml:space="preserve"> of all economic</w:t>
      </w:r>
      <w:r w:rsidR="00BC525E" w:rsidRPr="00054727">
        <w:rPr>
          <w:sz w:val="22"/>
          <w:szCs w:val="22"/>
        </w:rPr>
        <w:t xml:space="preserve"> segments of the community</w:t>
      </w:r>
      <w:r w:rsidRPr="00054727">
        <w:rPr>
          <w:sz w:val="22"/>
          <w:szCs w:val="22"/>
        </w:rPr>
        <w:t>.</w:t>
      </w:r>
      <w:r w:rsidR="00BC525E" w:rsidRPr="00054727">
        <w:rPr>
          <w:sz w:val="22"/>
          <w:szCs w:val="22"/>
        </w:rPr>
        <w:t xml:space="preserve"> In recognition of this goal, </w:t>
      </w:r>
      <w:r w:rsidR="005238E0" w:rsidRPr="00054727">
        <w:rPr>
          <w:sz w:val="22"/>
          <w:szCs w:val="22"/>
        </w:rPr>
        <w:t>Napa County’s</w:t>
      </w:r>
      <w:r w:rsidR="000A6D20" w:rsidRPr="00054727">
        <w:rPr>
          <w:sz w:val="22"/>
          <w:szCs w:val="22"/>
        </w:rPr>
        <w:t xml:space="preserve"> need for affordable housing is collectively supported in adopted policy documents</w:t>
      </w:r>
      <w:r w:rsidR="00321B97">
        <w:rPr>
          <w:sz w:val="22"/>
          <w:szCs w:val="22"/>
        </w:rPr>
        <w:t xml:space="preserve"> such as</w:t>
      </w:r>
      <w:r w:rsidR="00BC525E" w:rsidRPr="00054727">
        <w:rPr>
          <w:sz w:val="22"/>
          <w:szCs w:val="22"/>
        </w:rPr>
        <w:t>:</w:t>
      </w:r>
    </w:p>
    <w:p w:rsidR="00BC525E" w:rsidRDefault="00BC525E" w:rsidP="00BC525E">
      <w:pPr>
        <w:pStyle w:val="yiv1262298506msolistparagraph"/>
        <w:ind w:left="720" w:right="720"/>
        <w:jc w:val="both"/>
        <w:rPr>
          <w:i/>
          <w:color w:val="000000"/>
          <w:sz w:val="22"/>
          <w:szCs w:val="22"/>
        </w:rPr>
      </w:pPr>
      <w:r w:rsidRPr="00054727">
        <w:rPr>
          <w:i/>
          <w:color w:val="000000"/>
          <w:sz w:val="22"/>
          <w:szCs w:val="22"/>
        </w:rPr>
        <w:t>The City of Napa is committed to working with other agencies and non-profit organizations to maximize af</w:t>
      </w:r>
      <w:r w:rsidR="00FA1869" w:rsidRPr="00054727">
        <w:rPr>
          <w:i/>
          <w:color w:val="000000"/>
          <w:sz w:val="22"/>
          <w:szCs w:val="22"/>
        </w:rPr>
        <w:t>fordable housing opportunities, and the City continues to make it a top priority to balance and promote housing opportunities to meet the needs of the workforce in Napa.</w:t>
      </w:r>
      <w:r w:rsidRPr="00054727">
        <w:rPr>
          <w:i/>
          <w:color w:val="000000"/>
          <w:sz w:val="22"/>
          <w:szCs w:val="22"/>
        </w:rPr>
        <w:t xml:space="preserve"> (</w:t>
      </w:r>
      <w:r w:rsidR="00FA1869" w:rsidRPr="00054727">
        <w:rPr>
          <w:i/>
          <w:color w:val="000000"/>
          <w:sz w:val="22"/>
          <w:szCs w:val="22"/>
        </w:rPr>
        <w:t>City of Napa Housing Element</w:t>
      </w:r>
      <w:r w:rsidRPr="00054727">
        <w:rPr>
          <w:i/>
          <w:color w:val="000000"/>
          <w:sz w:val="22"/>
          <w:szCs w:val="22"/>
        </w:rPr>
        <w:t>)</w:t>
      </w:r>
    </w:p>
    <w:p w:rsidR="009B0C1E" w:rsidRPr="00054727" w:rsidRDefault="009B0C1E" w:rsidP="00BC525E">
      <w:pPr>
        <w:pStyle w:val="yiv1262298506msolistparagraph"/>
        <w:ind w:left="720" w:right="720"/>
        <w:jc w:val="both"/>
        <w:rPr>
          <w:i/>
          <w:color w:val="000000"/>
          <w:sz w:val="22"/>
          <w:szCs w:val="22"/>
        </w:rPr>
      </w:pPr>
      <w:r>
        <w:rPr>
          <w:i/>
          <w:color w:val="000000"/>
          <w:sz w:val="22"/>
          <w:szCs w:val="22"/>
        </w:rPr>
        <w:t>The City of American Canyon intends to provide for housing in an amount sufficient to accommodate the City’s fair share of projected growth, and to facilitate mobility within the ownership and rental markets. (City of American Canyon Housing Element)</w:t>
      </w:r>
    </w:p>
    <w:p w:rsidR="00D6229F" w:rsidRPr="00054727" w:rsidRDefault="00247AE4" w:rsidP="00247AE4">
      <w:pPr>
        <w:spacing w:after="200" w:line="276" w:lineRule="auto"/>
        <w:ind w:left="720"/>
        <w:jc w:val="both"/>
        <w:rPr>
          <w:i/>
          <w:sz w:val="22"/>
          <w:szCs w:val="22"/>
        </w:rPr>
      </w:pPr>
      <w:r>
        <w:rPr>
          <w:i/>
          <w:sz w:val="22"/>
          <w:szCs w:val="22"/>
        </w:rPr>
        <w:t xml:space="preserve">The </w:t>
      </w:r>
      <w:r w:rsidR="00E43976">
        <w:rPr>
          <w:i/>
          <w:sz w:val="22"/>
          <w:szCs w:val="22"/>
        </w:rPr>
        <w:t>C</w:t>
      </w:r>
      <w:r>
        <w:rPr>
          <w:i/>
          <w:sz w:val="22"/>
          <w:szCs w:val="22"/>
        </w:rPr>
        <w:t>ounty of Napa will plan for the housing needs of all economic segments of the population residing in unincorporated Napa County and will coordinate non residential and residential goals, policies to direct growth to urbanized areas, preserve agricultural lands and maintain a County wide jobs/housing balance</w:t>
      </w:r>
      <w:r w:rsidR="00321B97">
        <w:rPr>
          <w:i/>
          <w:sz w:val="22"/>
          <w:szCs w:val="22"/>
        </w:rPr>
        <w:t>.</w:t>
      </w:r>
      <w:r w:rsidR="00321B97" w:rsidRPr="00321B97">
        <w:t xml:space="preserve"> </w:t>
      </w:r>
      <w:r w:rsidR="00321B97" w:rsidRPr="0024556E">
        <w:rPr>
          <w:i/>
          <w:sz w:val="22"/>
          <w:szCs w:val="22"/>
        </w:rPr>
        <w:t>(</w:t>
      </w:r>
      <w:r w:rsidR="00E43976" w:rsidRPr="0024556E">
        <w:rPr>
          <w:i/>
          <w:sz w:val="22"/>
          <w:szCs w:val="22"/>
        </w:rPr>
        <w:t>County of Napa</w:t>
      </w:r>
      <w:r w:rsidR="00321B97" w:rsidRPr="0024556E">
        <w:rPr>
          <w:i/>
          <w:sz w:val="22"/>
          <w:szCs w:val="22"/>
        </w:rPr>
        <w:t xml:space="preserve"> Housing Element)</w:t>
      </w:r>
    </w:p>
    <w:p w:rsidR="00FA1869" w:rsidRPr="002B44E1" w:rsidRDefault="00FA1869" w:rsidP="00FA1869">
      <w:pPr>
        <w:spacing w:after="200" w:line="276" w:lineRule="auto"/>
        <w:jc w:val="both"/>
        <w:rPr>
          <w:sz w:val="22"/>
          <w:szCs w:val="22"/>
        </w:rPr>
      </w:pPr>
      <w:r w:rsidRPr="00054727">
        <w:rPr>
          <w:sz w:val="22"/>
          <w:szCs w:val="22"/>
        </w:rPr>
        <w:t>Despite the support from local government, challenges to affordable living in the Napa County region remain. To provide context to</w:t>
      </w:r>
      <w:r>
        <w:rPr>
          <w:sz w:val="22"/>
          <w:szCs w:val="22"/>
        </w:rPr>
        <w:t xml:space="preserve"> these challenges, a</w:t>
      </w:r>
      <w:r w:rsidRPr="002B44E1">
        <w:rPr>
          <w:sz w:val="22"/>
          <w:szCs w:val="22"/>
        </w:rPr>
        <w:t xml:space="preserve">n estimated </w:t>
      </w:r>
      <w:r w:rsidRPr="001237A6">
        <w:rPr>
          <w:sz w:val="22"/>
          <w:szCs w:val="22"/>
        </w:rPr>
        <w:t>29,000</w:t>
      </w:r>
      <w:r w:rsidRPr="002B44E1">
        <w:rPr>
          <w:sz w:val="22"/>
          <w:szCs w:val="22"/>
        </w:rPr>
        <w:t xml:space="preserve"> workers commute daily into the County</w:t>
      </w:r>
      <w:r>
        <w:rPr>
          <w:sz w:val="22"/>
          <w:szCs w:val="22"/>
        </w:rPr>
        <w:t>, many of whom are in need of affordable housing</w:t>
      </w:r>
      <w:r w:rsidRPr="002B44E1">
        <w:rPr>
          <w:sz w:val="22"/>
          <w:szCs w:val="22"/>
        </w:rPr>
        <w:t xml:space="preserve">, </w:t>
      </w:r>
      <w:r>
        <w:rPr>
          <w:sz w:val="22"/>
          <w:szCs w:val="22"/>
        </w:rPr>
        <w:t xml:space="preserve">but only </w:t>
      </w:r>
      <w:r w:rsidR="006C70E0">
        <w:rPr>
          <w:sz w:val="22"/>
          <w:szCs w:val="22"/>
        </w:rPr>
        <w:t>628</w:t>
      </w:r>
      <w:r>
        <w:rPr>
          <w:sz w:val="22"/>
          <w:szCs w:val="22"/>
        </w:rPr>
        <w:t xml:space="preserve"> units of affordable housing ha</w:t>
      </w:r>
      <w:r w:rsidR="006C70E0">
        <w:rPr>
          <w:sz w:val="22"/>
          <w:szCs w:val="22"/>
        </w:rPr>
        <w:t>ve</w:t>
      </w:r>
      <w:r>
        <w:rPr>
          <w:sz w:val="22"/>
          <w:szCs w:val="22"/>
        </w:rPr>
        <w:t xml:space="preserve"> been built in the County over the </w:t>
      </w:r>
      <w:r w:rsidR="00AA0DFD">
        <w:rPr>
          <w:sz w:val="22"/>
          <w:szCs w:val="22"/>
        </w:rPr>
        <w:t>last</w:t>
      </w:r>
      <w:r>
        <w:rPr>
          <w:sz w:val="22"/>
          <w:szCs w:val="22"/>
        </w:rPr>
        <w:t xml:space="preserve"> decade. Additionally, the</w:t>
      </w:r>
      <w:r w:rsidRPr="002B44E1">
        <w:rPr>
          <w:sz w:val="22"/>
          <w:szCs w:val="22"/>
        </w:rPr>
        <w:t xml:space="preserve"> income required </w:t>
      </w:r>
      <w:r w:rsidR="00AA0DFD">
        <w:rPr>
          <w:sz w:val="22"/>
          <w:szCs w:val="22"/>
        </w:rPr>
        <w:t xml:space="preserve">to </w:t>
      </w:r>
      <w:r w:rsidRPr="002B44E1">
        <w:rPr>
          <w:sz w:val="22"/>
          <w:szCs w:val="22"/>
        </w:rPr>
        <w:t xml:space="preserve">rent in Napa County exceeds the </w:t>
      </w:r>
      <w:r w:rsidR="003B3DB2">
        <w:rPr>
          <w:sz w:val="22"/>
          <w:szCs w:val="22"/>
        </w:rPr>
        <w:t xml:space="preserve">household </w:t>
      </w:r>
      <w:r w:rsidRPr="002B44E1">
        <w:rPr>
          <w:sz w:val="22"/>
          <w:szCs w:val="22"/>
        </w:rPr>
        <w:t xml:space="preserve">income of </w:t>
      </w:r>
      <w:r w:rsidR="000657C4">
        <w:rPr>
          <w:sz w:val="22"/>
          <w:szCs w:val="22"/>
        </w:rPr>
        <w:t>37</w:t>
      </w:r>
      <w:r w:rsidR="00357FC0" w:rsidRPr="003B3DB2">
        <w:rPr>
          <w:sz w:val="22"/>
          <w:szCs w:val="22"/>
        </w:rPr>
        <w:t>%</w:t>
      </w:r>
      <w:r w:rsidR="00357FC0">
        <w:rPr>
          <w:sz w:val="22"/>
          <w:szCs w:val="22"/>
        </w:rPr>
        <w:t xml:space="preserve"> of households, including </w:t>
      </w:r>
      <w:r w:rsidRPr="002B44E1">
        <w:rPr>
          <w:sz w:val="22"/>
          <w:szCs w:val="22"/>
        </w:rPr>
        <w:t xml:space="preserve">paramedics and preschool teachers. </w:t>
      </w:r>
      <w:r w:rsidR="003B3DB2">
        <w:rPr>
          <w:sz w:val="22"/>
          <w:szCs w:val="22"/>
        </w:rPr>
        <w:t xml:space="preserve">The income required to purchase a home exceeds the household income of </w:t>
      </w:r>
      <w:r w:rsidR="006C70E0">
        <w:rPr>
          <w:sz w:val="22"/>
          <w:szCs w:val="22"/>
        </w:rPr>
        <w:t>54</w:t>
      </w:r>
      <w:r w:rsidR="000657C4">
        <w:rPr>
          <w:sz w:val="22"/>
          <w:szCs w:val="22"/>
        </w:rPr>
        <w:t xml:space="preserve">% of households, including </w:t>
      </w:r>
      <w:r w:rsidR="006C70E0">
        <w:rPr>
          <w:sz w:val="22"/>
          <w:szCs w:val="22"/>
        </w:rPr>
        <w:t xml:space="preserve">mail carriers and teachers. </w:t>
      </w:r>
      <w:r w:rsidRPr="002B44E1">
        <w:rPr>
          <w:sz w:val="22"/>
          <w:szCs w:val="22"/>
        </w:rPr>
        <w:t xml:space="preserve">There </w:t>
      </w:r>
      <w:r w:rsidR="00357FC0">
        <w:rPr>
          <w:sz w:val="22"/>
          <w:szCs w:val="22"/>
        </w:rPr>
        <w:t xml:space="preserve">are also </w:t>
      </w:r>
      <w:r w:rsidR="00AA0DFD">
        <w:rPr>
          <w:sz w:val="22"/>
          <w:szCs w:val="22"/>
        </w:rPr>
        <w:t xml:space="preserve">over </w:t>
      </w:r>
      <w:r w:rsidR="000B263E">
        <w:rPr>
          <w:sz w:val="22"/>
          <w:szCs w:val="22"/>
        </w:rPr>
        <w:t>9,450</w:t>
      </w:r>
      <w:r w:rsidR="00AA0DFD">
        <w:rPr>
          <w:sz w:val="22"/>
          <w:szCs w:val="22"/>
        </w:rPr>
        <w:t xml:space="preserve"> individuals</w:t>
      </w:r>
      <w:r w:rsidR="000B263E">
        <w:rPr>
          <w:sz w:val="22"/>
          <w:szCs w:val="22"/>
        </w:rPr>
        <w:t xml:space="preserve"> </w:t>
      </w:r>
      <w:r w:rsidR="00AA0DFD">
        <w:rPr>
          <w:sz w:val="22"/>
          <w:szCs w:val="22"/>
        </w:rPr>
        <w:t xml:space="preserve">on the </w:t>
      </w:r>
      <w:r w:rsidRPr="002B44E1">
        <w:rPr>
          <w:sz w:val="22"/>
          <w:szCs w:val="22"/>
        </w:rPr>
        <w:t>waiting list to receive Section 8 housing rental assistance</w:t>
      </w:r>
      <w:r w:rsidR="00357FC0">
        <w:rPr>
          <w:sz w:val="22"/>
          <w:szCs w:val="22"/>
        </w:rPr>
        <w:t>,</w:t>
      </w:r>
      <w:r>
        <w:rPr>
          <w:sz w:val="22"/>
          <w:szCs w:val="22"/>
        </w:rPr>
        <w:t xml:space="preserve"> and approximately</w:t>
      </w:r>
      <w:r w:rsidRPr="002B44E1">
        <w:rPr>
          <w:sz w:val="22"/>
          <w:szCs w:val="22"/>
        </w:rPr>
        <w:t xml:space="preserve"> 1,500 individuals in Napa County are estimated to be homeless or at risk of becoming homeless.</w:t>
      </w:r>
    </w:p>
    <w:p w:rsidR="005238E0" w:rsidRPr="002B44E1" w:rsidRDefault="005238E0" w:rsidP="00D72CDD">
      <w:pPr>
        <w:spacing w:after="200" w:line="276" w:lineRule="auto"/>
        <w:jc w:val="both"/>
        <w:rPr>
          <w:sz w:val="22"/>
          <w:szCs w:val="22"/>
        </w:rPr>
      </w:pPr>
      <w:r w:rsidRPr="002B44E1">
        <w:rPr>
          <w:sz w:val="22"/>
          <w:szCs w:val="22"/>
        </w:rPr>
        <w:t xml:space="preserve">Many people cannot live in the </w:t>
      </w:r>
      <w:r w:rsidR="001228B4" w:rsidRPr="002B44E1">
        <w:rPr>
          <w:sz w:val="22"/>
          <w:szCs w:val="22"/>
        </w:rPr>
        <w:t>C</w:t>
      </w:r>
      <w:r w:rsidRPr="002B44E1">
        <w:rPr>
          <w:sz w:val="22"/>
          <w:szCs w:val="22"/>
        </w:rPr>
        <w:t>ounty because th</w:t>
      </w:r>
      <w:r w:rsidR="00126C36">
        <w:rPr>
          <w:sz w:val="22"/>
          <w:szCs w:val="22"/>
        </w:rPr>
        <w:t xml:space="preserve">e cost of housing is too high. </w:t>
      </w:r>
      <w:r w:rsidRPr="002B44E1">
        <w:rPr>
          <w:sz w:val="22"/>
          <w:szCs w:val="22"/>
        </w:rPr>
        <w:t>According to a report released by the Napa County Transportation and Planning Agency</w:t>
      </w:r>
      <w:r w:rsidR="003E61E3" w:rsidRPr="002B44E1">
        <w:rPr>
          <w:sz w:val="22"/>
          <w:szCs w:val="22"/>
        </w:rPr>
        <w:t>:</w:t>
      </w:r>
    </w:p>
    <w:p w:rsidR="005238E0" w:rsidRPr="00054727" w:rsidRDefault="005238E0" w:rsidP="00357FC0">
      <w:pPr>
        <w:spacing w:after="200" w:line="276" w:lineRule="auto"/>
        <w:ind w:left="720" w:right="720"/>
        <w:jc w:val="both"/>
        <w:rPr>
          <w:i/>
          <w:sz w:val="22"/>
          <w:szCs w:val="22"/>
        </w:rPr>
      </w:pPr>
      <w:r w:rsidRPr="00054727">
        <w:rPr>
          <w:i/>
          <w:sz w:val="22"/>
          <w:szCs w:val="22"/>
        </w:rPr>
        <w:t>The most energetic job growth in the County has been, and will continue to be, at the lower end of the wage scale servicing the agriculture, hospitality and retail business sectors. Over the next ten years, more than 60 percent of the fastest growing job sectors will pay below $14.50/h</w:t>
      </w:r>
      <w:r w:rsidR="00507907" w:rsidRPr="00054727">
        <w:rPr>
          <w:i/>
          <w:sz w:val="22"/>
          <w:szCs w:val="22"/>
        </w:rPr>
        <w:t>ou</w:t>
      </w:r>
      <w:r w:rsidRPr="00054727">
        <w:rPr>
          <w:i/>
          <w:sz w:val="22"/>
          <w:szCs w:val="22"/>
        </w:rPr>
        <w:t>r, a minimum “living wage” for two adults and two young children.</w:t>
      </w:r>
      <w:r w:rsidRPr="00054727">
        <w:rPr>
          <w:i/>
          <w:sz w:val="20"/>
          <w:szCs w:val="22"/>
          <w:vertAlign w:val="superscript"/>
        </w:rPr>
        <w:footnoteReference w:id="1"/>
      </w:r>
      <w:r w:rsidRPr="00054727">
        <w:rPr>
          <w:i/>
          <w:sz w:val="22"/>
          <w:szCs w:val="22"/>
        </w:rPr>
        <w:t xml:space="preserve">  </w:t>
      </w:r>
    </w:p>
    <w:p w:rsidR="005238E0" w:rsidRPr="002B44E1" w:rsidRDefault="005238E0" w:rsidP="00D72CDD">
      <w:pPr>
        <w:spacing w:after="200" w:line="276" w:lineRule="auto"/>
        <w:jc w:val="both"/>
        <w:rPr>
          <w:sz w:val="22"/>
          <w:szCs w:val="22"/>
        </w:rPr>
      </w:pPr>
      <w:r w:rsidRPr="002B44E1">
        <w:rPr>
          <w:sz w:val="22"/>
          <w:szCs w:val="22"/>
        </w:rPr>
        <w:t xml:space="preserve">With housing costs significantly lower in Solano and Lake Counties, increasing numbers of lower-income Napa </w:t>
      </w:r>
      <w:r w:rsidR="00403509" w:rsidRPr="002B44E1">
        <w:rPr>
          <w:sz w:val="22"/>
          <w:szCs w:val="22"/>
        </w:rPr>
        <w:t xml:space="preserve">hospitality and retail </w:t>
      </w:r>
      <w:r w:rsidRPr="002B44E1">
        <w:rPr>
          <w:sz w:val="22"/>
          <w:szCs w:val="22"/>
        </w:rPr>
        <w:t xml:space="preserve">workers will </w:t>
      </w:r>
      <w:r w:rsidR="001228B4" w:rsidRPr="002B44E1">
        <w:rPr>
          <w:sz w:val="22"/>
          <w:szCs w:val="22"/>
        </w:rPr>
        <w:t xml:space="preserve">likely </w:t>
      </w:r>
      <w:r w:rsidR="00357FC0">
        <w:rPr>
          <w:sz w:val="22"/>
          <w:szCs w:val="22"/>
        </w:rPr>
        <w:t>continue to</w:t>
      </w:r>
      <w:r w:rsidRPr="002B44E1">
        <w:rPr>
          <w:sz w:val="22"/>
          <w:szCs w:val="22"/>
        </w:rPr>
        <w:t xml:space="preserve"> commute to </w:t>
      </w:r>
      <w:r w:rsidR="003E61E3" w:rsidRPr="002B44E1">
        <w:rPr>
          <w:sz w:val="22"/>
          <w:szCs w:val="22"/>
        </w:rPr>
        <w:t xml:space="preserve">these new </w:t>
      </w:r>
      <w:r w:rsidRPr="002B44E1">
        <w:rPr>
          <w:sz w:val="22"/>
          <w:szCs w:val="22"/>
        </w:rPr>
        <w:t>jobs</w:t>
      </w:r>
      <w:r w:rsidR="00357FC0">
        <w:rPr>
          <w:sz w:val="22"/>
          <w:szCs w:val="22"/>
        </w:rPr>
        <w:t xml:space="preserve"> in Napa County</w:t>
      </w:r>
      <w:r w:rsidRPr="002B44E1">
        <w:rPr>
          <w:sz w:val="22"/>
          <w:szCs w:val="22"/>
        </w:rPr>
        <w:t>.</w:t>
      </w:r>
    </w:p>
    <w:p w:rsidR="005238E0" w:rsidRPr="002B44E1" w:rsidRDefault="005238E0" w:rsidP="00D72CDD">
      <w:pPr>
        <w:spacing w:after="200" w:line="276" w:lineRule="auto"/>
        <w:jc w:val="both"/>
        <w:rPr>
          <w:sz w:val="22"/>
          <w:szCs w:val="22"/>
        </w:rPr>
      </w:pPr>
      <w:r w:rsidRPr="002B44E1">
        <w:rPr>
          <w:sz w:val="22"/>
          <w:szCs w:val="22"/>
        </w:rPr>
        <w:lastRenderedPageBreak/>
        <w:t xml:space="preserve">Recognizing the need to address </w:t>
      </w:r>
      <w:r w:rsidR="00403509" w:rsidRPr="002B44E1">
        <w:rPr>
          <w:sz w:val="22"/>
          <w:szCs w:val="22"/>
        </w:rPr>
        <w:t>th</w:t>
      </w:r>
      <w:r w:rsidR="00403509">
        <w:rPr>
          <w:sz w:val="22"/>
          <w:szCs w:val="22"/>
        </w:rPr>
        <w:t>ese</w:t>
      </w:r>
      <w:r w:rsidR="00403509" w:rsidRPr="002B44E1">
        <w:rPr>
          <w:sz w:val="22"/>
          <w:szCs w:val="22"/>
        </w:rPr>
        <w:t xml:space="preserve"> </w:t>
      </w:r>
      <w:r w:rsidRPr="002B44E1">
        <w:rPr>
          <w:sz w:val="22"/>
          <w:szCs w:val="22"/>
        </w:rPr>
        <w:t>issue</w:t>
      </w:r>
      <w:r w:rsidR="00403509">
        <w:rPr>
          <w:sz w:val="22"/>
          <w:szCs w:val="22"/>
        </w:rPr>
        <w:t>s</w:t>
      </w:r>
      <w:r w:rsidRPr="002B44E1">
        <w:rPr>
          <w:sz w:val="22"/>
          <w:szCs w:val="22"/>
        </w:rPr>
        <w:t xml:space="preserve">, the City </w:t>
      </w:r>
      <w:r w:rsidR="00476195" w:rsidRPr="002B44E1">
        <w:rPr>
          <w:sz w:val="22"/>
          <w:szCs w:val="22"/>
        </w:rPr>
        <w:t>of Napa, County of Napa, and the City of American Canyon</w:t>
      </w:r>
      <w:r w:rsidRPr="002B44E1">
        <w:rPr>
          <w:sz w:val="22"/>
          <w:szCs w:val="22"/>
        </w:rPr>
        <w:t xml:space="preserve"> partnered </w:t>
      </w:r>
      <w:r w:rsidR="006D414C">
        <w:rPr>
          <w:sz w:val="22"/>
          <w:szCs w:val="22"/>
        </w:rPr>
        <w:t xml:space="preserve">in </w:t>
      </w:r>
      <w:r w:rsidR="00DB202C">
        <w:rPr>
          <w:sz w:val="22"/>
          <w:szCs w:val="22"/>
        </w:rPr>
        <w:t xml:space="preserve">spring </w:t>
      </w:r>
      <w:r w:rsidR="006D414C">
        <w:rPr>
          <w:sz w:val="22"/>
          <w:szCs w:val="22"/>
        </w:rPr>
        <w:t xml:space="preserve">2012 </w:t>
      </w:r>
      <w:r w:rsidRPr="002B44E1">
        <w:rPr>
          <w:sz w:val="22"/>
          <w:szCs w:val="22"/>
        </w:rPr>
        <w:t xml:space="preserve">to create a Joint </w:t>
      </w:r>
      <w:r w:rsidR="00E76B83" w:rsidRPr="002B44E1">
        <w:rPr>
          <w:sz w:val="22"/>
          <w:szCs w:val="22"/>
        </w:rPr>
        <w:t>City/County</w:t>
      </w:r>
      <w:r w:rsidRPr="002B44E1">
        <w:rPr>
          <w:sz w:val="22"/>
          <w:szCs w:val="22"/>
        </w:rPr>
        <w:t xml:space="preserve"> Affordable Housing Task Force</w:t>
      </w:r>
      <w:r w:rsidR="002B44E1">
        <w:rPr>
          <w:sz w:val="22"/>
          <w:szCs w:val="22"/>
        </w:rPr>
        <w:t xml:space="preserve"> (“</w:t>
      </w:r>
      <w:r w:rsidR="000A6687" w:rsidRPr="002B44E1">
        <w:rPr>
          <w:sz w:val="22"/>
          <w:szCs w:val="22"/>
        </w:rPr>
        <w:t>Task Force”</w:t>
      </w:r>
      <w:r w:rsidR="00357FC0">
        <w:rPr>
          <w:sz w:val="22"/>
          <w:szCs w:val="22"/>
        </w:rPr>
        <w:t xml:space="preserve"> or “Housing Task Force”</w:t>
      </w:r>
      <w:r w:rsidR="000A6687" w:rsidRPr="002B44E1">
        <w:rPr>
          <w:sz w:val="22"/>
          <w:szCs w:val="22"/>
        </w:rPr>
        <w:t>)</w:t>
      </w:r>
      <w:r w:rsidR="0003040E">
        <w:rPr>
          <w:sz w:val="22"/>
          <w:szCs w:val="22"/>
        </w:rPr>
        <w:t xml:space="preserve">. </w:t>
      </w:r>
      <w:r w:rsidRPr="002B44E1">
        <w:rPr>
          <w:sz w:val="22"/>
          <w:szCs w:val="22"/>
        </w:rPr>
        <w:t>Including representatives from the development, business, and agricultural communities, as well as environmental and affordable hous</w:t>
      </w:r>
      <w:r w:rsidR="00E76B83" w:rsidRPr="002B44E1">
        <w:rPr>
          <w:sz w:val="22"/>
          <w:szCs w:val="22"/>
        </w:rPr>
        <w:t xml:space="preserve">ing advocates, the </w:t>
      </w:r>
      <w:r w:rsidR="00126C36">
        <w:rPr>
          <w:sz w:val="22"/>
          <w:szCs w:val="22"/>
        </w:rPr>
        <w:t xml:space="preserve">Housing </w:t>
      </w:r>
      <w:r w:rsidR="00E76B83" w:rsidRPr="002B44E1">
        <w:rPr>
          <w:sz w:val="22"/>
          <w:szCs w:val="22"/>
        </w:rPr>
        <w:t>Task Force evaluated</w:t>
      </w:r>
      <w:r w:rsidRPr="002B44E1">
        <w:rPr>
          <w:sz w:val="22"/>
          <w:szCs w:val="22"/>
        </w:rPr>
        <w:t xml:space="preserve"> current and future opportunities for providing affordabl</w:t>
      </w:r>
      <w:r w:rsidR="0003040E">
        <w:rPr>
          <w:sz w:val="22"/>
          <w:szCs w:val="22"/>
        </w:rPr>
        <w:t>e housing within Napa County.</w:t>
      </w:r>
    </w:p>
    <w:p w:rsidR="005238E0" w:rsidRPr="002B44E1" w:rsidRDefault="005238E0" w:rsidP="00D72CDD">
      <w:pPr>
        <w:spacing w:after="200" w:line="276" w:lineRule="auto"/>
        <w:jc w:val="both"/>
        <w:rPr>
          <w:sz w:val="22"/>
          <w:szCs w:val="22"/>
        </w:rPr>
      </w:pPr>
      <w:r w:rsidRPr="002B44E1">
        <w:rPr>
          <w:sz w:val="22"/>
          <w:szCs w:val="22"/>
        </w:rPr>
        <w:t>Developing concrete goals and actio</w:t>
      </w:r>
      <w:r w:rsidR="0003040E">
        <w:rPr>
          <w:sz w:val="22"/>
          <w:szCs w:val="22"/>
        </w:rPr>
        <w:t xml:space="preserve">n steps has been no easy task. </w:t>
      </w:r>
      <w:r w:rsidRPr="002B44E1">
        <w:rPr>
          <w:sz w:val="22"/>
          <w:szCs w:val="22"/>
        </w:rPr>
        <w:t>There are numerous challenges to face</w:t>
      </w:r>
      <w:r w:rsidR="006D414C">
        <w:rPr>
          <w:sz w:val="22"/>
          <w:szCs w:val="22"/>
        </w:rPr>
        <w:t xml:space="preserve"> </w:t>
      </w:r>
      <w:r w:rsidR="00DB202C">
        <w:rPr>
          <w:sz w:val="22"/>
          <w:szCs w:val="22"/>
        </w:rPr>
        <w:t>including</w:t>
      </w:r>
      <w:r w:rsidR="006D414C">
        <w:rPr>
          <w:sz w:val="22"/>
          <w:szCs w:val="22"/>
        </w:rPr>
        <w:t xml:space="preserve"> identifying </w:t>
      </w:r>
      <w:r w:rsidRPr="002B44E1">
        <w:rPr>
          <w:sz w:val="22"/>
          <w:szCs w:val="22"/>
        </w:rPr>
        <w:t>funding</w:t>
      </w:r>
      <w:r w:rsidR="006D414C">
        <w:rPr>
          <w:sz w:val="22"/>
          <w:szCs w:val="22"/>
        </w:rPr>
        <w:t xml:space="preserve"> sources</w:t>
      </w:r>
      <w:r w:rsidRPr="002B44E1">
        <w:rPr>
          <w:sz w:val="22"/>
          <w:szCs w:val="22"/>
        </w:rPr>
        <w:t xml:space="preserve">, </w:t>
      </w:r>
      <w:r w:rsidR="006D414C">
        <w:rPr>
          <w:sz w:val="22"/>
          <w:szCs w:val="22"/>
        </w:rPr>
        <w:t xml:space="preserve">understanding </w:t>
      </w:r>
      <w:r w:rsidRPr="002B44E1">
        <w:rPr>
          <w:sz w:val="22"/>
          <w:szCs w:val="22"/>
        </w:rPr>
        <w:t xml:space="preserve">the complicated and cost-sensitive nature of affordable housing, and the </w:t>
      </w:r>
      <w:r w:rsidR="006D414C">
        <w:rPr>
          <w:sz w:val="22"/>
          <w:szCs w:val="22"/>
        </w:rPr>
        <w:t>targeting</w:t>
      </w:r>
      <w:r w:rsidRPr="002B44E1">
        <w:rPr>
          <w:sz w:val="22"/>
          <w:szCs w:val="22"/>
        </w:rPr>
        <w:t xml:space="preserve"> the appropriate housing types</w:t>
      </w:r>
      <w:r w:rsidR="006710B8" w:rsidRPr="002B44E1">
        <w:rPr>
          <w:sz w:val="22"/>
          <w:szCs w:val="22"/>
        </w:rPr>
        <w:t xml:space="preserve"> and income </w:t>
      </w:r>
      <w:r w:rsidR="006D414C">
        <w:rPr>
          <w:sz w:val="22"/>
          <w:szCs w:val="22"/>
        </w:rPr>
        <w:t xml:space="preserve">groups most in need of </w:t>
      </w:r>
      <w:r w:rsidR="006710B8" w:rsidRPr="002B44E1">
        <w:rPr>
          <w:sz w:val="22"/>
          <w:szCs w:val="22"/>
        </w:rPr>
        <w:t>affordable housing</w:t>
      </w:r>
      <w:r w:rsidRPr="002B44E1">
        <w:rPr>
          <w:sz w:val="22"/>
          <w:szCs w:val="22"/>
        </w:rPr>
        <w:t>.</w:t>
      </w:r>
    </w:p>
    <w:p w:rsidR="005238E0" w:rsidRPr="002B44E1" w:rsidRDefault="005238E0" w:rsidP="00D72CDD">
      <w:pPr>
        <w:spacing w:after="200" w:line="276" w:lineRule="auto"/>
        <w:jc w:val="both"/>
        <w:rPr>
          <w:sz w:val="22"/>
          <w:szCs w:val="22"/>
        </w:rPr>
      </w:pPr>
      <w:r w:rsidRPr="002B44E1">
        <w:rPr>
          <w:sz w:val="22"/>
          <w:szCs w:val="22"/>
        </w:rPr>
        <w:t xml:space="preserve">Affordable housing in </w:t>
      </w:r>
      <w:r w:rsidR="00321B97">
        <w:rPr>
          <w:sz w:val="22"/>
          <w:szCs w:val="22"/>
        </w:rPr>
        <w:t xml:space="preserve">Napa </w:t>
      </w:r>
      <w:r w:rsidR="00946C16">
        <w:rPr>
          <w:sz w:val="22"/>
          <w:szCs w:val="22"/>
        </w:rPr>
        <w:t>County</w:t>
      </w:r>
      <w:r w:rsidR="00946C16" w:rsidRPr="002B44E1">
        <w:rPr>
          <w:sz w:val="22"/>
          <w:szCs w:val="22"/>
        </w:rPr>
        <w:t xml:space="preserve"> </w:t>
      </w:r>
      <w:r w:rsidRPr="002B44E1">
        <w:rPr>
          <w:sz w:val="22"/>
          <w:szCs w:val="22"/>
        </w:rPr>
        <w:t>has historically been funded in major part through impact fees paid by both residential and commercial development, leveraged with funding from other sources such as State and Federal programs</w:t>
      </w:r>
      <w:r w:rsidR="009557DE">
        <w:rPr>
          <w:sz w:val="22"/>
          <w:szCs w:val="22"/>
        </w:rPr>
        <w:t>.</w:t>
      </w:r>
      <w:r w:rsidR="0003040E">
        <w:rPr>
          <w:sz w:val="22"/>
          <w:szCs w:val="22"/>
        </w:rPr>
        <w:t xml:space="preserve"> </w:t>
      </w:r>
      <w:r w:rsidRPr="002B44E1">
        <w:rPr>
          <w:sz w:val="22"/>
          <w:szCs w:val="22"/>
        </w:rPr>
        <w:t>However, because of the decline in de</w:t>
      </w:r>
      <w:r w:rsidR="00476195" w:rsidRPr="002B44E1">
        <w:rPr>
          <w:sz w:val="22"/>
          <w:szCs w:val="22"/>
        </w:rPr>
        <w:t xml:space="preserve">velopment in recent years, </w:t>
      </w:r>
      <w:r w:rsidR="00946C16">
        <w:rPr>
          <w:sz w:val="22"/>
          <w:szCs w:val="22"/>
        </w:rPr>
        <w:t>agency</w:t>
      </w:r>
      <w:r w:rsidRPr="002B44E1">
        <w:rPr>
          <w:sz w:val="22"/>
          <w:szCs w:val="22"/>
        </w:rPr>
        <w:t xml:space="preserve"> housing trust funds ar</w:t>
      </w:r>
      <w:r w:rsidR="00E76B83" w:rsidRPr="002B44E1">
        <w:rPr>
          <w:sz w:val="22"/>
          <w:szCs w:val="22"/>
        </w:rPr>
        <w:t>e at historically</w:t>
      </w:r>
      <w:r w:rsidRPr="002B44E1">
        <w:rPr>
          <w:sz w:val="22"/>
          <w:szCs w:val="22"/>
        </w:rPr>
        <w:t xml:space="preserve"> low</w:t>
      </w:r>
      <w:r w:rsidR="00E76B83" w:rsidRPr="002B44E1">
        <w:rPr>
          <w:sz w:val="22"/>
          <w:szCs w:val="22"/>
        </w:rPr>
        <w:t xml:space="preserve"> levels. Revenue from t</w:t>
      </w:r>
      <w:r w:rsidRPr="002B44E1">
        <w:rPr>
          <w:sz w:val="22"/>
          <w:szCs w:val="22"/>
        </w:rPr>
        <w:t>he County</w:t>
      </w:r>
      <w:r w:rsidR="00E76B83" w:rsidRPr="002B44E1">
        <w:rPr>
          <w:sz w:val="22"/>
          <w:szCs w:val="22"/>
        </w:rPr>
        <w:t>’s</w:t>
      </w:r>
      <w:r w:rsidRPr="002B44E1">
        <w:rPr>
          <w:sz w:val="22"/>
          <w:szCs w:val="22"/>
        </w:rPr>
        <w:t xml:space="preserve"> housing impact fee has dropped from a high of $3 million per year to a low of $190,000. More recently, when the </w:t>
      </w:r>
      <w:r w:rsidR="005E136E">
        <w:rPr>
          <w:sz w:val="22"/>
          <w:szCs w:val="22"/>
        </w:rPr>
        <w:t>State</w:t>
      </w:r>
      <w:r w:rsidRPr="002B44E1">
        <w:rPr>
          <w:sz w:val="22"/>
          <w:szCs w:val="22"/>
        </w:rPr>
        <w:t xml:space="preserve"> dissolved redevelo</w:t>
      </w:r>
      <w:r w:rsidR="00476195" w:rsidRPr="002B44E1">
        <w:rPr>
          <w:sz w:val="22"/>
          <w:szCs w:val="22"/>
        </w:rPr>
        <w:t>pment agencies in early 2012</w:t>
      </w:r>
      <w:r w:rsidRPr="002B44E1">
        <w:rPr>
          <w:sz w:val="22"/>
          <w:szCs w:val="22"/>
        </w:rPr>
        <w:t>, the City of Napa lost $800,000</w:t>
      </w:r>
      <w:r w:rsidR="00476195" w:rsidRPr="002B44E1">
        <w:rPr>
          <w:sz w:val="22"/>
          <w:szCs w:val="22"/>
        </w:rPr>
        <w:t xml:space="preserve"> per year</w:t>
      </w:r>
      <w:r w:rsidRPr="002B44E1">
        <w:rPr>
          <w:sz w:val="22"/>
          <w:szCs w:val="22"/>
        </w:rPr>
        <w:t xml:space="preserve"> in low- to </w:t>
      </w:r>
      <w:r w:rsidR="0003040E">
        <w:rPr>
          <w:sz w:val="22"/>
          <w:szCs w:val="22"/>
        </w:rPr>
        <w:t xml:space="preserve">moderate-income housing funds. </w:t>
      </w:r>
      <w:r w:rsidR="009656F7" w:rsidRPr="002B44E1">
        <w:rPr>
          <w:sz w:val="22"/>
          <w:szCs w:val="22"/>
        </w:rPr>
        <w:t xml:space="preserve">In addition, </w:t>
      </w:r>
      <w:r w:rsidR="001228B4" w:rsidRPr="002B44E1">
        <w:rPr>
          <w:sz w:val="22"/>
          <w:szCs w:val="22"/>
        </w:rPr>
        <w:t>the development capital in the F</w:t>
      </w:r>
      <w:r w:rsidR="009656F7" w:rsidRPr="002B44E1">
        <w:rPr>
          <w:sz w:val="22"/>
          <w:szCs w:val="22"/>
        </w:rPr>
        <w:t xml:space="preserve">ederal housing budget has declined in recent years and this </w:t>
      </w:r>
      <w:r w:rsidR="0003040E">
        <w:rPr>
          <w:sz w:val="22"/>
          <w:szCs w:val="22"/>
        </w:rPr>
        <w:t xml:space="preserve">trend is expected to continue. </w:t>
      </w:r>
      <w:r w:rsidRPr="002B44E1">
        <w:rPr>
          <w:sz w:val="22"/>
          <w:szCs w:val="22"/>
        </w:rPr>
        <w:t xml:space="preserve">The </w:t>
      </w:r>
      <w:r w:rsidR="009656F7" w:rsidRPr="002B44E1">
        <w:rPr>
          <w:sz w:val="22"/>
          <w:szCs w:val="22"/>
        </w:rPr>
        <w:t xml:space="preserve">county and cities in </w:t>
      </w:r>
      <w:r w:rsidR="00E76B83" w:rsidRPr="002B44E1">
        <w:rPr>
          <w:sz w:val="22"/>
          <w:szCs w:val="22"/>
        </w:rPr>
        <w:t>Napa</w:t>
      </w:r>
      <w:r w:rsidR="009656F7" w:rsidRPr="002B44E1">
        <w:rPr>
          <w:sz w:val="22"/>
          <w:szCs w:val="22"/>
        </w:rPr>
        <w:t xml:space="preserve"> County</w:t>
      </w:r>
      <w:r w:rsidR="00E76B83" w:rsidRPr="002B44E1">
        <w:rPr>
          <w:sz w:val="22"/>
          <w:szCs w:val="22"/>
        </w:rPr>
        <w:t xml:space="preserve"> </w:t>
      </w:r>
      <w:r w:rsidRPr="002B44E1">
        <w:rPr>
          <w:sz w:val="22"/>
          <w:szCs w:val="22"/>
        </w:rPr>
        <w:t>will need t</w:t>
      </w:r>
      <w:r w:rsidR="00476195" w:rsidRPr="002B44E1">
        <w:rPr>
          <w:sz w:val="22"/>
          <w:szCs w:val="22"/>
        </w:rPr>
        <w:t>o identify additional</w:t>
      </w:r>
      <w:r w:rsidRPr="002B44E1">
        <w:rPr>
          <w:sz w:val="22"/>
          <w:szCs w:val="22"/>
        </w:rPr>
        <w:t xml:space="preserve"> funding </w:t>
      </w:r>
      <w:r w:rsidR="00476195" w:rsidRPr="002B44E1">
        <w:rPr>
          <w:sz w:val="22"/>
          <w:szCs w:val="22"/>
        </w:rPr>
        <w:t xml:space="preserve">sources </w:t>
      </w:r>
      <w:r w:rsidRPr="002B44E1">
        <w:rPr>
          <w:sz w:val="22"/>
          <w:szCs w:val="22"/>
        </w:rPr>
        <w:t xml:space="preserve">to replace these </w:t>
      </w:r>
      <w:r w:rsidR="009656F7" w:rsidRPr="002B44E1">
        <w:rPr>
          <w:sz w:val="22"/>
          <w:szCs w:val="22"/>
        </w:rPr>
        <w:t xml:space="preserve">lost </w:t>
      </w:r>
      <w:r w:rsidRPr="002B44E1">
        <w:rPr>
          <w:sz w:val="22"/>
          <w:szCs w:val="22"/>
        </w:rPr>
        <w:t>sources.</w:t>
      </w:r>
    </w:p>
    <w:p w:rsidR="005238E0" w:rsidRPr="002B44E1" w:rsidRDefault="005238E0" w:rsidP="00D72CDD">
      <w:pPr>
        <w:spacing w:after="200" w:line="276" w:lineRule="auto"/>
        <w:jc w:val="both"/>
        <w:rPr>
          <w:sz w:val="22"/>
          <w:szCs w:val="22"/>
        </w:rPr>
      </w:pPr>
      <w:r w:rsidRPr="002B44E1">
        <w:rPr>
          <w:sz w:val="22"/>
          <w:szCs w:val="22"/>
        </w:rPr>
        <w:t>Further, affordable housing proj</w:t>
      </w:r>
      <w:r w:rsidR="0003040E">
        <w:rPr>
          <w:sz w:val="22"/>
          <w:szCs w:val="22"/>
        </w:rPr>
        <w:t>ects are difficult to finance</w:t>
      </w:r>
      <w:r w:rsidR="00DF43E1" w:rsidRPr="00DF43E1">
        <w:rPr>
          <w:sz w:val="22"/>
          <w:szCs w:val="22"/>
        </w:rPr>
        <w:t xml:space="preserve"> </w:t>
      </w:r>
      <w:r w:rsidR="00DF43E1">
        <w:rPr>
          <w:sz w:val="22"/>
          <w:szCs w:val="22"/>
        </w:rPr>
        <w:t xml:space="preserve">and </w:t>
      </w:r>
      <w:r w:rsidR="00DF43E1" w:rsidRPr="002B44E1">
        <w:rPr>
          <w:sz w:val="22"/>
          <w:szCs w:val="22"/>
        </w:rPr>
        <w:t>begin</w:t>
      </w:r>
      <w:r w:rsidR="00DF43E1">
        <w:rPr>
          <w:sz w:val="22"/>
          <w:szCs w:val="22"/>
        </w:rPr>
        <w:t xml:space="preserve"> with an inherent funding gap</w:t>
      </w:r>
      <w:r w:rsidR="0003040E">
        <w:rPr>
          <w:sz w:val="22"/>
          <w:szCs w:val="22"/>
        </w:rPr>
        <w:t xml:space="preserve">. </w:t>
      </w:r>
      <w:r w:rsidR="00DF43E1">
        <w:rPr>
          <w:sz w:val="22"/>
          <w:szCs w:val="22"/>
        </w:rPr>
        <w:t>B</w:t>
      </w:r>
      <w:r w:rsidRPr="002B44E1">
        <w:rPr>
          <w:sz w:val="22"/>
          <w:szCs w:val="22"/>
        </w:rPr>
        <w:t>elow market rents</w:t>
      </w:r>
      <w:r w:rsidR="00946C16">
        <w:rPr>
          <w:sz w:val="22"/>
          <w:szCs w:val="22"/>
        </w:rPr>
        <w:t xml:space="preserve"> </w:t>
      </w:r>
      <w:r w:rsidR="00DF43E1">
        <w:rPr>
          <w:sz w:val="22"/>
          <w:szCs w:val="22"/>
        </w:rPr>
        <w:t xml:space="preserve">minimize </w:t>
      </w:r>
      <w:r w:rsidR="00946C16">
        <w:rPr>
          <w:sz w:val="22"/>
          <w:szCs w:val="22"/>
        </w:rPr>
        <w:t>return on investment</w:t>
      </w:r>
      <w:r w:rsidRPr="002B44E1">
        <w:rPr>
          <w:sz w:val="22"/>
          <w:szCs w:val="22"/>
        </w:rPr>
        <w:t xml:space="preserve">, local </w:t>
      </w:r>
      <w:r w:rsidR="00946C16">
        <w:rPr>
          <w:sz w:val="22"/>
          <w:szCs w:val="22"/>
        </w:rPr>
        <w:t>zoning</w:t>
      </w:r>
      <w:r w:rsidR="00946C16" w:rsidRPr="002B44E1">
        <w:rPr>
          <w:sz w:val="22"/>
          <w:szCs w:val="22"/>
        </w:rPr>
        <w:t xml:space="preserve"> </w:t>
      </w:r>
      <w:r w:rsidRPr="002B44E1">
        <w:rPr>
          <w:sz w:val="22"/>
          <w:szCs w:val="22"/>
        </w:rPr>
        <w:t>requirements</w:t>
      </w:r>
      <w:r w:rsidR="00946C16">
        <w:rPr>
          <w:sz w:val="22"/>
          <w:szCs w:val="22"/>
        </w:rPr>
        <w:t xml:space="preserve"> </w:t>
      </w:r>
      <w:r w:rsidR="00DF43E1">
        <w:rPr>
          <w:sz w:val="22"/>
          <w:szCs w:val="22"/>
        </w:rPr>
        <w:t xml:space="preserve">are restrictive and </w:t>
      </w:r>
      <w:r w:rsidR="00321B97">
        <w:rPr>
          <w:sz w:val="22"/>
          <w:szCs w:val="22"/>
        </w:rPr>
        <w:t xml:space="preserve">affect </w:t>
      </w:r>
      <w:r w:rsidR="00946C16">
        <w:rPr>
          <w:sz w:val="22"/>
          <w:szCs w:val="22"/>
        </w:rPr>
        <w:t>design flexibility</w:t>
      </w:r>
      <w:r w:rsidRPr="002B44E1">
        <w:rPr>
          <w:sz w:val="22"/>
          <w:szCs w:val="22"/>
        </w:rPr>
        <w:t>,</w:t>
      </w:r>
      <w:r w:rsidR="00946C16">
        <w:rPr>
          <w:sz w:val="22"/>
          <w:szCs w:val="22"/>
        </w:rPr>
        <w:t xml:space="preserve"> and fees for utilities and services</w:t>
      </w:r>
      <w:r w:rsidR="00DF43E1">
        <w:rPr>
          <w:sz w:val="22"/>
          <w:szCs w:val="22"/>
        </w:rPr>
        <w:t xml:space="preserve"> are significant</w:t>
      </w:r>
      <w:r w:rsidR="0003040E">
        <w:rPr>
          <w:sz w:val="22"/>
          <w:szCs w:val="22"/>
        </w:rPr>
        <w:t xml:space="preserve">. </w:t>
      </w:r>
      <w:r w:rsidR="00DF43E1">
        <w:rPr>
          <w:sz w:val="22"/>
          <w:szCs w:val="22"/>
        </w:rPr>
        <w:t>And</w:t>
      </w:r>
      <w:r w:rsidR="00946C16" w:rsidRPr="002B44E1">
        <w:rPr>
          <w:sz w:val="22"/>
          <w:szCs w:val="22"/>
        </w:rPr>
        <w:t xml:space="preserve"> </w:t>
      </w:r>
      <w:r w:rsidRPr="002B44E1">
        <w:rPr>
          <w:sz w:val="22"/>
          <w:szCs w:val="22"/>
        </w:rPr>
        <w:t>because no one single so</w:t>
      </w:r>
      <w:r w:rsidR="00476195" w:rsidRPr="002B44E1">
        <w:rPr>
          <w:sz w:val="22"/>
          <w:szCs w:val="22"/>
        </w:rPr>
        <w:t xml:space="preserve">urce typically provides all of </w:t>
      </w:r>
      <w:r w:rsidRPr="002B44E1">
        <w:rPr>
          <w:sz w:val="22"/>
          <w:szCs w:val="22"/>
        </w:rPr>
        <w:t>below-market</w:t>
      </w:r>
      <w:r w:rsidR="00476195" w:rsidRPr="002B44E1">
        <w:rPr>
          <w:sz w:val="22"/>
          <w:szCs w:val="22"/>
        </w:rPr>
        <w:t xml:space="preserve"> rate financing needed</w:t>
      </w:r>
      <w:r w:rsidR="00946C16">
        <w:rPr>
          <w:sz w:val="22"/>
          <w:szCs w:val="22"/>
        </w:rPr>
        <w:t xml:space="preserve"> to fund projects</w:t>
      </w:r>
      <w:r w:rsidR="00476195" w:rsidRPr="002B44E1">
        <w:rPr>
          <w:sz w:val="22"/>
          <w:szCs w:val="22"/>
        </w:rPr>
        <w:t>, complex financing</w:t>
      </w:r>
      <w:r w:rsidRPr="002B44E1">
        <w:rPr>
          <w:sz w:val="22"/>
          <w:szCs w:val="22"/>
        </w:rPr>
        <w:t xml:space="preserve"> packages </w:t>
      </w:r>
      <w:r w:rsidR="00476195" w:rsidRPr="002B44E1">
        <w:rPr>
          <w:sz w:val="22"/>
          <w:szCs w:val="22"/>
        </w:rPr>
        <w:t xml:space="preserve">must be assembled </w:t>
      </w:r>
      <w:r w:rsidRPr="002B44E1">
        <w:rPr>
          <w:sz w:val="22"/>
          <w:szCs w:val="22"/>
        </w:rPr>
        <w:t xml:space="preserve">with multiple sources of public and private funding, whose </w:t>
      </w:r>
      <w:r w:rsidR="00A37EEC">
        <w:rPr>
          <w:sz w:val="22"/>
          <w:szCs w:val="22"/>
        </w:rPr>
        <w:t xml:space="preserve">objectives and regulatory requirements </w:t>
      </w:r>
      <w:r w:rsidRPr="002B44E1">
        <w:rPr>
          <w:sz w:val="22"/>
          <w:szCs w:val="22"/>
        </w:rPr>
        <w:t>are not always aligned.</w:t>
      </w:r>
    </w:p>
    <w:p w:rsidR="005238E0" w:rsidRPr="002B44E1" w:rsidRDefault="0083040F" w:rsidP="00D72CDD">
      <w:pPr>
        <w:spacing w:after="200" w:line="276" w:lineRule="auto"/>
        <w:jc w:val="both"/>
        <w:rPr>
          <w:sz w:val="22"/>
          <w:szCs w:val="22"/>
        </w:rPr>
      </w:pPr>
      <w:r w:rsidRPr="002B44E1">
        <w:rPr>
          <w:sz w:val="22"/>
          <w:szCs w:val="22"/>
        </w:rPr>
        <w:t>With all this in mind, the</w:t>
      </w:r>
      <w:r w:rsidR="00721F69" w:rsidRPr="002B44E1">
        <w:rPr>
          <w:sz w:val="22"/>
          <w:szCs w:val="22"/>
        </w:rPr>
        <w:t xml:space="preserve"> </w:t>
      </w:r>
      <w:r w:rsidR="0022378A">
        <w:rPr>
          <w:sz w:val="22"/>
          <w:szCs w:val="22"/>
        </w:rPr>
        <w:t xml:space="preserve">Housing </w:t>
      </w:r>
      <w:r w:rsidRPr="002B44E1">
        <w:rPr>
          <w:sz w:val="22"/>
          <w:szCs w:val="22"/>
        </w:rPr>
        <w:t>Task Force has created an action plan to outline</w:t>
      </w:r>
      <w:r w:rsidR="005238E0" w:rsidRPr="002B44E1">
        <w:rPr>
          <w:sz w:val="22"/>
          <w:szCs w:val="22"/>
        </w:rPr>
        <w:t xml:space="preserve"> step</w:t>
      </w:r>
      <w:r w:rsidR="00476195" w:rsidRPr="002B44E1">
        <w:rPr>
          <w:sz w:val="22"/>
          <w:szCs w:val="22"/>
        </w:rPr>
        <w:t>s that will allow the City of Napa, County of Napa, and the City of American Canyon</w:t>
      </w:r>
      <w:r w:rsidR="00E76B83" w:rsidRPr="002B44E1">
        <w:rPr>
          <w:sz w:val="22"/>
          <w:szCs w:val="22"/>
        </w:rPr>
        <w:t xml:space="preserve"> to implement</w:t>
      </w:r>
      <w:r w:rsidR="005238E0" w:rsidRPr="002B44E1">
        <w:rPr>
          <w:sz w:val="22"/>
          <w:szCs w:val="22"/>
        </w:rPr>
        <w:t xml:space="preserve"> the most effective and efficient way</w:t>
      </w:r>
      <w:r w:rsidR="00E76B83" w:rsidRPr="002B44E1">
        <w:rPr>
          <w:sz w:val="22"/>
          <w:szCs w:val="22"/>
        </w:rPr>
        <w:t>s</w:t>
      </w:r>
      <w:r w:rsidR="005238E0" w:rsidRPr="002B44E1">
        <w:rPr>
          <w:sz w:val="22"/>
          <w:szCs w:val="22"/>
        </w:rPr>
        <w:t xml:space="preserve"> to deliver affordable housing throughout Napa Cou</w:t>
      </w:r>
      <w:r w:rsidR="00E76B83" w:rsidRPr="002B44E1">
        <w:rPr>
          <w:sz w:val="22"/>
          <w:szCs w:val="22"/>
        </w:rPr>
        <w:t xml:space="preserve">nty and to identify </w:t>
      </w:r>
      <w:r w:rsidR="005238E0" w:rsidRPr="002B44E1">
        <w:rPr>
          <w:sz w:val="22"/>
          <w:szCs w:val="22"/>
        </w:rPr>
        <w:t xml:space="preserve">mechanisms to provide ongoing funding for </w:t>
      </w:r>
      <w:r w:rsidR="0022378A">
        <w:rPr>
          <w:sz w:val="22"/>
          <w:szCs w:val="22"/>
        </w:rPr>
        <w:t xml:space="preserve">future </w:t>
      </w:r>
      <w:r w:rsidR="005238E0" w:rsidRPr="002B44E1">
        <w:rPr>
          <w:sz w:val="22"/>
          <w:szCs w:val="22"/>
        </w:rPr>
        <w:t xml:space="preserve">affordable </w:t>
      </w:r>
      <w:r w:rsidR="00403509">
        <w:rPr>
          <w:sz w:val="22"/>
          <w:szCs w:val="22"/>
        </w:rPr>
        <w:t xml:space="preserve">housing </w:t>
      </w:r>
      <w:r w:rsidR="005238E0" w:rsidRPr="002B44E1">
        <w:rPr>
          <w:sz w:val="22"/>
          <w:szCs w:val="22"/>
        </w:rPr>
        <w:t>development.</w:t>
      </w:r>
    </w:p>
    <w:p w:rsidR="005238E0" w:rsidRPr="002B44E1" w:rsidRDefault="00CA7F7D" w:rsidP="00CA7F7D">
      <w:pPr>
        <w:autoSpaceDE w:val="0"/>
        <w:autoSpaceDN w:val="0"/>
        <w:adjustRightInd w:val="0"/>
        <w:jc w:val="both"/>
        <w:rPr>
          <w:sz w:val="22"/>
          <w:szCs w:val="22"/>
        </w:rPr>
      </w:pPr>
      <w:r>
        <w:rPr>
          <w:sz w:val="22"/>
          <w:szCs w:val="22"/>
        </w:rPr>
        <w:t xml:space="preserve">Success requires time, energy, ideas and resources from all Napa </w:t>
      </w:r>
      <w:r w:rsidR="00AD3EFC">
        <w:rPr>
          <w:sz w:val="22"/>
          <w:szCs w:val="22"/>
        </w:rPr>
        <w:t xml:space="preserve">County </w:t>
      </w:r>
      <w:r>
        <w:rPr>
          <w:sz w:val="22"/>
          <w:szCs w:val="22"/>
        </w:rPr>
        <w:t>residents in this e</w:t>
      </w:r>
      <w:r w:rsidR="00BF09A9">
        <w:rPr>
          <w:sz w:val="22"/>
          <w:szCs w:val="22"/>
        </w:rPr>
        <w:t>ndeavor</w:t>
      </w:r>
      <w:r>
        <w:rPr>
          <w:sz w:val="22"/>
          <w:szCs w:val="22"/>
        </w:rPr>
        <w:t xml:space="preserve">. </w:t>
      </w:r>
      <w:r w:rsidRPr="002F0637">
        <w:rPr>
          <w:sz w:val="22"/>
          <w:szCs w:val="22"/>
        </w:rPr>
        <w:t>Please join us</w:t>
      </w:r>
      <w:r>
        <w:rPr>
          <w:sz w:val="22"/>
          <w:szCs w:val="22"/>
        </w:rPr>
        <w:t xml:space="preserve"> in supporting</w:t>
      </w:r>
      <w:r w:rsidRPr="00CA7F7D">
        <w:rPr>
          <w:sz w:val="22"/>
          <w:szCs w:val="22"/>
        </w:rPr>
        <w:t xml:space="preserve"> </w:t>
      </w:r>
      <w:r>
        <w:rPr>
          <w:sz w:val="22"/>
          <w:szCs w:val="22"/>
        </w:rPr>
        <w:t xml:space="preserve">our efforts to achieve these goals and to support </w:t>
      </w:r>
      <w:r w:rsidR="00AD3EFC">
        <w:rPr>
          <w:sz w:val="22"/>
          <w:szCs w:val="22"/>
        </w:rPr>
        <w:t xml:space="preserve">increased </w:t>
      </w:r>
      <w:r>
        <w:rPr>
          <w:sz w:val="22"/>
          <w:szCs w:val="22"/>
        </w:rPr>
        <w:t>affordable housing funding and development in Napa County.</w:t>
      </w:r>
    </w:p>
    <w:p w:rsidR="005238E0" w:rsidRPr="002B44E1" w:rsidRDefault="005238E0" w:rsidP="005238E0">
      <w:pPr>
        <w:rPr>
          <w:sz w:val="22"/>
          <w:szCs w:val="22"/>
        </w:rPr>
      </w:pPr>
    </w:p>
    <w:p w:rsidR="005238E0" w:rsidRDefault="005238E0" w:rsidP="005238E0">
      <w:pPr>
        <w:rPr>
          <w:sz w:val="22"/>
          <w:szCs w:val="22"/>
        </w:rPr>
      </w:pPr>
    </w:p>
    <w:p w:rsidR="00E43976" w:rsidRPr="002B44E1" w:rsidRDefault="00E43976" w:rsidP="005238E0">
      <w:pPr>
        <w:rPr>
          <w:sz w:val="22"/>
          <w:szCs w:val="22"/>
        </w:rPr>
      </w:pPr>
    </w:p>
    <w:p w:rsidR="008122CB" w:rsidRDefault="008122CB" w:rsidP="005238E0">
      <w:pPr>
        <w:rPr>
          <w:sz w:val="22"/>
          <w:szCs w:val="22"/>
        </w:rPr>
      </w:pPr>
    </w:p>
    <w:p w:rsidR="008122CB" w:rsidRDefault="008122CB" w:rsidP="00B85685">
      <w:pPr>
        <w:tabs>
          <w:tab w:val="left" w:pos="3240"/>
          <w:tab w:val="left" w:pos="6300"/>
        </w:tabs>
        <w:rPr>
          <w:sz w:val="22"/>
          <w:szCs w:val="22"/>
        </w:rPr>
      </w:pPr>
      <w:r>
        <w:rPr>
          <w:sz w:val="22"/>
          <w:szCs w:val="22"/>
        </w:rPr>
        <w:t>________________________</w:t>
      </w:r>
      <w:r>
        <w:rPr>
          <w:sz w:val="22"/>
          <w:szCs w:val="22"/>
        </w:rPr>
        <w:tab/>
        <w:t>_______________________</w:t>
      </w:r>
      <w:r>
        <w:rPr>
          <w:sz w:val="22"/>
          <w:szCs w:val="22"/>
        </w:rPr>
        <w:tab/>
        <w:t>______________________</w:t>
      </w:r>
    </w:p>
    <w:p w:rsidR="005238E0" w:rsidRPr="002B44E1" w:rsidRDefault="005238E0" w:rsidP="00B85685">
      <w:pPr>
        <w:tabs>
          <w:tab w:val="left" w:pos="3240"/>
          <w:tab w:val="left" w:pos="6300"/>
        </w:tabs>
        <w:rPr>
          <w:sz w:val="22"/>
          <w:szCs w:val="22"/>
        </w:rPr>
      </w:pPr>
      <w:r w:rsidRPr="002B44E1">
        <w:rPr>
          <w:sz w:val="22"/>
          <w:szCs w:val="22"/>
        </w:rPr>
        <w:t>Councilmember Mark Joseph</w:t>
      </w:r>
      <w:r w:rsidRPr="002B44E1">
        <w:rPr>
          <w:sz w:val="22"/>
          <w:szCs w:val="22"/>
        </w:rPr>
        <w:tab/>
        <w:t>Sup</w:t>
      </w:r>
      <w:r w:rsidR="00476195" w:rsidRPr="002B44E1">
        <w:rPr>
          <w:sz w:val="22"/>
          <w:szCs w:val="22"/>
        </w:rPr>
        <w:t>ervisor Mark Luce</w:t>
      </w:r>
      <w:r w:rsidR="00476195" w:rsidRPr="002B44E1">
        <w:rPr>
          <w:sz w:val="22"/>
          <w:szCs w:val="22"/>
        </w:rPr>
        <w:tab/>
        <w:t>Vice Mayor</w:t>
      </w:r>
      <w:r w:rsidRPr="002B44E1">
        <w:rPr>
          <w:sz w:val="22"/>
          <w:szCs w:val="22"/>
        </w:rPr>
        <w:t xml:space="preserve"> Pete Mott</w:t>
      </w:r>
    </w:p>
    <w:p w:rsidR="005238E0" w:rsidRPr="002B44E1" w:rsidRDefault="005238E0" w:rsidP="00B85685">
      <w:pPr>
        <w:tabs>
          <w:tab w:val="left" w:pos="3240"/>
          <w:tab w:val="left" w:pos="6300"/>
        </w:tabs>
        <w:rPr>
          <w:sz w:val="22"/>
          <w:szCs w:val="22"/>
        </w:rPr>
      </w:pPr>
      <w:r w:rsidRPr="002B44E1">
        <w:rPr>
          <w:sz w:val="22"/>
          <w:szCs w:val="22"/>
        </w:rPr>
        <w:t>City of American Canyon</w:t>
      </w:r>
      <w:r w:rsidRPr="002B44E1">
        <w:rPr>
          <w:sz w:val="22"/>
          <w:szCs w:val="22"/>
        </w:rPr>
        <w:tab/>
        <w:t>County of Napa</w:t>
      </w:r>
      <w:r w:rsidRPr="002B44E1">
        <w:rPr>
          <w:sz w:val="22"/>
          <w:szCs w:val="22"/>
        </w:rPr>
        <w:tab/>
        <w:t>City of Napa</w:t>
      </w:r>
    </w:p>
    <w:p w:rsidR="005238E0" w:rsidRPr="00C618EE" w:rsidRDefault="005238E0" w:rsidP="00B85685">
      <w:pPr>
        <w:tabs>
          <w:tab w:val="left" w:pos="3240"/>
          <w:tab w:val="left" w:pos="6300"/>
        </w:tabs>
        <w:rPr>
          <w:sz w:val="22"/>
          <w:szCs w:val="22"/>
        </w:rPr>
      </w:pPr>
      <w:r w:rsidRPr="002B44E1">
        <w:rPr>
          <w:sz w:val="22"/>
          <w:szCs w:val="22"/>
        </w:rPr>
        <w:t>Co-Chair</w:t>
      </w:r>
      <w:r w:rsidRPr="002B44E1">
        <w:rPr>
          <w:sz w:val="22"/>
          <w:szCs w:val="22"/>
        </w:rPr>
        <w:tab/>
        <w:t>Co-Chair</w:t>
      </w:r>
      <w:r w:rsidRPr="002B44E1">
        <w:rPr>
          <w:sz w:val="22"/>
          <w:szCs w:val="22"/>
        </w:rPr>
        <w:tab/>
        <w:t>Co-Chair</w:t>
      </w:r>
      <w:r w:rsidRPr="00F57333">
        <w:rPr>
          <w:color w:val="FF0000"/>
          <w:sz w:val="22"/>
          <w:szCs w:val="22"/>
        </w:rPr>
        <w:br w:type="page"/>
      </w:r>
    </w:p>
    <w:p w:rsidR="005238E0" w:rsidRDefault="00CB322F" w:rsidP="004D6C9D">
      <w:pPr>
        <w:pStyle w:val="TOC10"/>
        <w:spacing w:after="200" w:line="276" w:lineRule="auto"/>
      </w:pPr>
      <w:hyperlink w:anchor="Table_of_Contents" w:history="1">
        <w:bookmarkStart w:id="19" w:name="_Toc352584357"/>
        <w:bookmarkStart w:id="20" w:name="_Toc359933692"/>
        <w:r w:rsidR="005238E0" w:rsidRPr="00AF0984">
          <w:rPr>
            <w:rStyle w:val="Hyperlink"/>
          </w:rPr>
          <w:t>Recognition of Contributors</w:t>
        </w:r>
        <w:bookmarkEnd w:id="19"/>
        <w:bookmarkEnd w:id="20"/>
      </w:hyperlink>
      <w:r w:rsidR="005238E0" w:rsidRPr="00F5461E">
        <w:t xml:space="preserve"> </w:t>
      </w:r>
    </w:p>
    <w:p w:rsidR="005238E0" w:rsidRPr="00054727" w:rsidRDefault="005238E0" w:rsidP="004D6C9D">
      <w:pPr>
        <w:spacing w:after="200" w:line="276" w:lineRule="auto"/>
        <w:jc w:val="both"/>
        <w:rPr>
          <w:color w:val="1D1D1D"/>
          <w:sz w:val="22"/>
          <w:szCs w:val="22"/>
        </w:rPr>
      </w:pPr>
      <w:r>
        <w:rPr>
          <w:color w:val="1D1D1D"/>
          <w:sz w:val="22"/>
          <w:szCs w:val="22"/>
        </w:rPr>
        <w:t xml:space="preserve">The Co-Chairs of the Joint City/County Affordable Housing Task Force wish to thank and acknowledge the </w:t>
      </w:r>
      <w:r w:rsidRPr="00054727">
        <w:rPr>
          <w:color w:val="1D1D1D"/>
          <w:sz w:val="22"/>
          <w:szCs w:val="22"/>
        </w:rPr>
        <w:t xml:space="preserve">following individuals who volunteered many hours of time as members of the </w:t>
      </w:r>
      <w:r w:rsidR="00DD66DC" w:rsidRPr="00054727">
        <w:rPr>
          <w:color w:val="1D1D1D"/>
          <w:sz w:val="22"/>
          <w:szCs w:val="22"/>
        </w:rPr>
        <w:t>Task Force</w:t>
      </w:r>
      <w:r w:rsidRPr="00054727">
        <w:rPr>
          <w:color w:val="1D1D1D"/>
          <w:sz w:val="22"/>
          <w:szCs w:val="22"/>
        </w:rPr>
        <w:t>, and engaged in vigorous research and debate in order to arriv</w:t>
      </w:r>
      <w:r w:rsidR="0083040F" w:rsidRPr="00054727">
        <w:rPr>
          <w:color w:val="1D1D1D"/>
          <w:sz w:val="22"/>
          <w:szCs w:val="22"/>
        </w:rPr>
        <w:t>e at the components of the Action P</w:t>
      </w:r>
      <w:r w:rsidRPr="00054727">
        <w:rPr>
          <w:color w:val="1D1D1D"/>
          <w:sz w:val="22"/>
          <w:szCs w:val="22"/>
        </w:rPr>
        <w:t xml:space="preserve">lan and </w:t>
      </w:r>
      <w:r w:rsidR="00403509" w:rsidRPr="00054727">
        <w:rPr>
          <w:color w:val="1D1D1D"/>
          <w:sz w:val="22"/>
          <w:szCs w:val="22"/>
        </w:rPr>
        <w:t xml:space="preserve">the </w:t>
      </w:r>
      <w:r w:rsidRPr="00054727">
        <w:rPr>
          <w:color w:val="1D1D1D"/>
          <w:sz w:val="22"/>
          <w:szCs w:val="22"/>
        </w:rPr>
        <w:t>steps and tasks ahead:</w:t>
      </w:r>
    </w:p>
    <w:p w:rsidR="007042A3" w:rsidRPr="00054727" w:rsidRDefault="007042A3" w:rsidP="00AD3EFC">
      <w:pPr>
        <w:spacing w:line="276" w:lineRule="auto"/>
        <w:ind w:firstLine="360"/>
        <w:rPr>
          <w:b/>
          <w:sz w:val="22"/>
          <w:szCs w:val="22"/>
          <w:u w:val="single"/>
        </w:rPr>
      </w:pPr>
      <w:r w:rsidRPr="00054727">
        <w:rPr>
          <w:b/>
          <w:sz w:val="22"/>
          <w:szCs w:val="22"/>
          <w:u w:val="single"/>
        </w:rPr>
        <w:t>Co-Chairs</w:t>
      </w:r>
    </w:p>
    <w:p w:rsidR="007042A3" w:rsidRPr="00054727" w:rsidRDefault="000E6AD0" w:rsidP="004C794B">
      <w:pPr>
        <w:pStyle w:val="ListParagraph"/>
        <w:numPr>
          <w:ilvl w:val="0"/>
          <w:numId w:val="25"/>
        </w:numPr>
        <w:spacing w:after="0" w:line="276" w:lineRule="auto"/>
      </w:pPr>
      <w:r w:rsidRPr="00054727">
        <w:t>Council Member Mark Joseph</w:t>
      </w:r>
      <w:r w:rsidR="007042A3" w:rsidRPr="00054727">
        <w:tab/>
      </w:r>
      <w:r w:rsidR="00DD66DC" w:rsidRPr="00054727">
        <w:rPr>
          <w:i/>
        </w:rPr>
        <w:t xml:space="preserve">City </w:t>
      </w:r>
      <w:r w:rsidRPr="00054727">
        <w:rPr>
          <w:i/>
        </w:rPr>
        <w:t>of American Canyon Representative</w:t>
      </w:r>
    </w:p>
    <w:p w:rsidR="007042A3" w:rsidRPr="00054727" w:rsidRDefault="007042A3" w:rsidP="004C794B">
      <w:pPr>
        <w:pStyle w:val="ListParagraph"/>
        <w:numPr>
          <w:ilvl w:val="0"/>
          <w:numId w:val="25"/>
        </w:numPr>
        <w:spacing w:after="0" w:line="276" w:lineRule="auto"/>
      </w:pPr>
      <w:r w:rsidRPr="00054727">
        <w:t>Supervisor Mark Luce</w:t>
      </w:r>
      <w:r w:rsidRPr="00054727">
        <w:tab/>
      </w:r>
      <w:r w:rsidRPr="00054727">
        <w:tab/>
      </w:r>
      <w:r w:rsidRPr="00054727">
        <w:rPr>
          <w:i/>
        </w:rPr>
        <w:t>County of Napa Representative</w:t>
      </w:r>
    </w:p>
    <w:p w:rsidR="007042A3" w:rsidRPr="00054727" w:rsidRDefault="00476195" w:rsidP="004C794B">
      <w:pPr>
        <w:pStyle w:val="ListParagraph"/>
        <w:numPr>
          <w:ilvl w:val="0"/>
          <w:numId w:val="25"/>
        </w:numPr>
        <w:spacing w:line="276" w:lineRule="auto"/>
      </w:pPr>
      <w:r w:rsidRPr="00054727">
        <w:t>Vice Mayor</w:t>
      </w:r>
      <w:r w:rsidR="007042A3" w:rsidRPr="00054727">
        <w:t xml:space="preserve"> Peter Mott</w:t>
      </w:r>
      <w:r w:rsidR="007042A3" w:rsidRPr="00054727">
        <w:tab/>
      </w:r>
      <w:r w:rsidR="007042A3" w:rsidRPr="00054727">
        <w:tab/>
      </w:r>
      <w:r w:rsidR="007042A3" w:rsidRPr="00054727">
        <w:rPr>
          <w:i/>
        </w:rPr>
        <w:t>City of Napa Representative</w:t>
      </w:r>
    </w:p>
    <w:p w:rsidR="007042A3" w:rsidRPr="00054727" w:rsidRDefault="007042A3" w:rsidP="00AD3EFC">
      <w:pPr>
        <w:autoSpaceDE w:val="0"/>
        <w:autoSpaceDN w:val="0"/>
        <w:adjustRightInd w:val="0"/>
        <w:spacing w:line="276" w:lineRule="auto"/>
        <w:ind w:left="360"/>
        <w:rPr>
          <w:rFonts w:eastAsia="Calibri"/>
          <w:b/>
          <w:sz w:val="22"/>
          <w:szCs w:val="22"/>
          <w:u w:val="single"/>
        </w:rPr>
      </w:pPr>
      <w:r w:rsidRPr="00054727">
        <w:rPr>
          <w:rFonts w:eastAsia="Calibri"/>
          <w:b/>
          <w:sz w:val="22"/>
          <w:szCs w:val="22"/>
          <w:u w:val="single"/>
        </w:rPr>
        <w:t>Members</w:t>
      </w:r>
    </w:p>
    <w:p w:rsidR="007042A3" w:rsidRDefault="00D82CEF" w:rsidP="00AD3EFC">
      <w:pPr>
        <w:suppressAutoHyphens/>
        <w:autoSpaceDE w:val="0"/>
        <w:autoSpaceDN w:val="0"/>
        <w:adjustRightInd w:val="0"/>
        <w:spacing w:line="276" w:lineRule="auto"/>
        <w:ind w:left="720" w:hanging="360"/>
        <w:textAlignment w:val="center"/>
        <w:rPr>
          <w:i/>
          <w:color w:val="0B0B0B"/>
          <w:sz w:val="22"/>
          <w:szCs w:val="22"/>
        </w:rPr>
      </w:pPr>
      <w:r w:rsidRPr="00D82CEF">
        <w:rPr>
          <w:rFonts w:eastAsia="Calibri"/>
          <w:sz w:val="22"/>
          <w:szCs w:val="22"/>
        </w:rPr>
        <w:t>4.</w:t>
      </w:r>
      <w:r>
        <w:rPr>
          <w:rFonts w:eastAsia="Calibri"/>
          <w:sz w:val="22"/>
          <w:szCs w:val="22"/>
        </w:rPr>
        <w:tab/>
      </w:r>
      <w:r w:rsidR="007042A3" w:rsidRPr="00054727">
        <w:rPr>
          <w:color w:val="0B0B0B"/>
          <w:sz w:val="22"/>
          <w:szCs w:val="22"/>
        </w:rPr>
        <w:t>April Burkey</w:t>
      </w:r>
      <w:r w:rsidR="007042A3" w:rsidRPr="00054727">
        <w:rPr>
          <w:color w:val="0B0B0B"/>
          <w:sz w:val="22"/>
          <w:szCs w:val="22"/>
        </w:rPr>
        <w:tab/>
      </w:r>
      <w:r w:rsidR="007042A3" w:rsidRPr="00054727">
        <w:rPr>
          <w:color w:val="0B0B0B"/>
          <w:sz w:val="22"/>
          <w:szCs w:val="22"/>
        </w:rPr>
        <w:tab/>
      </w:r>
      <w:r w:rsidR="007042A3" w:rsidRPr="00054727">
        <w:rPr>
          <w:color w:val="0B0B0B"/>
          <w:sz w:val="22"/>
          <w:szCs w:val="22"/>
        </w:rPr>
        <w:tab/>
      </w:r>
      <w:r w:rsidR="007042A3" w:rsidRPr="00054727">
        <w:rPr>
          <w:i/>
          <w:color w:val="0B0B0B"/>
          <w:sz w:val="22"/>
          <w:szCs w:val="22"/>
        </w:rPr>
        <w:t>Affordable Housing Consumer Representative</w:t>
      </w:r>
    </w:p>
    <w:p w:rsidR="002D7514" w:rsidRPr="007042A3" w:rsidRDefault="00D82CEF" w:rsidP="00D82CEF">
      <w:pPr>
        <w:suppressAutoHyphens/>
        <w:autoSpaceDE w:val="0"/>
        <w:autoSpaceDN w:val="0"/>
        <w:adjustRightInd w:val="0"/>
        <w:spacing w:line="276" w:lineRule="auto"/>
        <w:ind w:left="360"/>
        <w:textAlignment w:val="center"/>
        <w:rPr>
          <w:color w:val="0B0B0B"/>
          <w:sz w:val="22"/>
          <w:szCs w:val="22"/>
        </w:rPr>
      </w:pPr>
      <w:r>
        <w:rPr>
          <w:color w:val="0B0B0B"/>
          <w:sz w:val="22"/>
          <w:szCs w:val="22"/>
        </w:rPr>
        <w:t>5.</w:t>
      </w:r>
      <w:r>
        <w:rPr>
          <w:color w:val="0B0B0B"/>
          <w:sz w:val="22"/>
          <w:szCs w:val="22"/>
        </w:rPr>
        <w:tab/>
      </w:r>
      <w:r w:rsidR="002D7514" w:rsidRPr="00054727">
        <w:rPr>
          <w:color w:val="0B0B0B"/>
          <w:sz w:val="22"/>
          <w:szCs w:val="22"/>
        </w:rPr>
        <w:t>Joann Bus</w:t>
      </w:r>
      <w:r w:rsidR="002D7514" w:rsidRPr="007042A3">
        <w:rPr>
          <w:color w:val="0B0B0B"/>
          <w:sz w:val="22"/>
          <w:szCs w:val="22"/>
        </w:rPr>
        <w:t>enbark</w:t>
      </w:r>
      <w:r w:rsidR="002D7514" w:rsidRPr="007042A3">
        <w:rPr>
          <w:color w:val="0B0B0B"/>
          <w:sz w:val="22"/>
          <w:szCs w:val="22"/>
        </w:rPr>
        <w:tab/>
      </w:r>
      <w:r w:rsidR="002D7514" w:rsidRPr="007042A3">
        <w:rPr>
          <w:color w:val="0B0B0B"/>
          <w:sz w:val="22"/>
          <w:szCs w:val="22"/>
        </w:rPr>
        <w:tab/>
      </w:r>
      <w:r w:rsidR="002D7514" w:rsidRPr="007042A3">
        <w:rPr>
          <w:i/>
          <w:color w:val="0B0B0B"/>
          <w:sz w:val="22"/>
          <w:szCs w:val="22"/>
        </w:rPr>
        <w:t>Senior Advocate</w:t>
      </w:r>
    </w:p>
    <w:p w:rsidR="00D82CEF" w:rsidRDefault="00D82CEF" w:rsidP="00D82CEF">
      <w:pPr>
        <w:suppressAutoHyphens/>
        <w:autoSpaceDE w:val="0"/>
        <w:autoSpaceDN w:val="0"/>
        <w:adjustRightInd w:val="0"/>
        <w:spacing w:line="276" w:lineRule="auto"/>
        <w:ind w:left="360"/>
        <w:textAlignment w:val="center"/>
        <w:rPr>
          <w:color w:val="0B0B0B"/>
          <w:sz w:val="22"/>
          <w:szCs w:val="22"/>
        </w:rPr>
      </w:pPr>
      <w:r>
        <w:rPr>
          <w:color w:val="0B0B0B"/>
          <w:sz w:val="22"/>
          <w:szCs w:val="22"/>
        </w:rPr>
        <w:t>6.</w:t>
      </w:r>
      <w:r>
        <w:rPr>
          <w:color w:val="0B0B0B"/>
          <w:sz w:val="22"/>
          <w:szCs w:val="22"/>
        </w:rPr>
        <w:tab/>
      </w:r>
      <w:r w:rsidR="007042A3" w:rsidRPr="007042A3">
        <w:rPr>
          <w:color w:val="0B0B0B"/>
          <w:sz w:val="22"/>
          <w:szCs w:val="22"/>
        </w:rPr>
        <w:t>Nicole Collier</w:t>
      </w:r>
      <w:r w:rsidR="007042A3" w:rsidRPr="007042A3">
        <w:rPr>
          <w:color w:val="0B0B0B"/>
          <w:sz w:val="22"/>
          <w:szCs w:val="22"/>
        </w:rPr>
        <w:tab/>
      </w:r>
      <w:r w:rsidR="007042A3" w:rsidRPr="007042A3">
        <w:rPr>
          <w:color w:val="0B0B0B"/>
          <w:sz w:val="22"/>
          <w:szCs w:val="22"/>
        </w:rPr>
        <w:tab/>
      </w:r>
      <w:r w:rsidR="007042A3" w:rsidRPr="007042A3">
        <w:rPr>
          <w:color w:val="0B0B0B"/>
          <w:sz w:val="22"/>
          <w:szCs w:val="22"/>
        </w:rPr>
        <w:tab/>
      </w:r>
      <w:r w:rsidR="007042A3" w:rsidRPr="007042A3">
        <w:rPr>
          <w:i/>
          <w:color w:val="0B0B0B"/>
          <w:sz w:val="22"/>
          <w:szCs w:val="22"/>
        </w:rPr>
        <w:t>Affordable Housing Consumer Advocate</w:t>
      </w:r>
    </w:p>
    <w:p w:rsidR="00D82CEF" w:rsidRDefault="00D82CEF" w:rsidP="00D82CEF">
      <w:pPr>
        <w:suppressAutoHyphens/>
        <w:autoSpaceDE w:val="0"/>
        <w:autoSpaceDN w:val="0"/>
        <w:adjustRightInd w:val="0"/>
        <w:spacing w:line="276" w:lineRule="auto"/>
        <w:ind w:left="360"/>
        <w:textAlignment w:val="center"/>
        <w:rPr>
          <w:color w:val="0B0B0B"/>
          <w:sz w:val="22"/>
          <w:szCs w:val="22"/>
        </w:rPr>
      </w:pPr>
      <w:r>
        <w:rPr>
          <w:color w:val="0B0B0B"/>
          <w:sz w:val="22"/>
          <w:szCs w:val="22"/>
        </w:rPr>
        <w:t>7.</w:t>
      </w:r>
      <w:r>
        <w:rPr>
          <w:color w:val="0B0B0B"/>
          <w:sz w:val="22"/>
          <w:szCs w:val="22"/>
        </w:rPr>
        <w:tab/>
      </w:r>
      <w:r w:rsidR="007042A3" w:rsidRPr="007042A3">
        <w:rPr>
          <w:color w:val="0B0B0B"/>
          <w:sz w:val="22"/>
          <w:szCs w:val="22"/>
        </w:rPr>
        <w:t>Volker Eisele</w:t>
      </w:r>
      <w:r w:rsidR="007042A3" w:rsidRPr="007042A3">
        <w:rPr>
          <w:color w:val="0B0B0B"/>
          <w:sz w:val="22"/>
          <w:szCs w:val="22"/>
        </w:rPr>
        <w:tab/>
      </w:r>
      <w:r w:rsidR="007042A3" w:rsidRPr="007042A3">
        <w:rPr>
          <w:color w:val="0B0B0B"/>
          <w:sz w:val="22"/>
          <w:szCs w:val="22"/>
        </w:rPr>
        <w:tab/>
      </w:r>
      <w:r w:rsidR="007042A3" w:rsidRPr="007042A3">
        <w:rPr>
          <w:color w:val="0B0B0B"/>
          <w:sz w:val="22"/>
          <w:szCs w:val="22"/>
        </w:rPr>
        <w:tab/>
      </w:r>
      <w:r w:rsidR="007042A3" w:rsidRPr="007042A3">
        <w:rPr>
          <w:i/>
          <w:color w:val="0B0B0B"/>
          <w:sz w:val="22"/>
          <w:szCs w:val="22"/>
        </w:rPr>
        <w:t>Agricultural Community Representative</w:t>
      </w:r>
    </w:p>
    <w:p w:rsidR="00D82CEF" w:rsidRDefault="00D82CEF" w:rsidP="00D82CEF">
      <w:pPr>
        <w:suppressAutoHyphens/>
        <w:autoSpaceDE w:val="0"/>
        <w:autoSpaceDN w:val="0"/>
        <w:adjustRightInd w:val="0"/>
        <w:spacing w:line="276" w:lineRule="auto"/>
        <w:ind w:left="360"/>
        <w:textAlignment w:val="center"/>
        <w:rPr>
          <w:color w:val="0B0B0B"/>
          <w:sz w:val="22"/>
          <w:szCs w:val="22"/>
        </w:rPr>
      </w:pPr>
      <w:r>
        <w:rPr>
          <w:color w:val="0B0B0B"/>
          <w:sz w:val="22"/>
          <w:szCs w:val="22"/>
        </w:rPr>
        <w:t>8.</w:t>
      </w:r>
      <w:r>
        <w:rPr>
          <w:color w:val="0B0B0B"/>
          <w:sz w:val="22"/>
          <w:szCs w:val="22"/>
        </w:rPr>
        <w:tab/>
      </w:r>
      <w:r w:rsidR="007042A3" w:rsidRPr="007042A3">
        <w:rPr>
          <w:color w:val="0B0B0B"/>
          <w:sz w:val="22"/>
          <w:szCs w:val="22"/>
        </w:rPr>
        <w:t>Elliot Faxstein</w:t>
      </w:r>
      <w:r w:rsidR="007042A3" w:rsidRPr="007042A3">
        <w:rPr>
          <w:color w:val="0B0B0B"/>
          <w:sz w:val="22"/>
          <w:szCs w:val="22"/>
        </w:rPr>
        <w:tab/>
      </w:r>
      <w:r w:rsidR="007042A3" w:rsidRPr="007042A3">
        <w:rPr>
          <w:color w:val="0B0B0B"/>
          <w:sz w:val="22"/>
          <w:szCs w:val="22"/>
        </w:rPr>
        <w:tab/>
      </w:r>
      <w:r w:rsidR="007042A3">
        <w:rPr>
          <w:color w:val="0B0B0B"/>
          <w:sz w:val="22"/>
          <w:szCs w:val="22"/>
        </w:rPr>
        <w:tab/>
      </w:r>
      <w:r w:rsidR="007042A3" w:rsidRPr="007042A3">
        <w:rPr>
          <w:i/>
          <w:color w:val="0B0B0B"/>
          <w:sz w:val="22"/>
          <w:szCs w:val="22"/>
        </w:rPr>
        <w:t xml:space="preserve">Market Rate Single-Family/Proximity Housing </w:t>
      </w:r>
      <w:r w:rsidR="00963617" w:rsidRPr="007042A3">
        <w:rPr>
          <w:i/>
          <w:color w:val="0B0B0B"/>
          <w:sz w:val="22"/>
          <w:szCs w:val="22"/>
        </w:rPr>
        <w:t>Representative</w:t>
      </w:r>
    </w:p>
    <w:p w:rsidR="00D82CEF" w:rsidRDefault="00D82CEF" w:rsidP="00D82CEF">
      <w:pPr>
        <w:suppressAutoHyphens/>
        <w:autoSpaceDE w:val="0"/>
        <w:autoSpaceDN w:val="0"/>
        <w:adjustRightInd w:val="0"/>
        <w:spacing w:line="276" w:lineRule="auto"/>
        <w:ind w:left="360"/>
        <w:textAlignment w:val="center"/>
        <w:rPr>
          <w:color w:val="0B0B0B"/>
          <w:sz w:val="22"/>
          <w:szCs w:val="22"/>
        </w:rPr>
      </w:pPr>
      <w:r>
        <w:rPr>
          <w:color w:val="0B0B0B"/>
          <w:sz w:val="22"/>
          <w:szCs w:val="22"/>
        </w:rPr>
        <w:t>9.</w:t>
      </w:r>
      <w:r>
        <w:rPr>
          <w:color w:val="0B0B0B"/>
          <w:sz w:val="22"/>
          <w:szCs w:val="22"/>
        </w:rPr>
        <w:tab/>
      </w:r>
      <w:r w:rsidR="007042A3" w:rsidRPr="007042A3">
        <w:rPr>
          <w:color w:val="0B0B0B"/>
          <w:sz w:val="22"/>
          <w:szCs w:val="22"/>
        </w:rPr>
        <w:t>Gui Goodreau</w:t>
      </w:r>
      <w:r w:rsidR="007042A3" w:rsidRPr="007042A3">
        <w:rPr>
          <w:color w:val="0B0B0B"/>
          <w:sz w:val="22"/>
          <w:szCs w:val="22"/>
        </w:rPr>
        <w:tab/>
      </w:r>
      <w:r w:rsidR="007042A3" w:rsidRPr="007042A3">
        <w:rPr>
          <w:color w:val="0B0B0B"/>
          <w:sz w:val="22"/>
          <w:szCs w:val="22"/>
        </w:rPr>
        <w:tab/>
      </w:r>
      <w:r w:rsidR="00D628D2">
        <w:rPr>
          <w:color w:val="0B0B0B"/>
          <w:sz w:val="22"/>
          <w:szCs w:val="22"/>
        </w:rPr>
        <w:tab/>
      </w:r>
      <w:r w:rsidR="007042A3" w:rsidRPr="007042A3">
        <w:rPr>
          <w:i/>
          <w:color w:val="0B0B0B"/>
          <w:sz w:val="22"/>
          <w:szCs w:val="22"/>
        </w:rPr>
        <w:t>Financial Institution Representative</w:t>
      </w:r>
    </w:p>
    <w:p w:rsidR="00D82CEF" w:rsidRDefault="00D82CEF" w:rsidP="00D82CEF">
      <w:pPr>
        <w:suppressAutoHyphens/>
        <w:autoSpaceDE w:val="0"/>
        <w:autoSpaceDN w:val="0"/>
        <w:adjustRightInd w:val="0"/>
        <w:spacing w:line="276" w:lineRule="auto"/>
        <w:ind w:left="360"/>
        <w:textAlignment w:val="center"/>
        <w:rPr>
          <w:color w:val="0B0B0B"/>
          <w:sz w:val="22"/>
          <w:szCs w:val="22"/>
        </w:rPr>
      </w:pPr>
      <w:r>
        <w:rPr>
          <w:color w:val="0B0B0B"/>
          <w:sz w:val="22"/>
          <w:szCs w:val="22"/>
        </w:rPr>
        <w:t xml:space="preserve">10. </w:t>
      </w:r>
      <w:r w:rsidR="001317CD">
        <w:rPr>
          <w:color w:val="0B0B0B"/>
          <w:sz w:val="22"/>
          <w:szCs w:val="22"/>
        </w:rPr>
        <w:tab/>
      </w:r>
      <w:r w:rsidR="007042A3" w:rsidRPr="007042A3">
        <w:rPr>
          <w:color w:val="0B0B0B"/>
          <w:sz w:val="22"/>
          <w:szCs w:val="22"/>
        </w:rPr>
        <w:t>Ryan Gregory</w:t>
      </w:r>
      <w:r w:rsidR="007042A3" w:rsidRPr="007042A3">
        <w:rPr>
          <w:color w:val="0B0B0B"/>
          <w:sz w:val="22"/>
          <w:szCs w:val="22"/>
        </w:rPr>
        <w:tab/>
      </w:r>
      <w:r w:rsidR="007042A3" w:rsidRPr="007042A3">
        <w:rPr>
          <w:color w:val="0B0B0B"/>
          <w:sz w:val="22"/>
          <w:szCs w:val="22"/>
        </w:rPr>
        <w:tab/>
      </w:r>
      <w:r w:rsidR="007042A3">
        <w:rPr>
          <w:color w:val="0B0B0B"/>
          <w:sz w:val="22"/>
          <w:szCs w:val="22"/>
        </w:rPr>
        <w:tab/>
      </w:r>
      <w:r w:rsidR="007042A3" w:rsidRPr="007042A3">
        <w:rPr>
          <w:i/>
          <w:color w:val="0B0B0B"/>
          <w:sz w:val="22"/>
          <w:szCs w:val="22"/>
        </w:rPr>
        <w:t>Chamber of Commerce Representative</w:t>
      </w:r>
    </w:p>
    <w:p w:rsidR="00D82CEF" w:rsidRDefault="00D82CEF" w:rsidP="00D82CEF">
      <w:pPr>
        <w:suppressAutoHyphens/>
        <w:autoSpaceDE w:val="0"/>
        <w:autoSpaceDN w:val="0"/>
        <w:adjustRightInd w:val="0"/>
        <w:spacing w:line="276" w:lineRule="auto"/>
        <w:ind w:left="360"/>
        <w:textAlignment w:val="center"/>
        <w:rPr>
          <w:color w:val="0B0B0B"/>
          <w:sz w:val="22"/>
          <w:szCs w:val="22"/>
        </w:rPr>
      </w:pPr>
      <w:r>
        <w:rPr>
          <w:color w:val="0B0B0B"/>
          <w:sz w:val="22"/>
          <w:szCs w:val="22"/>
        </w:rPr>
        <w:t>11.</w:t>
      </w:r>
      <w:r>
        <w:rPr>
          <w:color w:val="0B0B0B"/>
          <w:sz w:val="22"/>
          <w:szCs w:val="22"/>
        </w:rPr>
        <w:tab/>
      </w:r>
      <w:r w:rsidR="007042A3" w:rsidRPr="007042A3">
        <w:rPr>
          <w:color w:val="0B0B0B"/>
          <w:sz w:val="22"/>
          <w:szCs w:val="22"/>
        </w:rPr>
        <w:t>Randy Gularte</w:t>
      </w:r>
      <w:r w:rsidR="007042A3" w:rsidRPr="007042A3">
        <w:rPr>
          <w:color w:val="0B0B0B"/>
          <w:sz w:val="22"/>
          <w:szCs w:val="22"/>
        </w:rPr>
        <w:tab/>
      </w:r>
      <w:r w:rsidR="007042A3" w:rsidRPr="007042A3">
        <w:rPr>
          <w:color w:val="0B0B0B"/>
          <w:sz w:val="22"/>
          <w:szCs w:val="22"/>
        </w:rPr>
        <w:tab/>
      </w:r>
      <w:r w:rsidR="007042A3">
        <w:rPr>
          <w:color w:val="0B0B0B"/>
          <w:sz w:val="22"/>
          <w:szCs w:val="22"/>
        </w:rPr>
        <w:tab/>
      </w:r>
      <w:r w:rsidR="007042A3" w:rsidRPr="007042A3">
        <w:rPr>
          <w:i/>
          <w:color w:val="0B0B0B"/>
          <w:sz w:val="22"/>
          <w:szCs w:val="22"/>
        </w:rPr>
        <w:t xml:space="preserve">Real Estate Broker’s Representative </w:t>
      </w:r>
    </w:p>
    <w:p w:rsidR="00D82CEF" w:rsidRDefault="00D82CEF" w:rsidP="00D82CEF">
      <w:pPr>
        <w:suppressAutoHyphens/>
        <w:autoSpaceDE w:val="0"/>
        <w:autoSpaceDN w:val="0"/>
        <w:adjustRightInd w:val="0"/>
        <w:spacing w:line="276" w:lineRule="auto"/>
        <w:ind w:left="360"/>
        <w:textAlignment w:val="center"/>
        <w:rPr>
          <w:color w:val="0B0B0B"/>
          <w:sz w:val="22"/>
          <w:szCs w:val="22"/>
        </w:rPr>
      </w:pPr>
      <w:r>
        <w:rPr>
          <w:color w:val="0B0B0B"/>
          <w:sz w:val="22"/>
          <w:szCs w:val="22"/>
        </w:rPr>
        <w:t>12.</w:t>
      </w:r>
      <w:r>
        <w:rPr>
          <w:color w:val="0B0B0B"/>
          <w:sz w:val="22"/>
          <w:szCs w:val="22"/>
        </w:rPr>
        <w:tab/>
      </w:r>
      <w:r w:rsidR="007042A3" w:rsidRPr="007042A3">
        <w:rPr>
          <w:color w:val="0B0B0B"/>
          <w:sz w:val="22"/>
          <w:szCs w:val="22"/>
        </w:rPr>
        <w:t>Scott Johnson</w:t>
      </w:r>
      <w:r w:rsidR="007042A3" w:rsidRPr="007042A3">
        <w:rPr>
          <w:color w:val="0B0B0B"/>
          <w:sz w:val="22"/>
          <w:szCs w:val="22"/>
        </w:rPr>
        <w:tab/>
      </w:r>
      <w:r w:rsidR="007042A3" w:rsidRPr="007042A3">
        <w:rPr>
          <w:color w:val="0B0B0B"/>
          <w:sz w:val="22"/>
          <w:szCs w:val="22"/>
        </w:rPr>
        <w:tab/>
      </w:r>
      <w:r w:rsidR="007042A3">
        <w:rPr>
          <w:color w:val="0B0B0B"/>
          <w:sz w:val="22"/>
          <w:szCs w:val="22"/>
        </w:rPr>
        <w:tab/>
      </w:r>
      <w:r w:rsidR="007042A3" w:rsidRPr="007042A3">
        <w:rPr>
          <w:i/>
          <w:color w:val="0B0B0B"/>
          <w:sz w:val="22"/>
          <w:szCs w:val="22"/>
        </w:rPr>
        <w:t>Multi-Family Affordable Housing Developer</w:t>
      </w:r>
    </w:p>
    <w:p w:rsidR="00D82CEF" w:rsidRDefault="00D82CEF" w:rsidP="00D82CEF">
      <w:pPr>
        <w:suppressAutoHyphens/>
        <w:autoSpaceDE w:val="0"/>
        <w:autoSpaceDN w:val="0"/>
        <w:adjustRightInd w:val="0"/>
        <w:spacing w:line="276" w:lineRule="auto"/>
        <w:ind w:left="360"/>
        <w:textAlignment w:val="center"/>
        <w:rPr>
          <w:color w:val="0B0B0B"/>
          <w:sz w:val="22"/>
          <w:szCs w:val="22"/>
        </w:rPr>
      </w:pPr>
      <w:r>
        <w:rPr>
          <w:color w:val="0B0B0B"/>
          <w:sz w:val="22"/>
          <w:szCs w:val="22"/>
        </w:rPr>
        <w:t xml:space="preserve">13. </w:t>
      </w:r>
      <w:r w:rsidR="001317CD">
        <w:rPr>
          <w:color w:val="0B0B0B"/>
          <w:sz w:val="22"/>
          <w:szCs w:val="22"/>
        </w:rPr>
        <w:tab/>
      </w:r>
      <w:r w:rsidR="007042A3" w:rsidRPr="007042A3">
        <w:rPr>
          <w:color w:val="0B0B0B"/>
          <w:sz w:val="22"/>
          <w:szCs w:val="22"/>
        </w:rPr>
        <w:t>Grania Lindberg</w:t>
      </w:r>
      <w:r w:rsidR="007042A3" w:rsidRPr="007042A3">
        <w:rPr>
          <w:color w:val="0B0B0B"/>
          <w:sz w:val="22"/>
          <w:szCs w:val="22"/>
        </w:rPr>
        <w:tab/>
      </w:r>
      <w:r w:rsidR="007042A3" w:rsidRPr="007042A3">
        <w:rPr>
          <w:color w:val="0B0B0B"/>
          <w:sz w:val="22"/>
          <w:szCs w:val="22"/>
        </w:rPr>
        <w:tab/>
      </w:r>
      <w:r w:rsidR="007042A3" w:rsidRPr="007042A3">
        <w:rPr>
          <w:i/>
          <w:color w:val="0B0B0B"/>
          <w:sz w:val="22"/>
          <w:szCs w:val="22"/>
        </w:rPr>
        <w:t>Affordable Housing Advocate</w:t>
      </w:r>
    </w:p>
    <w:p w:rsidR="00D82CEF" w:rsidRDefault="00D82CEF" w:rsidP="00D82CEF">
      <w:pPr>
        <w:suppressAutoHyphens/>
        <w:autoSpaceDE w:val="0"/>
        <w:autoSpaceDN w:val="0"/>
        <w:adjustRightInd w:val="0"/>
        <w:spacing w:line="276" w:lineRule="auto"/>
        <w:ind w:left="360"/>
        <w:textAlignment w:val="center"/>
        <w:rPr>
          <w:color w:val="0B0B0B"/>
          <w:sz w:val="22"/>
          <w:szCs w:val="22"/>
        </w:rPr>
      </w:pPr>
      <w:r>
        <w:rPr>
          <w:color w:val="0B0B0B"/>
          <w:sz w:val="22"/>
          <w:szCs w:val="22"/>
        </w:rPr>
        <w:t>14.</w:t>
      </w:r>
      <w:r>
        <w:rPr>
          <w:color w:val="0B0B0B"/>
          <w:sz w:val="22"/>
          <w:szCs w:val="22"/>
        </w:rPr>
        <w:tab/>
      </w:r>
      <w:r w:rsidR="007042A3" w:rsidRPr="007042A3">
        <w:rPr>
          <w:color w:val="0B0B0B"/>
          <w:sz w:val="22"/>
          <w:szCs w:val="22"/>
        </w:rPr>
        <w:t>Gerardo Martin</w:t>
      </w:r>
      <w:r w:rsidR="007042A3" w:rsidRPr="007042A3">
        <w:rPr>
          <w:color w:val="0B0B0B"/>
          <w:sz w:val="22"/>
          <w:szCs w:val="22"/>
        </w:rPr>
        <w:tab/>
      </w:r>
      <w:r w:rsidR="007042A3" w:rsidRPr="007042A3">
        <w:rPr>
          <w:color w:val="0B0B0B"/>
          <w:sz w:val="22"/>
          <w:szCs w:val="22"/>
        </w:rPr>
        <w:tab/>
      </w:r>
      <w:r w:rsidR="007042A3">
        <w:rPr>
          <w:color w:val="0B0B0B"/>
          <w:sz w:val="22"/>
          <w:szCs w:val="22"/>
        </w:rPr>
        <w:tab/>
      </w:r>
      <w:r w:rsidR="007042A3" w:rsidRPr="007042A3">
        <w:rPr>
          <w:i/>
          <w:color w:val="0B0B0B"/>
          <w:sz w:val="22"/>
          <w:szCs w:val="22"/>
        </w:rPr>
        <w:t>Hispanic Chamber of Commerce Representative</w:t>
      </w:r>
    </w:p>
    <w:p w:rsidR="00D82CEF" w:rsidRDefault="00D82CEF" w:rsidP="00D82CEF">
      <w:pPr>
        <w:suppressAutoHyphens/>
        <w:autoSpaceDE w:val="0"/>
        <w:autoSpaceDN w:val="0"/>
        <w:adjustRightInd w:val="0"/>
        <w:spacing w:line="276" w:lineRule="auto"/>
        <w:ind w:left="360"/>
        <w:textAlignment w:val="center"/>
        <w:rPr>
          <w:color w:val="0B0B0B"/>
          <w:sz w:val="22"/>
          <w:szCs w:val="22"/>
        </w:rPr>
      </w:pPr>
      <w:r>
        <w:rPr>
          <w:color w:val="0B0B0B"/>
          <w:sz w:val="22"/>
          <w:szCs w:val="22"/>
        </w:rPr>
        <w:t>15.</w:t>
      </w:r>
      <w:r>
        <w:rPr>
          <w:color w:val="0B0B0B"/>
          <w:sz w:val="22"/>
          <w:szCs w:val="22"/>
        </w:rPr>
        <w:tab/>
      </w:r>
      <w:r w:rsidR="007042A3" w:rsidRPr="007042A3">
        <w:rPr>
          <w:color w:val="0B0B0B"/>
          <w:sz w:val="22"/>
          <w:szCs w:val="22"/>
        </w:rPr>
        <w:t>Bob Massaro</w:t>
      </w:r>
      <w:r w:rsidR="007042A3" w:rsidRPr="007042A3">
        <w:rPr>
          <w:color w:val="0B0B0B"/>
          <w:sz w:val="22"/>
          <w:szCs w:val="22"/>
        </w:rPr>
        <w:tab/>
      </w:r>
      <w:r w:rsidR="007042A3" w:rsidRPr="007042A3">
        <w:rPr>
          <w:color w:val="0B0B0B"/>
          <w:sz w:val="22"/>
          <w:szCs w:val="22"/>
        </w:rPr>
        <w:tab/>
      </w:r>
      <w:r w:rsidR="007042A3" w:rsidRPr="007042A3">
        <w:rPr>
          <w:color w:val="0B0B0B"/>
          <w:sz w:val="22"/>
          <w:szCs w:val="22"/>
        </w:rPr>
        <w:tab/>
      </w:r>
      <w:r w:rsidR="007042A3" w:rsidRPr="007042A3">
        <w:rPr>
          <w:i/>
          <w:color w:val="0B0B0B"/>
          <w:sz w:val="22"/>
          <w:szCs w:val="22"/>
        </w:rPr>
        <w:t xml:space="preserve">Market Rate Multi-Family/Sustainability Representative </w:t>
      </w:r>
    </w:p>
    <w:p w:rsidR="00D82CEF" w:rsidRDefault="00D82CEF" w:rsidP="00963617">
      <w:pPr>
        <w:suppressAutoHyphens/>
        <w:autoSpaceDE w:val="0"/>
        <w:autoSpaceDN w:val="0"/>
        <w:adjustRightInd w:val="0"/>
        <w:spacing w:line="276" w:lineRule="auto"/>
        <w:ind w:left="360"/>
        <w:textAlignment w:val="center"/>
        <w:rPr>
          <w:color w:val="0B0B0B"/>
          <w:sz w:val="22"/>
          <w:szCs w:val="22"/>
        </w:rPr>
      </w:pPr>
      <w:r>
        <w:rPr>
          <w:color w:val="0B0B0B"/>
          <w:sz w:val="22"/>
          <w:szCs w:val="22"/>
        </w:rPr>
        <w:t>16.</w:t>
      </w:r>
      <w:r>
        <w:rPr>
          <w:color w:val="0B0B0B"/>
          <w:sz w:val="22"/>
          <w:szCs w:val="22"/>
        </w:rPr>
        <w:tab/>
      </w:r>
      <w:r w:rsidR="007042A3" w:rsidRPr="007042A3">
        <w:rPr>
          <w:color w:val="0B0B0B"/>
          <w:sz w:val="22"/>
          <w:szCs w:val="22"/>
        </w:rPr>
        <w:t>Harry Price</w:t>
      </w:r>
      <w:r w:rsidR="007042A3" w:rsidRPr="007042A3">
        <w:rPr>
          <w:color w:val="0B0B0B"/>
          <w:sz w:val="22"/>
          <w:szCs w:val="22"/>
        </w:rPr>
        <w:tab/>
      </w:r>
      <w:r w:rsidR="007042A3" w:rsidRPr="007042A3">
        <w:rPr>
          <w:color w:val="0B0B0B"/>
          <w:sz w:val="22"/>
          <w:szCs w:val="22"/>
        </w:rPr>
        <w:tab/>
      </w:r>
      <w:r w:rsidR="007042A3" w:rsidRPr="007042A3">
        <w:rPr>
          <w:color w:val="0B0B0B"/>
          <w:sz w:val="22"/>
          <w:szCs w:val="22"/>
        </w:rPr>
        <w:tab/>
      </w:r>
      <w:r w:rsidR="007042A3" w:rsidRPr="007042A3">
        <w:rPr>
          <w:i/>
          <w:color w:val="0B0B0B"/>
          <w:sz w:val="22"/>
          <w:szCs w:val="22"/>
        </w:rPr>
        <w:t>Commercial Property Developer/Owner</w:t>
      </w:r>
    </w:p>
    <w:p w:rsidR="007042A3" w:rsidRPr="004D6C9D" w:rsidRDefault="00D82CEF" w:rsidP="00AD3EFC">
      <w:pPr>
        <w:suppressAutoHyphens/>
        <w:autoSpaceDE w:val="0"/>
        <w:autoSpaceDN w:val="0"/>
        <w:adjustRightInd w:val="0"/>
        <w:spacing w:after="200" w:line="276" w:lineRule="auto"/>
        <w:ind w:left="360"/>
        <w:textAlignment w:val="center"/>
        <w:rPr>
          <w:color w:val="0B0B0B"/>
          <w:sz w:val="22"/>
          <w:szCs w:val="22"/>
        </w:rPr>
      </w:pPr>
      <w:r>
        <w:rPr>
          <w:color w:val="0B0B0B"/>
          <w:sz w:val="22"/>
          <w:szCs w:val="22"/>
        </w:rPr>
        <w:t>17.</w:t>
      </w:r>
      <w:r>
        <w:rPr>
          <w:color w:val="0B0B0B"/>
          <w:sz w:val="22"/>
          <w:szCs w:val="22"/>
        </w:rPr>
        <w:tab/>
      </w:r>
      <w:r w:rsidR="007042A3" w:rsidRPr="00054727">
        <w:rPr>
          <w:color w:val="0B0B0B"/>
          <w:sz w:val="22"/>
          <w:szCs w:val="22"/>
        </w:rPr>
        <w:t>Erika Sklar</w:t>
      </w:r>
      <w:r w:rsidR="007042A3" w:rsidRPr="00054727">
        <w:rPr>
          <w:color w:val="0B0B0B"/>
          <w:sz w:val="22"/>
          <w:szCs w:val="22"/>
        </w:rPr>
        <w:tab/>
      </w:r>
      <w:r w:rsidR="007042A3" w:rsidRPr="00054727">
        <w:rPr>
          <w:color w:val="0B0B0B"/>
          <w:sz w:val="22"/>
          <w:szCs w:val="22"/>
        </w:rPr>
        <w:tab/>
      </w:r>
      <w:r w:rsidR="007042A3" w:rsidRPr="00054727">
        <w:rPr>
          <w:color w:val="0B0B0B"/>
          <w:sz w:val="22"/>
          <w:szCs w:val="22"/>
        </w:rPr>
        <w:tab/>
      </w:r>
      <w:r w:rsidR="007042A3" w:rsidRPr="00054727">
        <w:rPr>
          <w:i/>
          <w:color w:val="0B0B0B"/>
          <w:sz w:val="22"/>
          <w:szCs w:val="22"/>
        </w:rPr>
        <w:t>Yountville, St. Helena, Calistoga Representative</w:t>
      </w:r>
    </w:p>
    <w:p w:rsidR="00562108" w:rsidRDefault="006710B8" w:rsidP="00DF43E1">
      <w:pPr>
        <w:spacing w:after="240" w:line="276" w:lineRule="auto"/>
        <w:ind w:left="360"/>
        <w:rPr>
          <w:color w:val="0B0B0B"/>
          <w:sz w:val="22"/>
          <w:szCs w:val="22"/>
        </w:rPr>
      </w:pPr>
      <w:r w:rsidRPr="00054727">
        <w:rPr>
          <w:color w:val="0B0B0B"/>
          <w:sz w:val="22"/>
          <w:szCs w:val="22"/>
        </w:rPr>
        <w:t xml:space="preserve">Note that </w:t>
      </w:r>
      <w:r w:rsidR="00D628D2">
        <w:rPr>
          <w:color w:val="0B0B0B"/>
          <w:sz w:val="22"/>
          <w:szCs w:val="22"/>
        </w:rPr>
        <w:t>the</w:t>
      </w:r>
      <w:r w:rsidRPr="00054727">
        <w:rPr>
          <w:color w:val="0B0B0B"/>
          <w:sz w:val="22"/>
          <w:szCs w:val="22"/>
        </w:rPr>
        <w:t xml:space="preserve"> hospitality </w:t>
      </w:r>
      <w:r w:rsidR="00963617">
        <w:rPr>
          <w:color w:val="0B0B0B"/>
          <w:sz w:val="22"/>
          <w:szCs w:val="22"/>
        </w:rPr>
        <w:t>member</w:t>
      </w:r>
      <w:r w:rsidR="00963617" w:rsidRPr="00054727">
        <w:rPr>
          <w:color w:val="0B0B0B"/>
          <w:sz w:val="22"/>
          <w:szCs w:val="22"/>
        </w:rPr>
        <w:t xml:space="preserve"> </w:t>
      </w:r>
      <w:r w:rsidRPr="00054727">
        <w:rPr>
          <w:color w:val="0B0B0B"/>
          <w:sz w:val="22"/>
          <w:szCs w:val="22"/>
        </w:rPr>
        <w:t xml:space="preserve">originally assigned </w:t>
      </w:r>
      <w:r w:rsidR="009345B3" w:rsidRPr="00054727">
        <w:rPr>
          <w:color w:val="0B0B0B"/>
          <w:sz w:val="22"/>
          <w:szCs w:val="22"/>
        </w:rPr>
        <w:t xml:space="preserve">to the Task Force </w:t>
      </w:r>
      <w:r w:rsidRPr="00054727">
        <w:rPr>
          <w:color w:val="0B0B0B"/>
          <w:sz w:val="22"/>
          <w:szCs w:val="22"/>
        </w:rPr>
        <w:t>withdrew during the process</w:t>
      </w:r>
      <w:r w:rsidR="00F84872">
        <w:rPr>
          <w:color w:val="0B0B0B"/>
          <w:sz w:val="22"/>
          <w:szCs w:val="22"/>
        </w:rPr>
        <w:t xml:space="preserve"> due to scheduling conflicts</w:t>
      </w:r>
      <w:r w:rsidR="00DD66DC" w:rsidRPr="00054727">
        <w:rPr>
          <w:color w:val="0B0B0B"/>
          <w:sz w:val="22"/>
          <w:szCs w:val="22"/>
        </w:rPr>
        <w:t>.</w:t>
      </w:r>
    </w:p>
    <w:p w:rsidR="00562108" w:rsidRDefault="00D628D2" w:rsidP="00DF43E1">
      <w:pPr>
        <w:ind w:left="360"/>
        <w:rPr>
          <w:b/>
          <w:sz w:val="22"/>
          <w:szCs w:val="22"/>
          <w:u w:val="single"/>
        </w:rPr>
      </w:pPr>
      <w:r w:rsidRPr="00784036">
        <w:rPr>
          <w:b/>
          <w:iCs/>
          <w:sz w:val="22"/>
          <w:szCs w:val="22"/>
          <w:u w:val="single"/>
        </w:rPr>
        <w:t>Agency Staff and Consultants</w:t>
      </w:r>
    </w:p>
    <w:p w:rsidR="007042A3" w:rsidRPr="00784036" w:rsidRDefault="007042A3" w:rsidP="004C794B">
      <w:pPr>
        <w:numPr>
          <w:ilvl w:val="0"/>
          <w:numId w:val="4"/>
        </w:numPr>
        <w:suppressAutoHyphens/>
        <w:autoSpaceDE w:val="0"/>
        <w:autoSpaceDN w:val="0"/>
        <w:adjustRightInd w:val="0"/>
        <w:spacing w:line="276" w:lineRule="auto"/>
        <w:contextualSpacing/>
        <w:textAlignment w:val="center"/>
        <w:rPr>
          <w:sz w:val="22"/>
          <w:szCs w:val="22"/>
        </w:rPr>
      </w:pPr>
      <w:r w:rsidRPr="00784036">
        <w:rPr>
          <w:sz w:val="22"/>
          <w:szCs w:val="22"/>
        </w:rPr>
        <w:t>Brent Cooper</w:t>
      </w:r>
      <w:r w:rsidRPr="00784036">
        <w:rPr>
          <w:sz w:val="22"/>
          <w:szCs w:val="22"/>
        </w:rPr>
        <w:tab/>
      </w:r>
      <w:r w:rsidRPr="00784036">
        <w:rPr>
          <w:sz w:val="22"/>
          <w:szCs w:val="22"/>
        </w:rPr>
        <w:tab/>
      </w:r>
      <w:r w:rsidRPr="00784036">
        <w:rPr>
          <w:sz w:val="22"/>
          <w:szCs w:val="22"/>
        </w:rPr>
        <w:tab/>
      </w:r>
      <w:r w:rsidRPr="00784036">
        <w:rPr>
          <w:i/>
          <w:sz w:val="22"/>
          <w:szCs w:val="22"/>
        </w:rPr>
        <w:t>Community Development Director, City of American Canyon</w:t>
      </w:r>
    </w:p>
    <w:p w:rsidR="007042A3" w:rsidRPr="00784036" w:rsidRDefault="007042A3" w:rsidP="004C794B">
      <w:pPr>
        <w:numPr>
          <w:ilvl w:val="0"/>
          <w:numId w:val="4"/>
        </w:numPr>
        <w:suppressAutoHyphens/>
        <w:autoSpaceDE w:val="0"/>
        <w:autoSpaceDN w:val="0"/>
        <w:adjustRightInd w:val="0"/>
        <w:spacing w:line="276" w:lineRule="auto"/>
        <w:contextualSpacing/>
        <w:textAlignment w:val="center"/>
        <w:rPr>
          <w:sz w:val="22"/>
          <w:szCs w:val="22"/>
        </w:rPr>
      </w:pPr>
      <w:r w:rsidRPr="00784036">
        <w:rPr>
          <w:sz w:val="22"/>
          <w:szCs w:val="22"/>
        </w:rPr>
        <w:t>Lark Ferrell</w:t>
      </w:r>
      <w:r w:rsidRPr="00784036">
        <w:rPr>
          <w:sz w:val="22"/>
          <w:szCs w:val="22"/>
        </w:rPr>
        <w:tab/>
      </w:r>
      <w:r w:rsidRPr="00784036">
        <w:rPr>
          <w:sz w:val="22"/>
          <w:szCs w:val="22"/>
        </w:rPr>
        <w:tab/>
      </w:r>
      <w:r w:rsidRPr="00784036">
        <w:rPr>
          <w:sz w:val="22"/>
          <w:szCs w:val="22"/>
        </w:rPr>
        <w:tab/>
      </w:r>
      <w:r w:rsidRPr="00784036">
        <w:rPr>
          <w:i/>
          <w:sz w:val="22"/>
          <w:szCs w:val="22"/>
        </w:rPr>
        <w:t>Housing Manager, City of Napa</w:t>
      </w:r>
      <w:r w:rsidRPr="00784036">
        <w:rPr>
          <w:sz w:val="22"/>
          <w:szCs w:val="22"/>
        </w:rPr>
        <w:t xml:space="preserve"> </w:t>
      </w:r>
    </w:p>
    <w:p w:rsidR="00F47B38" w:rsidRPr="00784036" w:rsidRDefault="007042A3" w:rsidP="004C794B">
      <w:pPr>
        <w:numPr>
          <w:ilvl w:val="0"/>
          <w:numId w:val="4"/>
        </w:numPr>
        <w:suppressAutoHyphens/>
        <w:autoSpaceDE w:val="0"/>
        <w:autoSpaceDN w:val="0"/>
        <w:adjustRightInd w:val="0"/>
        <w:spacing w:line="276" w:lineRule="auto"/>
        <w:contextualSpacing/>
        <w:textAlignment w:val="center"/>
        <w:rPr>
          <w:sz w:val="22"/>
          <w:szCs w:val="22"/>
        </w:rPr>
      </w:pPr>
      <w:r w:rsidRPr="00784036">
        <w:rPr>
          <w:sz w:val="22"/>
          <w:szCs w:val="22"/>
        </w:rPr>
        <w:t>Larry Florin</w:t>
      </w:r>
      <w:r w:rsidRPr="00784036">
        <w:rPr>
          <w:sz w:val="22"/>
          <w:szCs w:val="22"/>
        </w:rPr>
        <w:tab/>
      </w:r>
      <w:r w:rsidRPr="00784036">
        <w:rPr>
          <w:sz w:val="22"/>
          <w:szCs w:val="22"/>
        </w:rPr>
        <w:tab/>
      </w:r>
      <w:r w:rsidRPr="00784036">
        <w:rPr>
          <w:sz w:val="22"/>
          <w:szCs w:val="22"/>
        </w:rPr>
        <w:tab/>
      </w:r>
      <w:r w:rsidRPr="00784036">
        <w:rPr>
          <w:i/>
          <w:sz w:val="22"/>
          <w:szCs w:val="22"/>
        </w:rPr>
        <w:t>Dir</w:t>
      </w:r>
      <w:r w:rsidR="00457B29" w:rsidRPr="00784036">
        <w:rPr>
          <w:i/>
          <w:sz w:val="22"/>
          <w:szCs w:val="22"/>
        </w:rPr>
        <w:t>ector</w:t>
      </w:r>
      <w:r w:rsidRPr="00784036">
        <w:rPr>
          <w:i/>
          <w:sz w:val="22"/>
          <w:szCs w:val="22"/>
        </w:rPr>
        <w:t xml:space="preserve"> of Housing &amp; Intergovernmental Affairs, County of </w:t>
      </w:r>
    </w:p>
    <w:p w:rsidR="007042A3" w:rsidRPr="00B85685" w:rsidRDefault="007042A3" w:rsidP="004D6C9D">
      <w:pPr>
        <w:suppressAutoHyphens/>
        <w:autoSpaceDE w:val="0"/>
        <w:autoSpaceDN w:val="0"/>
        <w:adjustRightInd w:val="0"/>
        <w:spacing w:line="276" w:lineRule="auto"/>
        <w:ind w:left="2880" w:firstLine="720"/>
        <w:contextualSpacing/>
        <w:textAlignment w:val="center"/>
        <w:rPr>
          <w:sz w:val="22"/>
          <w:szCs w:val="22"/>
        </w:rPr>
      </w:pPr>
      <w:r w:rsidRPr="00784036">
        <w:rPr>
          <w:i/>
          <w:sz w:val="22"/>
          <w:szCs w:val="22"/>
        </w:rPr>
        <w:t>Napa</w:t>
      </w:r>
    </w:p>
    <w:p w:rsidR="007042A3" w:rsidRPr="00784036" w:rsidRDefault="00B85685" w:rsidP="00B85685">
      <w:pPr>
        <w:suppressAutoHyphens/>
        <w:autoSpaceDE w:val="0"/>
        <w:autoSpaceDN w:val="0"/>
        <w:adjustRightInd w:val="0"/>
        <w:spacing w:line="276" w:lineRule="auto"/>
        <w:ind w:left="360"/>
        <w:contextualSpacing/>
        <w:textAlignment w:val="center"/>
        <w:rPr>
          <w:i/>
          <w:sz w:val="22"/>
          <w:szCs w:val="22"/>
        </w:rPr>
      </w:pPr>
      <w:r>
        <w:rPr>
          <w:sz w:val="22"/>
          <w:szCs w:val="22"/>
        </w:rPr>
        <w:t>4.</w:t>
      </w:r>
      <w:r>
        <w:rPr>
          <w:sz w:val="22"/>
          <w:szCs w:val="22"/>
        </w:rPr>
        <w:tab/>
      </w:r>
      <w:r w:rsidR="007042A3" w:rsidRPr="00784036">
        <w:rPr>
          <w:sz w:val="22"/>
          <w:szCs w:val="22"/>
        </w:rPr>
        <w:t>Nancy Johnson</w:t>
      </w:r>
      <w:r w:rsidR="007042A3" w:rsidRPr="00784036">
        <w:rPr>
          <w:sz w:val="22"/>
          <w:szCs w:val="22"/>
        </w:rPr>
        <w:tab/>
      </w:r>
      <w:r w:rsidR="007042A3" w:rsidRPr="00784036">
        <w:rPr>
          <w:sz w:val="22"/>
          <w:szCs w:val="22"/>
        </w:rPr>
        <w:tab/>
      </w:r>
      <w:r w:rsidR="007042A3" w:rsidRPr="00784036">
        <w:rPr>
          <w:sz w:val="22"/>
          <w:szCs w:val="22"/>
        </w:rPr>
        <w:tab/>
      </w:r>
      <w:r w:rsidR="00DD66DC" w:rsidRPr="00784036">
        <w:rPr>
          <w:i/>
          <w:sz w:val="22"/>
          <w:szCs w:val="22"/>
        </w:rPr>
        <w:t xml:space="preserve">Housing Program Manager, </w:t>
      </w:r>
      <w:r w:rsidR="007042A3" w:rsidRPr="00784036">
        <w:rPr>
          <w:i/>
          <w:sz w:val="22"/>
          <w:szCs w:val="22"/>
        </w:rPr>
        <w:t>County of Napa</w:t>
      </w:r>
    </w:p>
    <w:p w:rsidR="007042A3" w:rsidRPr="00784036" w:rsidRDefault="00B85685" w:rsidP="00B85685">
      <w:pPr>
        <w:spacing w:line="276" w:lineRule="auto"/>
        <w:ind w:left="360"/>
        <w:contextualSpacing/>
        <w:rPr>
          <w:sz w:val="22"/>
          <w:szCs w:val="22"/>
        </w:rPr>
      </w:pPr>
      <w:r>
        <w:rPr>
          <w:sz w:val="22"/>
          <w:szCs w:val="22"/>
        </w:rPr>
        <w:t>5.</w:t>
      </w:r>
      <w:r>
        <w:rPr>
          <w:sz w:val="22"/>
          <w:szCs w:val="22"/>
        </w:rPr>
        <w:tab/>
      </w:r>
      <w:r w:rsidR="007042A3" w:rsidRPr="00784036">
        <w:rPr>
          <w:sz w:val="22"/>
          <w:szCs w:val="22"/>
        </w:rPr>
        <w:t>Nancy McDonnell</w:t>
      </w:r>
      <w:r w:rsidR="007042A3" w:rsidRPr="00784036">
        <w:rPr>
          <w:sz w:val="22"/>
          <w:szCs w:val="22"/>
        </w:rPr>
        <w:tab/>
      </w:r>
      <w:r w:rsidR="007042A3" w:rsidRPr="00784036">
        <w:rPr>
          <w:sz w:val="22"/>
          <w:szCs w:val="22"/>
        </w:rPr>
        <w:tab/>
      </w:r>
      <w:r w:rsidR="00DD66DC" w:rsidRPr="00784036">
        <w:rPr>
          <w:i/>
          <w:sz w:val="22"/>
          <w:szCs w:val="22"/>
        </w:rPr>
        <w:t xml:space="preserve">Staff Services Analyst II, </w:t>
      </w:r>
      <w:r w:rsidR="007042A3" w:rsidRPr="00784036">
        <w:rPr>
          <w:i/>
          <w:sz w:val="22"/>
          <w:szCs w:val="22"/>
        </w:rPr>
        <w:t>County of Napa</w:t>
      </w:r>
    </w:p>
    <w:p w:rsidR="007042A3" w:rsidRPr="00784036" w:rsidRDefault="00B85685" w:rsidP="00B85685">
      <w:pPr>
        <w:suppressAutoHyphens/>
        <w:autoSpaceDE w:val="0"/>
        <w:autoSpaceDN w:val="0"/>
        <w:adjustRightInd w:val="0"/>
        <w:spacing w:line="276" w:lineRule="auto"/>
        <w:ind w:left="360"/>
        <w:contextualSpacing/>
        <w:textAlignment w:val="center"/>
        <w:rPr>
          <w:sz w:val="22"/>
          <w:szCs w:val="22"/>
        </w:rPr>
      </w:pPr>
      <w:r>
        <w:rPr>
          <w:sz w:val="22"/>
          <w:szCs w:val="22"/>
        </w:rPr>
        <w:t>6.</w:t>
      </w:r>
      <w:r>
        <w:rPr>
          <w:sz w:val="22"/>
          <w:szCs w:val="22"/>
        </w:rPr>
        <w:tab/>
      </w:r>
      <w:r w:rsidR="007042A3" w:rsidRPr="00784036">
        <w:rPr>
          <w:sz w:val="22"/>
          <w:szCs w:val="22"/>
        </w:rPr>
        <w:t>Rick Tooker</w:t>
      </w:r>
      <w:r w:rsidR="007042A3" w:rsidRPr="00784036">
        <w:rPr>
          <w:sz w:val="22"/>
          <w:szCs w:val="22"/>
        </w:rPr>
        <w:tab/>
      </w:r>
      <w:r w:rsidR="007042A3" w:rsidRPr="00784036">
        <w:rPr>
          <w:sz w:val="22"/>
          <w:szCs w:val="22"/>
        </w:rPr>
        <w:tab/>
      </w:r>
      <w:r w:rsidR="007042A3" w:rsidRPr="00784036">
        <w:rPr>
          <w:sz w:val="22"/>
          <w:szCs w:val="22"/>
        </w:rPr>
        <w:tab/>
      </w:r>
      <w:r w:rsidR="007042A3" w:rsidRPr="00784036">
        <w:rPr>
          <w:i/>
          <w:sz w:val="22"/>
          <w:szCs w:val="22"/>
        </w:rPr>
        <w:t>Community Development Director, City of Napa</w:t>
      </w:r>
    </w:p>
    <w:p w:rsidR="00D34700" w:rsidRPr="00784036" w:rsidRDefault="00B85685" w:rsidP="00B85685">
      <w:pPr>
        <w:suppressAutoHyphens/>
        <w:autoSpaceDE w:val="0"/>
        <w:autoSpaceDN w:val="0"/>
        <w:adjustRightInd w:val="0"/>
        <w:spacing w:line="276" w:lineRule="auto"/>
        <w:ind w:left="360"/>
        <w:contextualSpacing/>
        <w:textAlignment w:val="center"/>
        <w:rPr>
          <w:sz w:val="22"/>
          <w:szCs w:val="22"/>
        </w:rPr>
      </w:pPr>
      <w:r>
        <w:rPr>
          <w:sz w:val="22"/>
          <w:szCs w:val="22"/>
        </w:rPr>
        <w:t>7.</w:t>
      </w:r>
      <w:r>
        <w:rPr>
          <w:sz w:val="22"/>
          <w:szCs w:val="22"/>
        </w:rPr>
        <w:tab/>
      </w:r>
      <w:r w:rsidR="00D34700" w:rsidRPr="00784036">
        <w:rPr>
          <w:sz w:val="22"/>
          <w:szCs w:val="22"/>
        </w:rPr>
        <w:t>Cassandra Walker</w:t>
      </w:r>
      <w:r w:rsidR="00D34700" w:rsidRPr="00784036">
        <w:rPr>
          <w:sz w:val="22"/>
          <w:szCs w:val="22"/>
        </w:rPr>
        <w:tab/>
      </w:r>
      <w:r w:rsidR="00D34700" w:rsidRPr="00784036">
        <w:rPr>
          <w:sz w:val="22"/>
          <w:szCs w:val="22"/>
        </w:rPr>
        <w:tab/>
      </w:r>
      <w:r w:rsidR="00D34700" w:rsidRPr="00784036">
        <w:rPr>
          <w:i/>
          <w:sz w:val="22"/>
          <w:szCs w:val="22"/>
        </w:rPr>
        <w:t>Community Development Director (former), City of Napa</w:t>
      </w:r>
    </w:p>
    <w:p w:rsidR="00D628D2" w:rsidRPr="00784036" w:rsidRDefault="00784036" w:rsidP="004D6C9D">
      <w:pPr>
        <w:tabs>
          <w:tab w:val="left" w:pos="720"/>
          <w:tab w:val="left" w:pos="3600"/>
        </w:tabs>
        <w:suppressAutoHyphens/>
        <w:autoSpaceDE w:val="0"/>
        <w:autoSpaceDN w:val="0"/>
        <w:adjustRightInd w:val="0"/>
        <w:spacing w:line="276" w:lineRule="auto"/>
        <w:ind w:left="360"/>
        <w:contextualSpacing/>
        <w:textAlignment w:val="center"/>
        <w:rPr>
          <w:sz w:val="22"/>
          <w:szCs w:val="22"/>
        </w:rPr>
      </w:pPr>
      <w:r>
        <w:rPr>
          <w:sz w:val="22"/>
          <w:szCs w:val="22"/>
        </w:rPr>
        <w:t>8.</w:t>
      </w:r>
      <w:r>
        <w:rPr>
          <w:sz w:val="22"/>
          <w:szCs w:val="22"/>
        </w:rPr>
        <w:tab/>
      </w:r>
      <w:r w:rsidR="00D628D2" w:rsidRPr="00784036">
        <w:rPr>
          <w:sz w:val="22"/>
          <w:szCs w:val="22"/>
        </w:rPr>
        <w:t>Jennifer LeSar</w:t>
      </w:r>
      <w:r w:rsidR="00D628D2" w:rsidRPr="00784036">
        <w:rPr>
          <w:sz w:val="22"/>
          <w:szCs w:val="22"/>
        </w:rPr>
        <w:tab/>
      </w:r>
      <w:r w:rsidR="00D628D2" w:rsidRPr="00784036">
        <w:rPr>
          <w:i/>
          <w:sz w:val="22"/>
          <w:szCs w:val="22"/>
        </w:rPr>
        <w:t>President, LeSar Development Consultants</w:t>
      </w:r>
    </w:p>
    <w:p w:rsidR="00D628D2" w:rsidRPr="00784036" w:rsidRDefault="00784036" w:rsidP="004D6C9D">
      <w:pPr>
        <w:tabs>
          <w:tab w:val="left" w:pos="720"/>
          <w:tab w:val="left" w:pos="3600"/>
        </w:tabs>
        <w:suppressAutoHyphens/>
        <w:autoSpaceDE w:val="0"/>
        <w:autoSpaceDN w:val="0"/>
        <w:adjustRightInd w:val="0"/>
        <w:spacing w:line="276" w:lineRule="auto"/>
        <w:ind w:left="360"/>
        <w:contextualSpacing/>
        <w:textAlignment w:val="center"/>
        <w:rPr>
          <w:sz w:val="22"/>
          <w:szCs w:val="22"/>
        </w:rPr>
      </w:pPr>
      <w:r>
        <w:rPr>
          <w:sz w:val="22"/>
          <w:szCs w:val="22"/>
        </w:rPr>
        <w:t>9.</w:t>
      </w:r>
      <w:r>
        <w:rPr>
          <w:sz w:val="22"/>
          <w:szCs w:val="22"/>
        </w:rPr>
        <w:tab/>
      </w:r>
      <w:r w:rsidRPr="00784036">
        <w:rPr>
          <w:sz w:val="22"/>
          <w:szCs w:val="22"/>
        </w:rPr>
        <w:t>Gretchen Kinney Newsom</w:t>
      </w:r>
      <w:r>
        <w:rPr>
          <w:sz w:val="22"/>
          <w:szCs w:val="22"/>
        </w:rPr>
        <w:t xml:space="preserve"> </w:t>
      </w:r>
      <w:r w:rsidR="00D628D2" w:rsidRPr="00784036">
        <w:rPr>
          <w:sz w:val="22"/>
          <w:szCs w:val="22"/>
        </w:rPr>
        <w:tab/>
      </w:r>
      <w:r w:rsidR="00D628D2" w:rsidRPr="00784036">
        <w:rPr>
          <w:i/>
          <w:sz w:val="22"/>
          <w:szCs w:val="22"/>
        </w:rPr>
        <w:t>Principal, LeSar Development Consultants</w:t>
      </w:r>
    </w:p>
    <w:p w:rsidR="00D628D2" w:rsidRDefault="00D628D2" w:rsidP="004D6C9D">
      <w:pPr>
        <w:spacing w:line="276" w:lineRule="auto"/>
        <w:ind w:left="360"/>
        <w:rPr>
          <w:i/>
          <w:sz w:val="22"/>
          <w:szCs w:val="22"/>
        </w:rPr>
      </w:pPr>
      <w:r w:rsidRPr="00784036">
        <w:rPr>
          <w:sz w:val="22"/>
          <w:szCs w:val="22"/>
        </w:rPr>
        <w:t>10.</w:t>
      </w:r>
      <w:r w:rsidRPr="00784036">
        <w:rPr>
          <w:sz w:val="22"/>
          <w:szCs w:val="22"/>
        </w:rPr>
        <w:tab/>
      </w:r>
      <w:r w:rsidR="00784036" w:rsidRPr="00784036">
        <w:rPr>
          <w:sz w:val="22"/>
          <w:szCs w:val="22"/>
        </w:rPr>
        <w:t>Ryan E. Mendoza</w:t>
      </w:r>
      <w:r w:rsidRPr="00784036">
        <w:rPr>
          <w:sz w:val="22"/>
          <w:szCs w:val="22"/>
        </w:rPr>
        <w:tab/>
      </w:r>
      <w:r w:rsidR="00784036">
        <w:rPr>
          <w:sz w:val="22"/>
          <w:szCs w:val="22"/>
        </w:rPr>
        <w:tab/>
      </w:r>
      <w:r w:rsidRPr="00784036">
        <w:rPr>
          <w:i/>
          <w:sz w:val="22"/>
          <w:szCs w:val="22"/>
        </w:rPr>
        <w:t>Principal, LeSar Development Consultants</w:t>
      </w:r>
    </w:p>
    <w:p w:rsidR="00DF43E1" w:rsidRDefault="00DF43E1" w:rsidP="00DF43E1">
      <w:pPr>
        <w:spacing w:line="276" w:lineRule="auto"/>
        <w:rPr>
          <w:i/>
          <w:sz w:val="22"/>
          <w:szCs w:val="22"/>
        </w:rPr>
      </w:pPr>
    </w:p>
    <w:p w:rsidR="00DF43E1" w:rsidRDefault="00DF43E1" w:rsidP="00DF43E1">
      <w:pPr>
        <w:spacing w:line="276" w:lineRule="auto"/>
        <w:rPr>
          <w:i/>
          <w:sz w:val="22"/>
          <w:szCs w:val="22"/>
        </w:rPr>
      </w:pPr>
    </w:p>
    <w:p w:rsidR="00DF43E1" w:rsidRPr="00784036" w:rsidRDefault="00DF43E1" w:rsidP="00DF43E1">
      <w:pPr>
        <w:spacing w:line="276" w:lineRule="auto"/>
        <w:rPr>
          <w:i/>
          <w:sz w:val="22"/>
          <w:szCs w:val="22"/>
        </w:rPr>
      </w:pPr>
    </w:p>
    <w:p w:rsidR="005238E0" w:rsidRPr="004D6C9D" w:rsidRDefault="00CB322F" w:rsidP="004D6C9D">
      <w:pPr>
        <w:spacing w:after="200" w:line="276" w:lineRule="auto"/>
        <w:jc w:val="center"/>
        <w:outlineLvl w:val="0"/>
        <w:rPr>
          <w:b/>
          <w:sz w:val="28"/>
          <w:szCs w:val="28"/>
        </w:rPr>
      </w:pPr>
      <w:hyperlink w:anchor="Table_of_Contents" w:history="1">
        <w:r w:rsidR="005238E0" w:rsidRPr="004D6C9D">
          <w:rPr>
            <w:rStyle w:val="Hyperlink"/>
            <w:b/>
            <w:sz w:val="28"/>
            <w:szCs w:val="28"/>
          </w:rPr>
          <w:t>Executive Summary</w:t>
        </w:r>
      </w:hyperlink>
    </w:p>
    <w:p w:rsidR="00EF1842" w:rsidRDefault="00E76B83" w:rsidP="004D6C9D">
      <w:pPr>
        <w:spacing w:after="200" w:line="276" w:lineRule="auto"/>
        <w:jc w:val="both"/>
        <w:rPr>
          <w:rFonts w:eastAsia="Calibri"/>
          <w:sz w:val="22"/>
          <w:szCs w:val="22"/>
        </w:rPr>
      </w:pPr>
      <w:r>
        <w:rPr>
          <w:rFonts w:eastAsia="Calibri"/>
          <w:sz w:val="22"/>
          <w:szCs w:val="22"/>
        </w:rPr>
        <w:t xml:space="preserve">The </w:t>
      </w:r>
      <w:r w:rsidR="000A6687">
        <w:rPr>
          <w:rFonts w:eastAsia="Calibri"/>
          <w:sz w:val="22"/>
          <w:szCs w:val="22"/>
        </w:rPr>
        <w:t xml:space="preserve">formation of the </w:t>
      </w:r>
      <w:r w:rsidR="00CD65DB">
        <w:rPr>
          <w:rFonts w:eastAsia="Calibri"/>
          <w:sz w:val="22"/>
          <w:szCs w:val="22"/>
        </w:rPr>
        <w:t>Task Force</w:t>
      </w:r>
      <w:r w:rsidR="00707E4E">
        <w:rPr>
          <w:rFonts w:eastAsia="Calibri"/>
          <w:sz w:val="22"/>
          <w:szCs w:val="22"/>
        </w:rPr>
        <w:t xml:space="preserve">, </w:t>
      </w:r>
      <w:r w:rsidR="003F3209">
        <w:rPr>
          <w:rFonts w:eastAsia="Calibri"/>
          <w:sz w:val="22"/>
          <w:szCs w:val="22"/>
        </w:rPr>
        <w:t xml:space="preserve">comprising </w:t>
      </w:r>
      <w:r w:rsidR="00707E4E">
        <w:rPr>
          <w:rFonts w:eastAsia="Calibri"/>
          <w:sz w:val="22"/>
          <w:szCs w:val="22"/>
        </w:rPr>
        <w:t>a 17</w:t>
      </w:r>
      <w:r w:rsidR="00B24B4A" w:rsidRPr="00B24B4A">
        <w:rPr>
          <w:rFonts w:eastAsia="Calibri"/>
          <w:sz w:val="22"/>
          <w:szCs w:val="22"/>
        </w:rPr>
        <w:t>-member panel of housing experts</w:t>
      </w:r>
      <w:r w:rsidR="003F3209">
        <w:rPr>
          <w:rFonts w:eastAsia="Calibri"/>
          <w:sz w:val="22"/>
          <w:szCs w:val="22"/>
        </w:rPr>
        <w:t>, advocates</w:t>
      </w:r>
      <w:r w:rsidR="00B24B4A" w:rsidRPr="00B24B4A">
        <w:rPr>
          <w:rFonts w:eastAsia="Calibri"/>
          <w:sz w:val="22"/>
          <w:szCs w:val="22"/>
        </w:rPr>
        <w:t xml:space="preserve"> and community stakeholders, </w:t>
      </w:r>
      <w:r>
        <w:rPr>
          <w:rFonts w:eastAsia="Calibri"/>
          <w:sz w:val="22"/>
          <w:szCs w:val="22"/>
        </w:rPr>
        <w:t xml:space="preserve">represents an important step in </w:t>
      </w:r>
      <w:r w:rsidR="003F3209">
        <w:rPr>
          <w:rFonts w:eastAsia="Calibri"/>
          <w:sz w:val="22"/>
          <w:szCs w:val="22"/>
        </w:rPr>
        <w:t>a region-wide</w:t>
      </w:r>
      <w:r w:rsidRPr="00E76B83">
        <w:rPr>
          <w:rFonts w:eastAsia="Calibri"/>
          <w:sz w:val="22"/>
          <w:szCs w:val="22"/>
        </w:rPr>
        <w:t xml:space="preserve"> initiative to respond to the cr</w:t>
      </w:r>
      <w:r w:rsidR="00242BC3">
        <w:rPr>
          <w:rFonts w:eastAsia="Calibri"/>
          <w:sz w:val="22"/>
          <w:szCs w:val="22"/>
        </w:rPr>
        <w:t>itical need to expand</w:t>
      </w:r>
      <w:r w:rsidRPr="00E76B83">
        <w:rPr>
          <w:rFonts w:eastAsia="Calibri"/>
          <w:sz w:val="22"/>
          <w:szCs w:val="22"/>
        </w:rPr>
        <w:t xml:space="preserve"> affordable housing</w:t>
      </w:r>
      <w:r w:rsidR="00242BC3">
        <w:rPr>
          <w:rFonts w:eastAsia="Calibri"/>
          <w:sz w:val="22"/>
          <w:szCs w:val="22"/>
        </w:rPr>
        <w:t xml:space="preserve"> resources</w:t>
      </w:r>
      <w:r w:rsidR="003F3209">
        <w:rPr>
          <w:rFonts w:eastAsia="Calibri"/>
          <w:sz w:val="22"/>
          <w:szCs w:val="22"/>
        </w:rPr>
        <w:t xml:space="preserve"> in Napa County</w:t>
      </w:r>
      <w:r w:rsidRPr="00E76B83">
        <w:rPr>
          <w:rFonts w:eastAsia="Calibri"/>
          <w:sz w:val="22"/>
          <w:szCs w:val="22"/>
        </w:rPr>
        <w:t xml:space="preserve">. </w:t>
      </w:r>
      <w:r>
        <w:rPr>
          <w:rFonts w:eastAsia="Calibri"/>
          <w:sz w:val="22"/>
          <w:szCs w:val="22"/>
        </w:rPr>
        <w:t xml:space="preserve">The Task Force </w:t>
      </w:r>
      <w:r w:rsidR="00B24B4A" w:rsidRPr="00B24B4A">
        <w:rPr>
          <w:rFonts w:eastAsia="Calibri"/>
          <w:sz w:val="22"/>
          <w:szCs w:val="22"/>
        </w:rPr>
        <w:t>considered the following questions</w:t>
      </w:r>
      <w:r w:rsidR="006710B8">
        <w:rPr>
          <w:rFonts w:eastAsia="Calibri"/>
          <w:sz w:val="22"/>
          <w:szCs w:val="22"/>
        </w:rPr>
        <w:t xml:space="preserve"> in its review of </w:t>
      </w:r>
      <w:r w:rsidR="00151CB1">
        <w:rPr>
          <w:rFonts w:eastAsia="Calibri"/>
          <w:sz w:val="22"/>
          <w:szCs w:val="22"/>
        </w:rPr>
        <w:t xml:space="preserve">the identification of </w:t>
      </w:r>
      <w:r w:rsidR="006B5BE4">
        <w:rPr>
          <w:rFonts w:eastAsia="Calibri"/>
          <w:sz w:val="22"/>
          <w:szCs w:val="22"/>
        </w:rPr>
        <w:t xml:space="preserve">housing </w:t>
      </w:r>
      <w:r w:rsidR="00151CB1">
        <w:rPr>
          <w:rFonts w:eastAsia="Calibri"/>
          <w:sz w:val="22"/>
          <w:szCs w:val="22"/>
        </w:rPr>
        <w:t>resources</w:t>
      </w:r>
      <w:r w:rsidR="00B24B4A" w:rsidRPr="00B24B4A">
        <w:rPr>
          <w:rFonts w:eastAsia="Calibri"/>
          <w:sz w:val="22"/>
          <w:szCs w:val="22"/>
        </w:rPr>
        <w:t>:</w:t>
      </w:r>
    </w:p>
    <w:p w:rsidR="00EF1842" w:rsidRDefault="00782C9D" w:rsidP="004C794B">
      <w:pPr>
        <w:pStyle w:val="ListParagraph"/>
        <w:numPr>
          <w:ilvl w:val="0"/>
          <w:numId w:val="18"/>
        </w:numPr>
        <w:tabs>
          <w:tab w:val="left" w:pos="1080"/>
        </w:tabs>
        <w:spacing w:line="276" w:lineRule="auto"/>
        <w:ind w:left="1080" w:right="533"/>
        <w:jc w:val="both"/>
        <w:rPr>
          <w:rFonts w:eastAsia="Calibri"/>
        </w:rPr>
      </w:pPr>
      <w:r>
        <w:rPr>
          <w:rFonts w:eastAsia="Calibri"/>
        </w:rPr>
        <w:t>W</w:t>
      </w:r>
      <w:r w:rsidR="00B24B4A" w:rsidRPr="00EF1842">
        <w:rPr>
          <w:rFonts w:eastAsia="Calibri"/>
        </w:rPr>
        <w:t>hat are the factors that add to the costs of developin</w:t>
      </w:r>
      <w:r w:rsidR="00242BC3" w:rsidRPr="00EF1842">
        <w:rPr>
          <w:rFonts w:eastAsia="Calibri"/>
        </w:rPr>
        <w:t>g affordable housing?</w:t>
      </w:r>
    </w:p>
    <w:p w:rsidR="00EF1842" w:rsidRDefault="00782C9D" w:rsidP="004C794B">
      <w:pPr>
        <w:pStyle w:val="ListParagraph"/>
        <w:numPr>
          <w:ilvl w:val="0"/>
          <w:numId w:val="18"/>
        </w:numPr>
        <w:tabs>
          <w:tab w:val="left" w:pos="1080"/>
        </w:tabs>
        <w:spacing w:line="276" w:lineRule="auto"/>
        <w:ind w:left="1080" w:right="533"/>
        <w:jc w:val="both"/>
        <w:rPr>
          <w:rFonts w:eastAsia="Calibri"/>
        </w:rPr>
      </w:pPr>
      <w:r>
        <w:rPr>
          <w:rFonts w:eastAsia="Calibri"/>
        </w:rPr>
        <w:t>H</w:t>
      </w:r>
      <w:r w:rsidR="00B24B4A" w:rsidRPr="00EF1842">
        <w:rPr>
          <w:rFonts w:eastAsia="Calibri"/>
        </w:rPr>
        <w:t xml:space="preserve">ow can Napa </w:t>
      </w:r>
      <w:r w:rsidR="003F3209">
        <w:rPr>
          <w:rFonts w:eastAsia="Calibri"/>
        </w:rPr>
        <w:t xml:space="preserve">County </w:t>
      </w:r>
      <w:r w:rsidR="00B24B4A" w:rsidRPr="00EF1842">
        <w:rPr>
          <w:rFonts w:eastAsia="Calibri"/>
        </w:rPr>
        <w:t>stakeholders reduce and control those development costs?</w:t>
      </w:r>
    </w:p>
    <w:p w:rsidR="00B24B4A" w:rsidRDefault="00782C9D" w:rsidP="004C794B">
      <w:pPr>
        <w:pStyle w:val="ListParagraph"/>
        <w:numPr>
          <w:ilvl w:val="0"/>
          <w:numId w:val="18"/>
        </w:numPr>
        <w:tabs>
          <w:tab w:val="left" w:pos="1080"/>
        </w:tabs>
        <w:spacing w:line="276" w:lineRule="auto"/>
        <w:ind w:left="1080" w:right="533"/>
        <w:jc w:val="both"/>
        <w:rPr>
          <w:rFonts w:eastAsia="Calibri"/>
        </w:rPr>
      </w:pPr>
      <w:r>
        <w:rPr>
          <w:rFonts w:eastAsia="Calibri"/>
        </w:rPr>
        <w:t>H</w:t>
      </w:r>
      <w:r w:rsidR="00B24B4A" w:rsidRPr="00EF1842">
        <w:rPr>
          <w:rFonts w:eastAsia="Calibri"/>
        </w:rPr>
        <w:t xml:space="preserve">ow can Napa </w:t>
      </w:r>
      <w:r w:rsidR="003F3209">
        <w:rPr>
          <w:rFonts w:eastAsia="Calibri"/>
        </w:rPr>
        <w:t>County</w:t>
      </w:r>
      <w:r w:rsidR="003F3209" w:rsidRPr="00EF1842">
        <w:rPr>
          <w:rFonts w:eastAsia="Calibri"/>
        </w:rPr>
        <w:t xml:space="preserve"> </w:t>
      </w:r>
      <w:r w:rsidR="00B24B4A" w:rsidRPr="00EF1842">
        <w:rPr>
          <w:rFonts w:eastAsia="Calibri"/>
        </w:rPr>
        <w:t>create a sustainable, local revenue source for affordable housing development?</w:t>
      </w:r>
    </w:p>
    <w:p w:rsidR="00707E4E" w:rsidRDefault="00707E4E" w:rsidP="004C794B">
      <w:pPr>
        <w:pStyle w:val="ListParagraph"/>
        <w:numPr>
          <w:ilvl w:val="0"/>
          <w:numId w:val="18"/>
        </w:numPr>
        <w:tabs>
          <w:tab w:val="left" w:pos="1080"/>
        </w:tabs>
        <w:spacing w:line="276" w:lineRule="auto"/>
        <w:ind w:left="1080" w:right="533"/>
        <w:jc w:val="both"/>
        <w:rPr>
          <w:rFonts w:eastAsia="Calibri"/>
        </w:rPr>
      </w:pPr>
      <w:r w:rsidRPr="00707E4E">
        <w:rPr>
          <w:rFonts w:eastAsia="Calibri"/>
        </w:rPr>
        <w:t>What types of households should be the primary target of affordable housing resources?</w:t>
      </w:r>
    </w:p>
    <w:p w:rsidR="00B24B4A" w:rsidRPr="00B24B4A" w:rsidRDefault="001228B4" w:rsidP="004D6C9D">
      <w:pPr>
        <w:spacing w:after="200" w:line="276" w:lineRule="auto"/>
        <w:jc w:val="both"/>
        <w:rPr>
          <w:rFonts w:eastAsia="Calibri"/>
          <w:sz w:val="22"/>
          <w:szCs w:val="22"/>
        </w:rPr>
      </w:pPr>
      <w:r>
        <w:rPr>
          <w:rFonts w:eastAsia="Calibri"/>
          <w:sz w:val="22"/>
          <w:szCs w:val="22"/>
        </w:rPr>
        <w:t>This report comprises two sections. The first section descr</w:t>
      </w:r>
      <w:r w:rsidR="002B44E1">
        <w:rPr>
          <w:rFonts w:eastAsia="Calibri"/>
          <w:sz w:val="22"/>
          <w:szCs w:val="22"/>
        </w:rPr>
        <w:t xml:space="preserve">ibes the purpose of the </w:t>
      </w:r>
      <w:r>
        <w:rPr>
          <w:rFonts w:eastAsia="Calibri"/>
          <w:sz w:val="22"/>
          <w:szCs w:val="22"/>
        </w:rPr>
        <w:t xml:space="preserve">Task Force and </w:t>
      </w:r>
      <w:r w:rsidR="006B5BE4">
        <w:rPr>
          <w:rFonts w:eastAsia="Calibri"/>
          <w:sz w:val="22"/>
          <w:szCs w:val="22"/>
        </w:rPr>
        <w:t>provides</w:t>
      </w:r>
      <w:r w:rsidR="00B73214">
        <w:rPr>
          <w:rFonts w:eastAsia="Calibri"/>
          <w:sz w:val="22"/>
          <w:szCs w:val="22"/>
        </w:rPr>
        <w:t xml:space="preserve"> a review of</w:t>
      </w:r>
      <w:r>
        <w:rPr>
          <w:rFonts w:eastAsia="Calibri"/>
          <w:sz w:val="22"/>
          <w:szCs w:val="22"/>
        </w:rPr>
        <w:t xml:space="preserve"> its </w:t>
      </w:r>
      <w:r w:rsidR="007D441E">
        <w:rPr>
          <w:rFonts w:eastAsia="Calibri"/>
          <w:sz w:val="22"/>
          <w:szCs w:val="22"/>
        </w:rPr>
        <w:t>deliberations</w:t>
      </w:r>
      <w:r>
        <w:rPr>
          <w:rFonts w:eastAsia="Calibri"/>
          <w:sz w:val="22"/>
          <w:szCs w:val="22"/>
        </w:rPr>
        <w:t xml:space="preserve">. </w:t>
      </w:r>
      <w:r w:rsidR="007D441E">
        <w:rPr>
          <w:rFonts w:eastAsia="Calibri"/>
          <w:sz w:val="22"/>
          <w:szCs w:val="22"/>
        </w:rPr>
        <w:t xml:space="preserve">The second section </w:t>
      </w:r>
      <w:r w:rsidR="0073145A">
        <w:rPr>
          <w:rFonts w:eastAsia="Calibri"/>
          <w:sz w:val="22"/>
          <w:szCs w:val="22"/>
        </w:rPr>
        <w:t>offers a detailed</w:t>
      </w:r>
      <w:r w:rsidR="007D441E">
        <w:rPr>
          <w:rFonts w:eastAsia="Calibri"/>
          <w:sz w:val="22"/>
          <w:szCs w:val="22"/>
        </w:rPr>
        <w:t xml:space="preserve"> outline of the recommended strategies</w:t>
      </w:r>
      <w:r w:rsidR="00707E4E">
        <w:rPr>
          <w:rFonts w:eastAsia="Calibri"/>
          <w:sz w:val="22"/>
          <w:szCs w:val="22"/>
        </w:rPr>
        <w:t xml:space="preserve"> as </w:t>
      </w:r>
      <w:r w:rsidR="003F3209">
        <w:rPr>
          <w:rFonts w:eastAsia="Calibri"/>
          <w:sz w:val="22"/>
          <w:szCs w:val="22"/>
        </w:rPr>
        <w:t xml:space="preserve">summarized </w:t>
      </w:r>
      <w:r w:rsidR="00707E4E">
        <w:rPr>
          <w:rFonts w:eastAsia="Calibri"/>
          <w:sz w:val="22"/>
          <w:szCs w:val="22"/>
        </w:rPr>
        <w:t>below</w:t>
      </w:r>
      <w:r w:rsidR="00B24B4A" w:rsidRPr="00B24B4A">
        <w:rPr>
          <w:rFonts w:eastAsia="Calibri"/>
          <w:sz w:val="22"/>
          <w:szCs w:val="22"/>
        </w:rPr>
        <w:t>:</w:t>
      </w:r>
    </w:p>
    <w:p w:rsidR="005238E0" w:rsidRPr="004F3145" w:rsidRDefault="001A4C46" w:rsidP="004D6C9D">
      <w:pPr>
        <w:spacing w:after="200" w:line="360" w:lineRule="auto"/>
      </w:pPr>
      <w:r>
        <w:rPr>
          <w:noProof/>
        </w:rPr>
        <mc:AlternateContent>
          <mc:Choice Requires="wps">
            <w:drawing>
              <wp:inline distT="0" distB="0" distL="0" distR="0">
                <wp:extent cx="5943600" cy="2165350"/>
                <wp:effectExtent l="19050" t="19050" r="19050" b="25400"/>
                <wp:docPr id="15"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165350"/>
                        </a:xfrm>
                        <a:prstGeom prst="rect">
                          <a:avLst/>
                        </a:prstGeom>
                        <a:solidFill>
                          <a:srgbClr val="FFFFFF"/>
                        </a:solidFill>
                        <a:ln w="38100" cmpd="dbl">
                          <a:solidFill>
                            <a:schemeClr val="tx1">
                              <a:lumMod val="100000"/>
                              <a:lumOff val="0"/>
                            </a:schemeClr>
                          </a:solidFill>
                          <a:miter lim="800000"/>
                          <a:headEnd/>
                          <a:tailEnd/>
                        </a:ln>
                      </wps:spPr>
                      <wps:txbx>
                        <w:txbxContent>
                          <w:p w:rsidR="00CE2A47" w:rsidRPr="00C72B70" w:rsidRDefault="00CE2A47" w:rsidP="005238E0">
                            <w:pPr>
                              <w:jc w:val="center"/>
                              <w:rPr>
                                <w:b/>
                                <w:sz w:val="22"/>
                                <w:szCs w:val="22"/>
                              </w:rPr>
                            </w:pPr>
                            <w:r w:rsidRPr="00C72B70">
                              <w:rPr>
                                <w:b/>
                                <w:sz w:val="22"/>
                                <w:szCs w:val="22"/>
                              </w:rPr>
                              <w:t>Summary of Strategies</w:t>
                            </w:r>
                          </w:p>
                          <w:p w:rsidR="00CE2A47" w:rsidRPr="00C72B70" w:rsidRDefault="00CE2A47" w:rsidP="007042A3">
                            <w:pPr>
                              <w:rPr>
                                <w:color w:val="00008C"/>
                                <w:sz w:val="22"/>
                                <w:szCs w:val="22"/>
                              </w:rPr>
                            </w:pPr>
                          </w:p>
                          <w:p w:rsidR="00CE2A47" w:rsidRPr="00C72B70" w:rsidRDefault="00CE2A47" w:rsidP="00390852">
                            <w:pPr>
                              <w:spacing w:after="200" w:line="276" w:lineRule="auto"/>
                              <w:ind w:left="540"/>
                              <w:rPr>
                                <w:rFonts w:eastAsia="Calibri"/>
                                <w:sz w:val="22"/>
                                <w:szCs w:val="22"/>
                              </w:rPr>
                            </w:pPr>
                            <w:r w:rsidRPr="00C72B70">
                              <w:rPr>
                                <w:rFonts w:eastAsia="Calibri"/>
                                <w:sz w:val="22"/>
                                <w:szCs w:val="22"/>
                              </w:rPr>
                              <w:t>Strategy #1:</w:t>
                            </w:r>
                            <w:r w:rsidRPr="00C72B70">
                              <w:rPr>
                                <w:rFonts w:eastAsia="Calibri"/>
                                <w:sz w:val="22"/>
                                <w:szCs w:val="22"/>
                              </w:rPr>
                              <w:tab/>
                            </w:r>
                            <w:r w:rsidRPr="00C72B70">
                              <w:rPr>
                                <w:rFonts w:eastAsia="Calibri"/>
                                <w:sz w:val="22"/>
                                <w:szCs w:val="22"/>
                              </w:rPr>
                              <w:tab/>
                              <w:t xml:space="preserve">Determine </w:t>
                            </w:r>
                            <w:r>
                              <w:rPr>
                                <w:rFonts w:eastAsia="Calibri"/>
                                <w:sz w:val="22"/>
                                <w:szCs w:val="22"/>
                              </w:rPr>
                              <w:t xml:space="preserve">the </w:t>
                            </w:r>
                            <w:r w:rsidRPr="00C72B70">
                              <w:rPr>
                                <w:rFonts w:eastAsia="Calibri"/>
                                <w:sz w:val="22"/>
                                <w:szCs w:val="22"/>
                              </w:rPr>
                              <w:t>Optimal Mix of Housing Types</w:t>
                            </w:r>
                          </w:p>
                          <w:p w:rsidR="00CE2A47" w:rsidRPr="00C72B70" w:rsidRDefault="00CE2A47" w:rsidP="00390852">
                            <w:pPr>
                              <w:spacing w:after="200" w:line="276" w:lineRule="auto"/>
                              <w:ind w:left="540"/>
                              <w:rPr>
                                <w:rFonts w:eastAsia="Calibri"/>
                                <w:sz w:val="22"/>
                                <w:szCs w:val="22"/>
                              </w:rPr>
                            </w:pPr>
                            <w:r w:rsidRPr="00C72B70">
                              <w:rPr>
                                <w:rFonts w:eastAsia="Calibri"/>
                                <w:sz w:val="22"/>
                                <w:szCs w:val="22"/>
                              </w:rPr>
                              <w:t>Strategy #2:</w:t>
                            </w:r>
                            <w:r w:rsidRPr="00C72B70">
                              <w:rPr>
                                <w:rFonts w:eastAsia="Calibri"/>
                                <w:sz w:val="22"/>
                                <w:szCs w:val="22"/>
                              </w:rPr>
                              <w:tab/>
                            </w:r>
                            <w:r w:rsidRPr="00C72B70">
                              <w:rPr>
                                <w:rFonts w:eastAsia="Calibri"/>
                                <w:sz w:val="22"/>
                                <w:szCs w:val="22"/>
                              </w:rPr>
                              <w:tab/>
                              <w:t>Maximize Financing Resources</w:t>
                            </w:r>
                          </w:p>
                          <w:p w:rsidR="00CE2A47" w:rsidRPr="00C72B70" w:rsidRDefault="00CE2A47" w:rsidP="00390852">
                            <w:pPr>
                              <w:spacing w:after="200" w:line="276" w:lineRule="auto"/>
                              <w:ind w:left="540"/>
                              <w:rPr>
                                <w:rFonts w:eastAsia="Calibri"/>
                                <w:sz w:val="22"/>
                                <w:szCs w:val="22"/>
                              </w:rPr>
                            </w:pPr>
                            <w:r w:rsidRPr="00C72B70">
                              <w:rPr>
                                <w:rFonts w:eastAsia="Calibri"/>
                                <w:sz w:val="22"/>
                                <w:szCs w:val="22"/>
                              </w:rPr>
                              <w:t>Strategy #3:</w:t>
                            </w:r>
                            <w:r w:rsidRPr="00C72B70">
                              <w:rPr>
                                <w:rFonts w:eastAsia="Calibri"/>
                                <w:sz w:val="22"/>
                                <w:szCs w:val="22"/>
                              </w:rPr>
                              <w:tab/>
                            </w:r>
                            <w:r w:rsidRPr="00C72B70">
                              <w:rPr>
                                <w:rFonts w:eastAsia="Calibri"/>
                                <w:sz w:val="22"/>
                                <w:szCs w:val="22"/>
                              </w:rPr>
                              <w:tab/>
                              <w:t>Promote Cost Efficiencies</w:t>
                            </w:r>
                          </w:p>
                          <w:p w:rsidR="00CE2A47" w:rsidRPr="00C72B70" w:rsidRDefault="00CE2A47" w:rsidP="00390852">
                            <w:pPr>
                              <w:spacing w:after="200" w:line="276" w:lineRule="auto"/>
                              <w:ind w:left="540"/>
                              <w:rPr>
                                <w:rFonts w:eastAsia="Calibri"/>
                                <w:sz w:val="22"/>
                                <w:szCs w:val="22"/>
                              </w:rPr>
                            </w:pPr>
                            <w:r w:rsidRPr="00C72B70">
                              <w:rPr>
                                <w:rFonts w:eastAsia="Calibri"/>
                                <w:sz w:val="22"/>
                                <w:szCs w:val="22"/>
                              </w:rPr>
                              <w:t>Strategy #4:</w:t>
                            </w:r>
                            <w:r w:rsidRPr="00C72B70">
                              <w:rPr>
                                <w:rFonts w:eastAsia="Calibri"/>
                                <w:sz w:val="22"/>
                                <w:szCs w:val="22"/>
                              </w:rPr>
                              <w:tab/>
                            </w:r>
                            <w:r w:rsidRPr="00C72B70">
                              <w:rPr>
                                <w:rFonts w:eastAsia="Calibri"/>
                                <w:sz w:val="22"/>
                                <w:szCs w:val="22"/>
                              </w:rPr>
                              <w:tab/>
                              <w:t>Implement Non-Monetary Production Opportunities</w:t>
                            </w:r>
                          </w:p>
                          <w:p w:rsidR="00CE2A47" w:rsidRPr="00C72B70" w:rsidRDefault="00CE2A47" w:rsidP="00390852">
                            <w:pPr>
                              <w:tabs>
                                <w:tab w:val="left" w:pos="2880"/>
                              </w:tabs>
                              <w:ind w:left="540" w:hanging="2160"/>
                              <w:rPr>
                                <w:rFonts w:eastAsia="Calibri"/>
                                <w:sz w:val="22"/>
                                <w:szCs w:val="22"/>
                              </w:rPr>
                            </w:pPr>
                            <w:r w:rsidRPr="00C72B70">
                              <w:rPr>
                                <w:rFonts w:eastAsia="Calibri"/>
                                <w:sz w:val="22"/>
                                <w:szCs w:val="22"/>
                              </w:rPr>
                              <w:t>Strategy #5:</w:t>
                            </w:r>
                            <w:r w:rsidRPr="00C72B70">
                              <w:rPr>
                                <w:rFonts w:eastAsia="Calibri"/>
                                <w:sz w:val="22"/>
                                <w:szCs w:val="22"/>
                              </w:rPr>
                              <w:tab/>
                            </w:r>
                            <w:r>
                              <w:rPr>
                                <w:rFonts w:eastAsia="Calibri"/>
                                <w:sz w:val="22"/>
                                <w:szCs w:val="22"/>
                              </w:rPr>
                              <w:t>Strategy #5</w:t>
                            </w:r>
                            <w:r>
                              <w:rPr>
                                <w:rFonts w:eastAsia="Calibri"/>
                                <w:sz w:val="22"/>
                                <w:szCs w:val="22"/>
                              </w:rPr>
                              <w:tab/>
                            </w:r>
                            <w:r w:rsidRPr="00C72B70">
                              <w:rPr>
                                <w:rFonts w:eastAsia="Calibri"/>
                                <w:sz w:val="22"/>
                                <w:szCs w:val="22"/>
                              </w:rPr>
                              <w:t>Provide Adequate Oversight and Collect Data to Measure Success</w:t>
                            </w:r>
                          </w:p>
                          <w:p w:rsidR="00CE2A47" w:rsidRPr="007042A3" w:rsidRDefault="00CE2A47" w:rsidP="007042A3">
                            <w:pPr>
                              <w:rPr>
                                <w:color w:val="00008C"/>
                                <w:sz w:val="22"/>
                                <w:szCs w:val="22"/>
                              </w:rPr>
                            </w:pPr>
                          </w:p>
                        </w:txbxContent>
                      </wps:txbx>
                      <wps:bodyPr rot="0" vert="horz" wrap="square" lIns="91440" tIns="45720" rIns="91440" bIns="45720" anchor="ctr" anchorCtr="0" upright="1">
                        <a:noAutofit/>
                      </wps:bodyPr>
                    </wps:wsp>
                  </a:graphicData>
                </a:graphic>
              </wp:inline>
            </w:drawing>
          </mc:Choice>
          <mc:Fallback>
            <w:pict>
              <v:shape id="Text Box 192" o:spid="_x0000_s1030" type="#_x0000_t202" style="width:468pt;height:17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" strokecolor="black [3213]" strokeweight="3pt">
                <v:stroke linestyle="thinThin"/>
                <v:textbox>
                  <w:txbxContent>
                    <w:p w:rsidR="00CE2A47" w:rsidRPr="00C72B70" w:rsidRDefault="00CE2A47" w:rsidP="005238E0">
                      <w:pPr>
                        <w:jc w:val="center"/>
                        <w:rPr>
                          <w:b/>
                          <w:sz w:val="22"/>
                          <w:szCs w:val="22"/>
                        </w:rPr>
                      </w:pPr>
                      <w:r w:rsidRPr="00C72B70">
                        <w:rPr>
                          <w:b/>
                          <w:sz w:val="22"/>
                          <w:szCs w:val="22"/>
                        </w:rPr>
                        <w:t>Summary of Strategies</w:t>
                      </w:r>
                    </w:p>
                    <w:p w:rsidR="00CE2A47" w:rsidRPr="00C72B70" w:rsidRDefault="00CE2A47" w:rsidP="007042A3">
                      <w:pPr>
                        <w:rPr>
                          <w:color w:val="00008C"/>
                          <w:sz w:val="22"/>
                          <w:szCs w:val="22"/>
                        </w:rPr>
                      </w:pPr>
                    </w:p>
                    <w:p w:rsidR="00CE2A47" w:rsidRPr="00C72B70" w:rsidRDefault="00CE2A47" w:rsidP="00390852">
                      <w:pPr>
                        <w:spacing w:after="200" w:line="276" w:lineRule="auto"/>
                        <w:ind w:left="540"/>
                        <w:rPr>
                          <w:rFonts w:eastAsia="Calibri"/>
                          <w:sz w:val="22"/>
                          <w:szCs w:val="22"/>
                        </w:rPr>
                      </w:pPr>
                      <w:r w:rsidRPr="00C72B70">
                        <w:rPr>
                          <w:rFonts w:eastAsia="Calibri"/>
                          <w:sz w:val="22"/>
                          <w:szCs w:val="22"/>
                        </w:rPr>
                        <w:t>Strategy #1:</w:t>
                      </w:r>
                      <w:r w:rsidRPr="00C72B70">
                        <w:rPr>
                          <w:rFonts w:eastAsia="Calibri"/>
                          <w:sz w:val="22"/>
                          <w:szCs w:val="22"/>
                        </w:rPr>
                        <w:tab/>
                      </w:r>
                      <w:r w:rsidRPr="00C72B70">
                        <w:rPr>
                          <w:rFonts w:eastAsia="Calibri"/>
                          <w:sz w:val="22"/>
                          <w:szCs w:val="22"/>
                        </w:rPr>
                        <w:tab/>
                        <w:t xml:space="preserve">Determine </w:t>
                      </w:r>
                      <w:r>
                        <w:rPr>
                          <w:rFonts w:eastAsia="Calibri"/>
                          <w:sz w:val="22"/>
                          <w:szCs w:val="22"/>
                        </w:rPr>
                        <w:t xml:space="preserve">the </w:t>
                      </w:r>
                      <w:r w:rsidRPr="00C72B70">
                        <w:rPr>
                          <w:rFonts w:eastAsia="Calibri"/>
                          <w:sz w:val="22"/>
                          <w:szCs w:val="22"/>
                        </w:rPr>
                        <w:t>Optimal Mix of Housing Types</w:t>
                      </w:r>
                    </w:p>
                    <w:p w:rsidR="00CE2A47" w:rsidRPr="00C72B70" w:rsidRDefault="00CE2A47" w:rsidP="00390852">
                      <w:pPr>
                        <w:spacing w:after="200" w:line="276" w:lineRule="auto"/>
                        <w:ind w:left="540"/>
                        <w:rPr>
                          <w:rFonts w:eastAsia="Calibri"/>
                          <w:sz w:val="22"/>
                          <w:szCs w:val="22"/>
                        </w:rPr>
                      </w:pPr>
                      <w:r w:rsidRPr="00C72B70">
                        <w:rPr>
                          <w:rFonts w:eastAsia="Calibri"/>
                          <w:sz w:val="22"/>
                          <w:szCs w:val="22"/>
                        </w:rPr>
                        <w:t>Strategy #2:</w:t>
                      </w:r>
                      <w:r w:rsidRPr="00C72B70">
                        <w:rPr>
                          <w:rFonts w:eastAsia="Calibri"/>
                          <w:sz w:val="22"/>
                          <w:szCs w:val="22"/>
                        </w:rPr>
                        <w:tab/>
                      </w:r>
                      <w:r w:rsidRPr="00C72B70">
                        <w:rPr>
                          <w:rFonts w:eastAsia="Calibri"/>
                          <w:sz w:val="22"/>
                          <w:szCs w:val="22"/>
                        </w:rPr>
                        <w:tab/>
                        <w:t>Maximize Financing Resources</w:t>
                      </w:r>
                    </w:p>
                    <w:p w:rsidR="00CE2A47" w:rsidRPr="00C72B70" w:rsidRDefault="00CE2A47" w:rsidP="00390852">
                      <w:pPr>
                        <w:spacing w:after="200" w:line="276" w:lineRule="auto"/>
                        <w:ind w:left="540"/>
                        <w:rPr>
                          <w:rFonts w:eastAsia="Calibri"/>
                          <w:sz w:val="22"/>
                          <w:szCs w:val="22"/>
                        </w:rPr>
                      </w:pPr>
                      <w:r w:rsidRPr="00C72B70">
                        <w:rPr>
                          <w:rFonts w:eastAsia="Calibri"/>
                          <w:sz w:val="22"/>
                          <w:szCs w:val="22"/>
                        </w:rPr>
                        <w:t>Strategy #3:</w:t>
                      </w:r>
                      <w:r w:rsidRPr="00C72B70">
                        <w:rPr>
                          <w:rFonts w:eastAsia="Calibri"/>
                          <w:sz w:val="22"/>
                          <w:szCs w:val="22"/>
                        </w:rPr>
                        <w:tab/>
                      </w:r>
                      <w:r w:rsidRPr="00C72B70">
                        <w:rPr>
                          <w:rFonts w:eastAsia="Calibri"/>
                          <w:sz w:val="22"/>
                          <w:szCs w:val="22"/>
                        </w:rPr>
                        <w:tab/>
                        <w:t>Promote Cost Efficiencies</w:t>
                      </w:r>
                    </w:p>
                    <w:p w:rsidR="00CE2A47" w:rsidRPr="00C72B70" w:rsidRDefault="00CE2A47" w:rsidP="00390852">
                      <w:pPr>
                        <w:spacing w:after="200" w:line="276" w:lineRule="auto"/>
                        <w:ind w:left="540"/>
                        <w:rPr>
                          <w:rFonts w:eastAsia="Calibri"/>
                          <w:sz w:val="22"/>
                          <w:szCs w:val="22"/>
                        </w:rPr>
                      </w:pPr>
                      <w:r w:rsidRPr="00C72B70">
                        <w:rPr>
                          <w:rFonts w:eastAsia="Calibri"/>
                          <w:sz w:val="22"/>
                          <w:szCs w:val="22"/>
                        </w:rPr>
                        <w:t>Strategy #4:</w:t>
                      </w:r>
                      <w:r w:rsidRPr="00C72B70">
                        <w:rPr>
                          <w:rFonts w:eastAsia="Calibri"/>
                          <w:sz w:val="22"/>
                          <w:szCs w:val="22"/>
                        </w:rPr>
                        <w:tab/>
                      </w:r>
                      <w:r w:rsidRPr="00C72B70">
                        <w:rPr>
                          <w:rFonts w:eastAsia="Calibri"/>
                          <w:sz w:val="22"/>
                          <w:szCs w:val="22"/>
                        </w:rPr>
                        <w:tab/>
                        <w:t>Implement Non-Monetary Production Opportunities</w:t>
                      </w:r>
                    </w:p>
                    <w:p w:rsidR="00CE2A47" w:rsidRPr="00C72B70" w:rsidRDefault="00CE2A47" w:rsidP="00390852">
                      <w:pPr>
                        <w:tabs>
                          <w:tab w:val="left" w:pos="2880"/>
                        </w:tabs>
                        <w:ind w:left="540" w:hanging="2160"/>
                        <w:rPr>
                          <w:rFonts w:eastAsia="Calibri"/>
                          <w:sz w:val="22"/>
                          <w:szCs w:val="22"/>
                        </w:rPr>
                      </w:pPr>
                      <w:r w:rsidRPr="00C72B70">
                        <w:rPr>
                          <w:rFonts w:eastAsia="Calibri"/>
                          <w:sz w:val="22"/>
                          <w:szCs w:val="22"/>
                        </w:rPr>
                        <w:t>Strategy #5:</w:t>
                      </w:r>
                      <w:r w:rsidRPr="00C72B70">
                        <w:rPr>
                          <w:rFonts w:eastAsia="Calibri"/>
                          <w:sz w:val="22"/>
                          <w:szCs w:val="22"/>
                        </w:rPr>
                        <w:tab/>
                      </w:r>
                      <w:r>
                        <w:rPr>
                          <w:rFonts w:eastAsia="Calibri"/>
                          <w:sz w:val="22"/>
                          <w:szCs w:val="22"/>
                        </w:rPr>
                        <w:t>Strategy #5</w:t>
                      </w:r>
                      <w:r>
                        <w:rPr>
                          <w:rFonts w:eastAsia="Calibri"/>
                          <w:sz w:val="22"/>
                          <w:szCs w:val="22"/>
                        </w:rPr>
                        <w:tab/>
                      </w:r>
                      <w:r w:rsidRPr="00C72B70">
                        <w:rPr>
                          <w:rFonts w:eastAsia="Calibri"/>
                          <w:sz w:val="22"/>
                          <w:szCs w:val="22"/>
                        </w:rPr>
                        <w:t>Provide Adequate Oversight and Collect Data to Measure Success</w:t>
                      </w:r>
                    </w:p>
                    <w:p w:rsidR="00CE2A47" w:rsidRPr="007042A3" w:rsidRDefault="00CE2A47" w:rsidP="007042A3">
                      <w:pPr>
                        <w:rPr>
                          <w:color w:val="00008C"/>
                          <w:sz w:val="22"/>
                          <w:szCs w:val="22"/>
                        </w:rPr>
                      </w:pPr>
                    </w:p>
                  </w:txbxContent>
                </v:textbox>
                <w10:anchorlock/>
              </v:shape>
            </w:pict>
          </mc:Fallback>
        </mc:AlternateContent>
      </w:r>
    </w:p>
    <w:p w:rsidR="00B24B4A" w:rsidRDefault="00B24B4A" w:rsidP="004D6C9D">
      <w:pPr>
        <w:spacing w:after="200" w:line="276" w:lineRule="auto"/>
        <w:rPr>
          <w:b/>
          <w:sz w:val="22"/>
          <w:szCs w:val="22"/>
          <w:u w:val="single"/>
        </w:rPr>
      </w:pPr>
      <w:r w:rsidRPr="00B24B4A">
        <w:rPr>
          <w:b/>
          <w:sz w:val="22"/>
          <w:szCs w:val="22"/>
          <w:u w:val="single"/>
        </w:rPr>
        <w:t xml:space="preserve">The Development </w:t>
      </w:r>
      <w:r w:rsidRPr="00054727">
        <w:rPr>
          <w:b/>
          <w:sz w:val="22"/>
          <w:szCs w:val="22"/>
          <w:u w:val="single"/>
        </w:rPr>
        <w:t>Environment</w:t>
      </w:r>
    </w:p>
    <w:p w:rsidR="00B24B4A" w:rsidRDefault="00C6790B" w:rsidP="004D6C9D">
      <w:pPr>
        <w:spacing w:after="200" w:line="276" w:lineRule="auto"/>
        <w:jc w:val="both"/>
        <w:rPr>
          <w:sz w:val="22"/>
          <w:szCs w:val="22"/>
        </w:rPr>
      </w:pPr>
      <w:r w:rsidRPr="00054727">
        <w:rPr>
          <w:sz w:val="22"/>
          <w:szCs w:val="22"/>
        </w:rPr>
        <w:t>Striking a balance between keeping</w:t>
      </w:r>
      <w:r w:rsidR="00242BC3">
        <w:rPr>
          <w:sz w:val="22"/>
          <w:szCs w:val="22"/>
        </w:rPr>
        <w:t xml:space="preserve"> development costs</w:t>
      </w:r>
      <w:r>
        <w:rPr>
          <w:sz w:val="22"/>
          <w:szCs w:val="22"/>
        </w:rPr>
        <w:t xml:space="preserve"> as low as possible</w:t>
      </w:r>
      <w:r w:rsidR="00242BC3">
        <w:rPr>
          <w:sz w:val="22"/>
          <w:szCs w:val="22"/>
        </w:rPr>
        <w:t xml:space="preserve"> and </w:t>
      </w:r>
      <w:r>
        <w:rPr>
          <w:sz w:val="22"/>
          <w:szCs w:val="22"/>
        </w:rPr>
        <w:t xml:space="preserve">still building </w:t>
      </w:r>
      <w:r w:rsidR="00242BC3">
        <w:rPr>
          <w:sz w:val="22"/>
          <w:szCs w:val="22"/>
        </w:rPr>
        <w:t>quality affordable</w:t>
      </w:r>
      <w:r w:rsidR="004D3DC3">
        <w:rPr>
          <w:sz w:val="22"/>
          <w:szCs w:val="22"/>
        </w:rPr>
        <w:t xml:space="preserve"> </w:t>
      </w:r>
      <w:r w:rsidR="00242BC3">
        <w:rPr>
          <w:sz w:val="22"/>
          <w:szCs w:val="22"/>
        </w:rPr>
        <w:t>housing</w:t>
      </w:r>
      <w:r w:rsidR="00B24B4A" w:rsidRPr="00B24B4A">
        <w:rPr>
          <w:sz w:val="22"/>
          <w:szCs w:val="22"/>
        </w:rPr>
        <w:t xml:space="preserve"> is complic</w:t>
      </w:r>
      <w:r w:rsidR="00242BC3">
        <w:rPr>
          <w:sz w:val="22"/>
          <w:szCs w:val="22"/>
        </w:rPr>
        <w:t xml:space="preserve">ated by the fact that the Napa </w:t>
      </w:r>
      <w:r w:rsidR="003F3209">
        <w:rPr>
          <w:sz w:val="22"/>
          <w:szCs w:val="22"/>
        </w:rPr>
        <w:t xml:space="preserve">County </w:t>
      </w:r>
      <w:r w:rsidR="00242BC3">
        <w:rPr>
          <w:sz w:val="22"/>
          <w:szCs w:val="22"/>
        </w:rPr>
        <w:t>region is among the mo</w:t>
      </w:r>
      <w:r w:rsidR="00D603BB">
        <w:rPr>
          <w:sz w:val="22"/>
          <w:szCs w:val="22"/>
        </w:rPr>
        <w:t>st expensive real estate markets</w:t>
      </w:r>
      <w:r w:rsidR="000578DD">
        <w:rPr>
          <w:sz w:val="22"/>
          <w:szCs w:val="22"/>
        </w:rPr>
        <w:t xml:space="preserve"> </w:t>
      </w:r>
      <w:r w:rsidR="00B24B4A" w:rsidRPr="00B24B4A">
        <w:rPr>
          <w:sz w:val="22"/>
          <w:szCs w:val="22"/>
        </w:rPr>
        <w:t xml:space="preserve">in </w:t>
      </w:r>
      <w:r w:rsidR="00242BC3">
        <w:rPr>
          <w:sz w:val="22"/>
          <w:szCs w:val="22"/>
        </w:rPr>
        <w:t>the country. H</w:t>
      </w:r>
      <w:r w:rsidR="00DF7579">
        <w:rPr>
          <w:sz w:val="22"/>
          <w:szCs w:val="22"/>
        </w:rPr>
        <w:t>igh land prices</w:t>
      </w:r>
      <w:r w:rsidR="00B24B4A" w:rsidRPr="00B24B4A">
        <w:rPr>
          <w:sz w:val="22"/>
          <w:szCs w:val="22"/>
        </w:rPr>
        <w:t xml:space="preserve">, </w:t>
      </w:r>
      <w:r w:rsidR="003E75C7">
        <w:rPr>
          <w:sz w:val="22"/>
          <w:szCs w:val="22"/>
        </w:rPr>
        <w:t xml:space="preserve">increased </w:t>
      </w:r>
      <w:r w:rsidR="00242BC3">
        <w:rPr>
          <w:sz w:val="22"/>
          <w:szCs w:val="22"/>
        </w:rPr>
        <w:t xml:space="preserve">scarcity </w:t>
      </w:r>
      <w:r w:rsidR="00B24B4A" w:rsidRPr="00B24B4A">
        <w:rPr>
          <w:sz w:val="22"/>
          <w:szCs w:val="22"/>
        </w:rPr>
        <w:t>of buil</w:t>
      </w:r>
      <w:r w:rsidR="00242BC3">
        <w:rPr>
          <w:sz w:val="22"/>
          <w:szCs w:val="22"/>
        </w:rPr>
        <w:t>dable sites</w:t>
      </w:r>
      <w:r w:rsidR="00B24B4A" w:rsidRPr="00B24B4A">
        <w:rPr>
          <w:sz w:val="22"/>
          <w:szCs w:val="22"/>
        </w:rPr>
        <w:t>, NIMB</w:t>
      </w:r>
      <w:r w:rsidR="00242BC3">
        <w:rPr>
          <w:sz w:val="22"/>
          <w:szCs w:val="22"/>
        </w:rPr>
        <w:t xml:space="preserve">Yism, </w:t>
      </w:r>
      <w:r w:rsidR="00B24B4A" w:rsidRPr="00B24B4A">
        <w:rPr>
          <w:sz w:val="22"/>
          <w:szCs w:val="22"/>
        </w:rPr>
        <w:t>prevailing wage requirements</w:t>
      </w:r>
      <w:r w:rsidR="00242BC3">
        <w:rPr>
          <w:sz w:val="22"/>
          <w:szCs w:val="22"/>
        </w:rPr>
        <w:t xml:space="preserve">, </w:t>
      </w:r>
      <w:r w:rsidR="003F3209">
        <w:rPr>
          <w:sz w:val="22"/>
          <w:szCs w:val="22"/>
        </w:rPr>
        <w:t xml:space="preserve">zoning regulations, </w:t>
      </w:r>
      <w:r w:rsidR="00242BC3">
        <w:rPr>
          <w:sz w:val="22"/>
          <w:szCs w:val="22"/>
        </w:rPr>
        <w:t>and the need to offer an array of high-impact social services combine to create tremendous upward pressure on affordable housing development costs.</w:t>
      </w:r>
    </w:p>
    <w:p w:rsidR="00B24B4A" w:rsidRDefault="00B24B4A" w:rsidP="004D6C9D">
      <w:pPr>
        <w:spacing w:after="200" w:line="276" w:lineRule="auto"/>
        <w:jc w:val="both"/>
        <w:rPr>
          <w:sz w:val="22"/>
          <w:szCs w:val="22"/>
        </w:rPr>
      </w:pPr>
      <w:r w:rsidRPr="00B24B4A">
        <w:rPr>
          <w:sz w:val="22"/>
          <w:szCs w:val="22"/>
        </w:rPr>
        <w:t>Given the high cost of affordabl</w:t>
      </w:r>
      <w:r w:rsidR="00242BC3">
        <w:rPr>
          <w:sz w:val="22"/>
          <w:szCs w:val="22"/>
        </w:rPr>
        <w:t>e housing, the challenge</w:t>
      </w:r>
      <w:r w:rsidRPr="00B24B4A">
        <w:rPr>
          <w:sz w:val="22"/>
          <w:szCs w:val="22"/>
        </w:rPr>
        <w:t xml:space="preserve"> becomes</w:t>
      </w:r>
      <w:r w:rsidR="00242BC3">
        <w:rPr>
          <w:sz w:val="22"/>
          <w:szCs w:val="22"/>
        </w:rPr>
        <w:t xml:space="preserve"> </w:t>
      </w:r>
      <w:r w:rsidR="003F3209">
        <w:rPr>
          <w:sz w:val="22"/>
          <w:szCs w:val="22"/>
        </w:rPr>
        <w:t xml:space="preserve">how </w:t>
      </w:r>
      <w:r w:rsidR="00242BC3">
        <w:rPr>
          <w:sz w:val="22"/>
          <w:szCs w:val="22"/>
        </w:rPr>
        <w:t xml:space="preserve">to determine </w:t>
      </w:r>
      <w:r w:rsidRPr="00B24B4A">
        <w:rPr>
          <w:sz w:val="22"/>
          <w:szCs w:val="22"/>
        </w:rPr>
        <w:t>the most effective methods to re</w:t>
      </w:r>
      <w:r w:rsidR="00242BC3">
        <w:rPr>
          <w:sz w:val="22"/>
          <w:szCs w:val="22"/>
        </w:rPr>
        <w:t>duce development costs and make the most efficient use of scar</w:t>
      </w:r>
      <w:r w:rsidR="006B5BE4">
        <w:rPr>
          <w:sz w:val="22"/>
          <w:szCs w:val="22"/>
        </w:rPr>
        <w:t>c</w:t>
      </w:r>
      <w:r w:rsidR="00242BC3">
        <w:rPr>
          <w:sz w:val="22"/>
          <w:szCs w:val="22"/>
        </w:rPr>
        <w:t>e resources</w:t>
      </w:r>
      <w:r w:rsidR="00532D2F">
        <w:rPr>
          <w:sz w:val="22"/>
          <w:szCs w:val="22"/>
        </w:rPr>
        <w:t xml:space="preserve">. Responding to this challenge requires </w:t>
      </w:r>
      <w:r w:rsidRPr="00B24B4A">
        <w:rPr>
          <w:sz w:val="22"/>
          <w:szCs w:val="22"/>
        </w:rPr>
        <w:t>the creation of sound public p</w:t>
      </w:r>
      <w:r w:rsidR="00532D2F">
        <w:rPr>
          <w:sz w:val="22"/>
          <w:szCs w:val="22"/>
        </w:rPr>
        <w:t xml:space="preserve">olicy within an </w:t>
      </w:r>
      <w:r w:rsidRPr="00B24B4A">
        <w:rPr>
          <w:sz w:val="22"/>
          <w:szCs w:val="22"/>
        </w:rPr>
        <w:t xml:space="preserve">environment of increasing need and contracting </w:t>
      </w:r>
      <w:r w:rsidR="00532D2F">
        <w:rPr>
          <w:sz w:val="22"/>
          <w:szCs w:val="22"/>
        </w:rPr>
        <w:t xml:space="preserve">fiscal </w:t>
      </w:r>
      <w:r w:rsidRPr="00B24B4A">
        <w:rPr>
          <w:sz w:val="22"/>
          <w:szCs w:val="22"/>
        </w:rPr>
        <w:t xml:space="preserve">resources. The Task Force’s discussions focused on analyzing the process of developing both new construction and </w:t>
      </w:r>
      <w:r w:rsidR="000C4DE2">
        <w:rPr>
          <w:sz w:val="22"/>
          <w:szCs w:val="22"/>
        </w:rPr>
        <w:t>rehabili</w:t>
      </w:r>
      <w:r w:rsidR="00612910">
        <w:rPr>
          <w:sz w:val="22"/>
          <w:szCs w:val="22"/>
        </w:rPr>
        <w:t>tat</w:t>
      </w:r>
      <w:r w:rsidR="00CF4382">
        <w:rPr>
          <w:sz w:val="22"/>
          <w:szCs w:val="22"/>
        </w:rPr>
        <w:t>ing existing</w:t>
      </w:r>
      <w:r w:rsidR="00C6790B">
        <w:rPr>
          <w:sz w:val="22"/>
          <w:szCs w:val="22"/>
        </w:rPr>
        <w:t xml:space="preserve"> housing for </w:t>
      </w:r>
      <w:r w:rsidRPr="00B24B4A">
        <w:rPr>
          <w:sz w:val="22"/>
          <w:szCs w:val="22"/>
        </w:rPr>
        <w:t>rental and homeownership</w:t>
      </w:r>
      <w:r w:rsidR="00612910">
        <w:rPr>
          <w:sz w:val="22"/>
          <w:szCs w:val="22"/>
        </w:rPr>
        <w:t xml:space="preserve"> housing types</w:t>
      </w:r>
      <w:r w:rsidR="00C6790B">
        <w:rPr>
          <w:sz w:val="22"/>
          <w:szCs w:val="22"/>
        </w:rPr>
        <w:t xml:space="preserve">. </w:t>
      </w:r>
      <w:r w:rsidR="00C6790B">
        <w:rPr>
          <w:sz w:val="22"/>
          <w:szCs w:val="22"/>
        </w:rPr>
        <w:lastRenderedPageBreak/>
        <w:t xml:space="preserve">Discussions were informed by </w:t>
      </w:r>
      <w:r w:rsidR="003F3209">
        <w:rPr>
          <w:sz w:val="22"/>
          <w:szCs w:val="22"/>
        </w:rPr>
        <w:t xml:space="preserve">agency staff and </w:t>
      </w:r>
      <w:r w:rsidR="00C6790B">
        <w:rPr>
          <w:sz w:val="22"/>
          <w:szCs w:val="22"/>
        </w:rPr>
        <w:t>Task Force members’ experiences as well as research materials provided during the meetings.</w:t>
      </w:r>
    </w:p>
    <w:p w:rsidR="00C6790B" w:rsidRDefault="00B24B4A" w:rsidP="004D6C9D">
      <w:pPr>
        <w:spacing w:after="200" w:line="276" w:lineRule="auto"/>
        <w:jc w:val="both"/>
        <w:rPr>
          <w:bCs/>
          <w:sz w:val="22"/>
          <w:szCs w:val="22"/>
        </w:rPr>
      </w:pPr>
      <w:r w:rsidRPr="00B24B4A">
        <w:rPr>
          <w:sz w:val="22"/>
          <w:szCs w:val="22"/>
        </w:rPr>
        <w:t xml:space="preserve">The Task Force conducted its work through a series of deliberations about the development process in </w:t>
      </w:r>
      <w:r w:rsidR="003F3209">
        <w:rPr>
          <w:sz w:val="22"/>
          <w:szCs w:val="22"/>
        </w:rPr>
        <w:t xml:space="preserve">the </w:t>
      </w:r>
      <w:r w:rsidRPr="00B24B4A">
        <w:rPr>
          <w:sz w:val="22"/>
          <w:szCs w:val="22"/>
        </w:rPr>
        <w:t>Napa</w:t>
      </w:r>
      <w:r w:rsidR="003F3209">
        <w:rPr>
          <w:sz w:val="22"/>
          <w:szCs w:val="22"/>
        </w:rPr>
        <w:t xml:space="preserve"> County area</w:t>
      </w:r>
      <w:r w:rsidRPr="00B24B4A">
        <w:rPr>
          <w:sz w:val="22"/>
          <w:szCs w:val="22"/>
        </w:rPr>
        <w:t xml:space="preserve"> and presentations of findings and data from County and City staff. </w:t>
      </w:r>
      <w:r w:rsidR="00532D2F">
        <w:rPr>
          <w:sz w:val="22"/>
          <w:szCs w:val="22"/>
        </w:rPr>
        <w:t>The</w:t>
      </w:r>
      <w:r w:rsidR="0011649E">
        <w:rPr>
          <w:sz w:val="22"/>
          <w:szCs w:val="22"/>
        </w:rPr>
        <w:t xml:space="preserve"> </w:t>
      </w:r>
      <w:r w:rsidR="00532D2F">
        <w:rPr>
          <w:sz w:val="22"/>
          <w:szCs w:val="22"/>
        </w:rPr>
        <w:t>Task Force first met in July 2012</w:t>
      </w:r>
      <w:r w:rsidRPr="00B24B4A">
        <w:rPr>
          <w:sz w:val="22"/>
          <w:szCs w:val="22"/>
        </w:rPr>
        <w:t xml:space="preserve"> and then </w:t>
      </w:r>
      <w:r w:rsidR="00532D2F">
        <w:rPr>
          <w:sz w:val="22"/>
          <w:szCs w:val="22"/>
        </w:rPr>
        <w:t xml:space="preserve">met </w:t>
      </w:r>
      <w:r w:rsidR="000578DD">
        <w:rPr>
          <w:sz w:val="22"/>
          <w:szCs w:val="22"/>
        </w:rPr>
        <w:t>regularly</w:t>
      </w:r>
      <w:r w:rsidRPr="00B24B4A">
        <w:rPr>
          <w:sz w:val="22"/>
          <w:szCs w:val="22"/>
        </w:rPr>
        <w:t xml:space="preserve"> during </w:t>
      </w:r>
      <w:r w:rsidRPr="006B5BE4">
        <w:rPr>
          <w:sz w:val="22"/>
          <w:szCs w:val="22"/>
        </w:rPr>
        <w:t xml:space="preserve">a </w:t>
      </w:r>
      <w:r w:rsidR="00C34A97">
        <w:rPr>
          <w:sz w:val="22"/>
          <w:szCs w:val="22"/>
        </w:rPr>
        <w:t>nine</w:t>
      </w:r>
      <w:r w:rsidRPr="006B5BE4">
        <w:rPr>
          <w:sz w:val="22"/>
          <w:szCs w:val="22"/>
        </w:rPr>
        <w:t>-month</w:t>
      </w:r>
      <w:r w:rsidRPr="00B24B4A">
        <w:rPr>
          <w:sz w:val="22"/>
          <w:szCs w:val="22"/>
        </w:rPr>
        <w:t xml:space="preserve"> period in a series of large group meetings and small gr</w:t>
      </w:r>
      <w:r w:rsidR="006B5BE4">
        <w:rPr>
          <w:sz w:val="22"/>
          <w:szCs w:val="22"/>
        </w:rPr>
        <w:t xml:space="preserve">oup working sessions. Prior to brainstorming and developing a set of strategies for consideration, the Task Force reviewed the present state of affordable housing in the region, including past and current challenges. </w:t>
      </w:r>
      <w:r w:rsidR="00B9728C">
        <w:rPr>
          <w:bCs/>
          <w:sz w:val="22"/>
          <w:szCs w:val="22"/>
        </w:rPr>
        <w:t xml:space="preserve">The Task Force was briefed on the current and forecasted financing landscape at the Federal and State levels. </w:t>
      </w:r>
      <w:r w:rsidR="00CF4382">
        <w:rPr>
          <w:bCs/>
          <w:sz w:val="22"/>
          <w:szCs w:val="22"/>
        </w:rPr>
        <w:t>The f</w:t>
      </w:r>
      <w:r w:rsidR="00B9728C">
        <w:rPr>
          <w:bCs/>
          <w:sz w:val="22"/>
          <w:szCs w:val="22"/>
        </w:rPr>
        <w:t>ollowing is a summary of this funding context:</w:t>
      </w:r>
    </w:p>
    <w:p w:rsidR="00C6790B" w:rsidRDefault="00FE37D6" w:rsidP="004D6C9D">
      <w:pPr>
        <w:spacing w:after="200" w:line="276" w:lineRule="auto"/>
        <w:jc w:val="both"/>
        <w:rPr>
          <w:rFonts w:eastAsiaTheme="minorHAnsi"/>
          <w:b/>
          <w:bCs/>
          <w:sz w:val="22"/>
          <w:szCs w:val="22"/>
          <w:u w:val="single"/>
        </w:rPr>
      </w:pPr>
      <w:r w:rsidRPr="00C6790B">
        <w:rPr>
          <w:rFonts w:eastAsiaTheme="minorHAnsi"/>
          <w:b/>
          <w:bCs/>
          <w:sz w:val="22"/>
          <w:szCs w:val="22"/>
          <w:u w:val="single"/>
        </w:rPr>
        <w:t xml:space="preserve">Federal </w:t>
      </w:r>
      <w:r w:rsidR="00054727">
        <w:rPr>
          <w:rFonts w:eastAsiaTheme="minorHAnsi"/>
          <w:b/>
          <w:bCs/>
          <w:sz w:val="22"/>
          <w:szCs w:val="22"/>
          <w:u w:val="single"/>
        </w:rPr>
        <w:t xml:space="preserve">and State </w:t>
      </w:r>
      <w:r w:rsidRPr="00C6790B">
        <w:rPr>
          <w:rFonts w:eastAsiaTheme="minorHAnsi"/>
          <w:b/>
          <w:bCs/>
          <w:sz w:val="22"/>
          <w:szCs w:val="22"/>
          <w:u w:val="single"/>
        </w:rPr>
        <w:t>Budgetary Impacts and Outlook</w:t>
      </w:r>
    </w:p>
    <w:p w:rsidR="00C6790B" w:rsidRDefault="00FE37D6" w:rsidP="004D6C9D">
      <w:pPr>
        <w:spacing w:after="200" w:line="276" w:lineRule="auto"/>
        <w:jc w:val="both"/>
        <w:rPr>
          <w:rFonts w:eastAsiaTheme="minorHAnsi"/>
          <w:sz w:val="22"/>
          <w:szCs w:val="22"/>
        </w:rPr>
      </w:pPr>
      <w:r w:rsidRPr="00FE37D6">
        <w:rPr>
          <w:rFonts w:eastAsiaTheme="minorHAnsi"/>
          <w:sz w:val="22"/>
          <w:szCs w:val="22"/>
        </w:rPr>
        <w:t>The economic recession has negatively impacted federal budgets, including funds and programs for affordable housing</w:t>
      </w:r>
      <w:r w:rsidR="00C34A97">
        <w:rPr>
          <w:rFonts w:eastAsiaTheme="minorHAnsi"/>
          <w:sz w:val="22"/>
          <w:szCs w:val="22"/>
        </w:rPr>
        <w:t>.</w:t>
      </w:r>
      <w:r w:rsidRPr="00FE37D6">
        <w:rPr>
          <w:rFonts w:eastAsiaTheme="minorHAnsi"/>
          <w:sz w:val="22"/>
          <w:szCs w:val="22"/>
        </w:rPr>
        <w:t xml:space="preserve">  </w:t>
      </w:r>
      <w:r w:rsidR="00C34A97">
        <w:rPr>
          <w:rFonts w:eastAsiaTheme="minorHAnsi"/>
          <w:sz w:val="22"/>
          <w:szCs w:val="22"/>
        </w:rPr>
        <w:t>T</w:t>
      </w:r>
      <w:r w:rsidRPr="00FE37D6">
        <w:rPr>
          <w:rFonts w:eastAsiaTheme="minorHAnsi"/>
          <w:sz w:val="22"/>
          <w:szCs w:val="22"/>
        </w:rPr>
        <w:t>he Obama administration and Congress have reduce</w:t>
      </w:r>
      <w:r w:rsidR="00054727">
        <w:rPr>
          <w:rFonts w:eastAsiaTheme="minorHAnsi"/>
          <w:sz w:val="22"/>
          <w:szCs w:val="22"/>
        </w:rPr>
        <w:t>d</w:t>
      </w:r>
      <w:r w:rsidRPr="00FE37D6">
        <w:rPr>
          <w:rFonts w:eastAsiaTheme="minorHAnsi"/>
          <w:sz w:val="22"/>
          <w:szCs w:val="22"/>
        </w:rPr>
        <w:t xml:space="preserve"> spending on </w:t>
      </w:r>
      <w:r w:rsidR="00CF4382">
        <w:rPr>
          <w:rFonts w:eastAsiaTheme="minorHAnsi"/>
          <w:sz w:val="22"/>
          <w:szCs w:val="22"/>
        </w:rPr>
        <w:t xml:space="preserve">federal programs for </w:t>
      </w:r>
      <w:r w:rsidRPr="00FE37D6">
        <w:rPr>
          <w:rFonts w:eastAsiaTheme="minorHAnsi"/>
          <w:sz w:val="22"/>
          <w:szCs w:val="22"/>
        </w:rPr>
        <w:t>affordable housin</w:t>
      </w:r>
      <w:r w:rsidR="0003040E">
        <w:rPr>
          <w:rFonts w:eastAsiaTheme="minorHAnsi"/>
          <w:sz w:val="22"/>
          <w:szCs w:val="22"/>
        </w:rPr>
        <w:t>g for three consecutive years</w:t>
      </w:r>
      <w:r w:rsidRPr="00FE37D6">
        <w:rPr>
          <w:rFonts w:eastAsiaTheme="minorHAnsi"/>
          <w:sz w:val="22"/>
          <w:szCs w:val="22"/>
        </w:rPr>
        <w:t>,</w:t>
      </w:r>
      <w:r w:rsidR="00054727">
        <w:rPr>
          <w:rFonts w:eastAsiaTheme="minorHAnsi"/>
          <w:sz w:val="22"/>
          <w:szCs w:val="22"/>
        </w:rPr>
        <w:t xml:space="preserve"> and</w:t>
      </w:r>
      <w:r w:rsidRPr="00FE37D6">
        <w:rPr>
          <w:rFonts w:eastAsiaTheme="minorHAnsi"/>
          <w:sz w:val="22"/>
          <w:szCs w:val="22"/>
        </w:rPr>
        <w:t xml:space="preserve"> it is anticipated that federal support and funding for </w:t>
      </w:r>
      <w:r w:rsidR="00054727">
        <w:rPr>
          <w:rFonts w:eastAsiaTheme="minorHAnsi"/>
          <w:sz w:val="22"/>
          <w:szCs w:val="22"/>
        </w:rPr>
        <w:t>housing</w:t>
      </w:r>
      <w:r w:rsidR="00054727" w:rsidRPr="00FE37D6">
        <w:rPr>
          <w:rFonts w:eastAsiaTheme="minorHAnsi"/>
          <w:sz w:val="22"/>
          <w:szCs w:val="22"/>
        </w:rPr>
        <w:t xml:space="preserve"> </w:t>
      </w:r>
      <w:r w:rsidRPr="00FE37D6">
        <w:rPr>
          <w:rFonts w:eastAsiaTheme="minorHAnsi"/>
          <w:sz w:val="22"/>
          <w:szCs w:val="22"/>
        </w:rPr>
        <w:t>prog</w:t>
      </w:r>
      <w:r w:rsidR="0003040E">
        <w:rPr>
          <w:rFonts w:eastAsiaTheme="minorHAnsi"/>
          <w:sz w:val="22"/>
          <w:szCs w:val="22"/>
        </w:rPr>
        <w:t>rams will continue to decline</w:t>
      </w:r>
      <w:r w:rsidR="00054727">
        <w:rPr>
          <w:rFonts w:eastAsiaTheme="minorHAnsi"/>
          <w:sz w:val="22"/>
          <w:szCs w:val="22"/>
        </w:rPr>
        <w:t xml:space="preserve"> in the future</w:t>
      </w:r>
      <w:r w:rsidR="0003040E">
        <w:rPr>
          <w:rFonts w:eastAsiaTheme="minorHAnsi"/>
          <w:sz w:val="22"/>
          <w:szCs w:val="22"/>
        </w:rPr>
        <w:t>.</w:t>
      </w:r>
    </w:p>
    <w:p w:rsidR="002D2C26" w:rsidRDefault="002D2C26" w:rsidP="004D6C9D">
      <w:pPr>
        <w:spacing w:after="200" w:line="276" w:lineRule="auto"/>
        <w:jc w:val="both"/>
        <w:rPr>
          <w:sz w:val="22"/>
          <w:szCs w:val="22"/>
        </w:rPr>
      </w:pPr>
      <w:r w:rsidRPr="002B1AD3">
        <w:rPr>
          <w:sz w:val="22"/>
          <w:szCs w:val="22"/>
        </w:rPr>
        <w:t xml:space="preserve">California has endured a </w:t>
      </w:r>
      <w:r w:rsidR="00054727">
        <w:rPr>
          <w:sz w:val="22"/>
          <w:szCs w:val="22"/>
        </w:rPr>
        <w:t>significant budget</w:t>
      </w:r>
      <w:r w:rsidRPr="002B1AD3">
        <w:rPr>
          <w:sz w:val="22"/>
          <w:szCs w:val="22"/>
        </w:rPr>
        <w:t xml:space="preserve"> </w:t>
      </w:r>
      <w:r w:rsidRPr="00BD6E2E">
        <w:rPr>
          <w:sz w:val="22"/>
          <w:szCs w:val="22"/>
        </w:rPr>
        <w:t>deficit</w:t>
      </w:r>
      <w:r w:rsidR="00313738">
        <w:rPr>
          <w:sz w:val="22"/>
          <w:szCs w:val="22"/>
        </w:rPr>
        <w:t xml:space="preserve"> as well</w:t>
      </w:r>
      <w:r w:rsidRPr="00BD6E2E">
        <w:rPr>
          <w:sz w:val="22"/>
          <w:szCs w:val="22"/>
        </w:rPr>
        <w:t>.</w:t>
      </w:r>
      <w:r w:rsidRPr="00BD6E2E">
        <w:rPr>
          <w:iCs/>
          <w:sz w:val="22"/>
          <w:szCs w:val="22"/>
        </w:rPr>
        <w:t xml:space="preserve"> </w:t>
      </w:r>
      <w:r w:rsidRPr="00BD6E2E">
        <w:rPr>
          <w:sz w:val="22"/>
          <w:szCs w:val="22"/>
        </w:rPr>
        <w:t>To</w:t>
      </w:r>
      <w:r w:rsidRPr="002B1AD3">
        <w:rPr>
          <w:sz w:val="22"/>
          <w:szCs w:val="22"/>
        </w:rPr>
        <w:t xml:space="preserve"> address ongoing budget gaps,</w:t>
      </w:r>
      <w:r w:rsidRPr="002B1AD3">
        <w:rPr>
          <w:i/>
          <w:iCs/>
          <w:sz w:val="22"/>
          <w:szCs w:val="22"/>
        </w:rPr>
        <w:t xml:space="preserve"> </w:t>
      </w:r>
      <w:r w:rsidRPr="002B1AD3">
        <w:rPr>
          <w:sz w:val="22"/>
          <w:szCs w:val="22"/>
        </w:rPr>
        <w:t>Governor Brown and the Legislature ha</w:t>
      </w:r>
      <w:r w:rsidR="0003040E">
        <w:rPr>
          <w:sz w:val="22"/>
          <w:szCs w:val="22"/>
        </w:rPr>
        <w:t>ve enacted severe budget cuts</w:t>
      </w:r>
      <w:r w:rsidR="00FB7A2C">
        <w:rPr>
          <w:sz w:val="22"/>
          <w:szCs w:val="22"/>
        </w:rPr>
        <w:t>,</w:t>
      </w:r>
      <w:r w:rsidR="00313738">
        <w:rPr>
          <w:sz w:val="22"/>
          <w:szCs w:val="22"/>
        </w:rPr>
        <w:t xml:space="preserve"> </w:t>
      </w:r>
      <w:r w:rsidR="00C34A97">
        <w:rPr>
          <w:sz w:val="22"/>
          <w:szCs w:val="22"/>
        </w:rPr>
        <w:t xml:space="preserve">including </w:t>
      </w:r>
      <w:r w:rsidR="00313738">
        <w:rPr>
          <w:sz w:val="22"/>
          <w:szCs w:val="22"/>
        </w:rPr>
        <w:t>eliminating</w:t>
      </w:r>
      <w:r w:rsidRPr="002B1AD3">
        <w:rPr>
          <w:sz w:val="22"/>
          <w:szCs w:val="22"/>
        </w:rPr>
        <w:t xml:space="preserve"> redevelopment and </w:t>
      </w:r>
      <w:r>
        <w:rPr>
          <w:sz w:val="22"/>
          <w:szCs w:val="22"/>
        </w:rPr>
        <w:t>its</w:t>
      </w:r>
      <w:r w:rsidRPr="002B1AD3">
        <w:rPr>
          <w:sz w:val="22"/>
          <w:szCs w:val="22"/>
        </w:rPr>
        <w:t xml:space="preserve"> 400 redevelopment agencies</w:t>
      </w:r>
      <w:r>
        <w:rPr>
          <w:sz w:val="22"/>
          <w:szCs w:val="22"/>
        </w:rPr>
        <w:t xml:space="preserve"> in January 2012</w:t>
      </w:r>
      <w:r w:rsidR="00313738">
        <w:rPr>
          <w:sz w:val="22"/>
          <w:szCs w:val="22"/>
        </w:rPr>
        <w:t xml:space="preserve"> and reallocating </w:t>
      </w:r>
      <w:r w:rsidRPr="002B1AD3">
        <w:rPr>
          <w:sz w:val="22"/>
          <w:szCs w:val="22"/>
        </w:rPr>
        <w:t>funds derived from the use of property tax increment financing to</w:t>
      </w:r>
      <w:r w:rsidR="00313738">
        <w:rPr>
          <w:sz w:val="22"/>
          <w:szCs w:val="22"/>
        </w:rPr>
        <w:t xml:space="preserve"> </w:t>
      </w:r>
      <w:r w:rsidRPr="002B1AD3">
        <w:rPr>
          <w:sz w:val="22"/>
          <w:szCs w:val="22"/>
        </w:rPr>
        <w:t>local governments and entities, such as cities</w:t>
      </w:r>
      <w:r w:rsidR="00313738">
        <w:rPr>
          <w:sz w:val="22"/>
          <w:szCs w:val="22"/>
        </w:rPr>
        <w:t>, counties</w:t>
      </w:r>
      <w:r w:rsidRPr="002B1AD3">
        <w:rPr>
          <w:sz w:val="22"/>
          <w:szCs w:val="22"/>
        </w:rPr>
        <w:t xml:space="preserve"> and school</w:t>
      </w:r>
      <w:r w:rsidR="00FB7A2C">
        <w:rPr>
          <w:sz w:val="22"/>
          <w:szCs w:val="22"/>
        </w:rPr>
        <w:t xml:space="preserve"> districts</w:t>
      </w:r>
      <w:r w:rsidRPr="002B1AD3">
        <w:rPr>
          <w:sz w:val="22"/>
          <w:szCs w:val="22"/>
        </w:rPr>
        <w:t>.</w:t>
      </w:r>
    </w:p>
    <w:p w:rsidR="00AA2917" w:rsidRPr="00AA2917" w:rsidRDefault="00313738" w:rsidP="004D6C9D">
      <w:pPr>
        <w:spacing w:after="200" w:line="276" w:lineRule="auto"/>
        <w:jc w:val="both"/>
        <w:rPr>
          <w:sz w:val="22"/>
          <w:szCs w:val="22"/>
        </w:rPr>
      </w:pPr>
      <w:r w:rsidRPr="00AA2917">
        <w:rPr>
          <w:iCs/>
          <w:sz w:val="22"/>
          <w:szCs w:val="22"/>
        </w:rPr>
        <w:t>Although</w:t>
      </w:r>
      <w:r w:rsidR="009B299C" w:rsidRPr="00AA2917">
        <w:rPr>
          <w:noProof/>
          <w:sz w:val="22"/>
          <w:szCs w:val="22"/>
        </w:rPr>
        <w:t xml:space="preserve"> the overall economic landscape and fiscal heal</w:t>
      </w:r>
      <w:r w:rsidR="0003040E" w:rsidRPr="00AA2917">
        <w:rPr>
          <w:noProof/>
          <w:sz w:val="22"/>
          <w:szCs w:val="22"/>
        </w:rPr>
        <w:t xml:space="preserve">th of California </w:t>
      </w:r>
      <w:r w:rsidRPr="00AA2917">
        <w:rPr>
          <w:noProof/>
          <w:sz w:val="22"/>
          <w:szCs w:val="22"/>
        </w:rPr>
        <w:t xml:space="preserve">and the nation </w:t>
      </w:r>
      <w:r w:rsidR="0003040E" w:rsidRPr="00AA2917">
        <w:rPr>
          <w:noProof/>
          <w:sz w:val="22"/>
          <w:szCs w:val="22"/>
        </w:rPr>
        <w:t>is improving</w:t>
      </w:r>
      <w:r w:rsidRPr="00AA2917">
        <w:rPr>
          <w:noProof/>
          <w:sz w:val="22"/>
          <w:szCs w:val="22"/>
        </w:rPr>
        <w:t xml:space="preserve">, </w:t>
      </w:r>
      <w:r w:rsidR="004D6C9D">
        <w:rPr>
          <w:noProof/>
          <w:sz w:val="22"/>
          <w:szCs w:val="22"/>
        </w:rPr>
        <w:t xml:space="preserve">Napa County </w:t>
      </w:r>
      <w:r w:rsidRPr="00AA2917">
        <w:rPr>
          <w:noProof/>
          <w:sz w:val="22"/>
          <w:szCs w:val="22"/>
        </w:rPr>
        <w:t xml:space="preserve">agencies </w:t>
      </w:r>
      <w:r w:rsidR="00AA2917" w:rsidRPr="00AA2917">
        <w:rPr>
          <w:sz w:val="22"/>
          <w:szCs w:val="22"/>
        </w:rPr>
        <w:t>have a responsibility to use the</w:t>
      </w:r>
      <w:r w:rsidR="00AA2917">
        <w:rPr>
          <w:sz w:val="22"/>
          <w:szCs w:val="22"/>
        </w:rPr>
        <w:t xml:space="preserve"> </w:t>
      </w:r>
      <w:r w:rsidR="00AA2917" w:rsidRPr="00AA2917">
        <w:rPr>
          <w:sz w:val="22"/>
          <w:szCs w:val="22"/>
        </w:rPr>
        <w:t>powers vested in them to facilitate the improvement and development</w:t>
      </w:r>
      <w:r w:rsidR="00AA2917">
        <w:rPr>
          <w:sz w:val="22"/>
          <w:szCs w:val="22"/>
        </w:rPr>
        <w:t xml:space="preserve"> </w:t>
      </w:r>
      <w:r w:rsidR="00AA2917" w:rsidRPr="00AA2917">
        <w:rPr>
          <w:sz w:val="22"/>
          <w:szCs w:val="22"/>
        </w:rPr>
        <w:t xml:space="preserve">of </w:t>
      </w:r>
      <w:r w:rsidR="004D6C9D">
        <w:rPr>
          <w:sz w:val="22"/>
          <w:szCs w:val="22"/>
        </w:rPr>
        <w:t xml:space="preserve">affordable </w:t>
      </w:r>
      <w:r w:rsidR="00AA2917" w:rsidRPr="00AA2917">
        <w:rPr>
          <w:sz w:val="22"/>
          <w:szCs w:val="22"/>
        </w:rPr>
        <w:t>housing</w:t>
      </w:r>
      <w:r w:rsidR="00B85685">
        <w:rPr>
          <w:sz w:val="22"/>
          <w:szCs w:val="22"/>
        </w:rPr>
        <w:t>,</w:t>
      </w:r>
      <w:r w:rsidR="00AA2917" w:rsidRPr="00AA2917">
        <w:rPr>
          <w:sz w:val="22"/>
          <w:szCs w:val="22"/>
        </w:rPr>
        <w:t xml:space="preserve"> </w:t>
      </w:r>
      <w:r w:rsidR="004D6C9D">
        <w:rPr>
          <w:sz w:val="22"/>
          <w:szCs w:val="22"/>
        </w:rPr>
        <w:t xml:space="preserve">taking into consideration the area’s unique </w:t>
      </w:r>
      <w:r w:rsidR="00AA2917" w:rsidRPr="00AA2917">
        <w:rPr>
          <w:sz w:val="22"/>
          <w:szCs w:val="22"/>
        </w:rPr>
        <w:t>economic, environmental, and fiscal factors</w:t>
      </w:r>
      <w:r w:rsidR="004D6C9D">
        <w:rPr>
          <w:sz w:val="22"/>
          <w:szCs w:val="22"/>
        </w:rPr>
        <w:t>,</w:t>
      </w:r>
      <w:r w:rsidR="00AA2917" w:rsidRPr="00AA2917">
        <w:rPr>
          <w:sz w:val="22"/>
          <w:szCs w:val="22"/>
        </w:rPr>
        <w:t xml:space="preserve"> </w:t>
      </w:r>
      <w:r w:rsidR="00B85685">
        <w:rPr>
          <w:sz w:val="22"/>
          <w:szCs w:val="22"/>
        </w:rPr>
        <w:t>the</w:t>
      </w:r>
      <w:r w:rsidR="004D6C9D">
        <w:rPr>
          <w:sz w:val="22"/>
          <w:szCs w:val="22"/>
        </w:rPr>
        <w:t xml:space="preserve"> goals as set forth in </w:t>
      </w:r>
      <w:r w:rsidR="00B85685">
        <w:rPr>
          <w:sz w:val="22"/>
          <w:szCs w:val="22"/>
        </w:rPr>
        <w:t xml:space="preserve">each agency’s </w:t>
      </w:r>
      <w:r w:rsidR="004D6C9D">
        <w:rPr>
          <w:sz w:val="22"/>
          <w:szCs w:val="22"/>
        </w:rPr>
        <w:t xml:space="preserve">adopted </w:t>
      </w:r>
      <w:r w:rsidR="00AA2917" w:rsidRPr="00AA2917">
        <w:rPr>
          <w:sz w:val="22"/>
          <w:szCs w:val="22"/>
        </w:rPr>
        <w:t>general plan</w:t>
      </w:r>
      <w:r w:rsidR="004D6C9D">
        <w:rPr>
          <w:sz w:val="22"/>
          <w:szCs w:val="22"/>
        </w:rPr>
        <w:t>s,</w:t>
      </w:r>
      <w:r w:rsidR="00AA2917" w:rsidRPr="00AA2917">
        <w:rPr>
          <w:sz w:val="22"/>
          <w:szCs w:val="22"/>
        </w:rPr>
        <w:t xml:space="preserve"> and to cooperate with other local</w:t>
      </w:r>
      <w:r w:rsidR="004D6C9D">
        <w:rPr>
          <w:sz w:val="22"/>
          <w:szCs w:val="22"/>
        </w:rPr>
        <w:t xml:space="preserve"> governments</w:t>
      </w:r>
      <w:r w:rsidR="00B85685">
        <w:rPr>
          <w:sz w:val="22"/>
          <w:szCs w:val="22"/>
        </w:rPr>
        <w:t xml:space="preserve"> and</w:t>
      </w:r>
      <w:r w:rsidR="004D6C9D">
        <w:rPr>
          <w:sz w:val="22"/>
          <w:szCs w:val="22"/>
        </w:rPr>
        <w:t xml:space="preserve"> the </w:t>
      </w:r>
      <w:r w:rsidR="00AA2917" w:rsidRPr="00AA2917">
        <w:rPr>
          <w:sz w:val="22"/>
          <w:szCs w:val="22"/>
        </w:rPr>
        <w:t xml:space="preserve">state </w:t>
      </w:r>
      <w:r w:rsidR="004D6C9D">
        <w:rPr>
          <w:sz w:val="22"/>
          <w:szCs w:val="22"/>
        </w:rPr>
        <w:t>and federal government</w:t>
      </w:r>
      <w:r w:rsidR="00B85685">
        <w:rPr>
          <w:sz w:val="22"/>
          <w:szCs w:val="22"/>
        </w:rPr>
        <w:t>s</w:t>
      </w:r>
      <w:r w:rsidR="004D6C9D">
        <w:rPr>
          <w:sz w:val="22"/>
          <w:szCs w:val="22"/>
        </w:rPr>
        <w:t xml:space="preserve"> </w:t>
      </w:r>
      <w:r w:rsidR="00AA2917" w:rsidRPr="00AA2917">
        <w:rPr>
          <w:sz w:val="22"/>
          <w:szCs w:val="22"/>
        </w:rPr>
        <w:t>in addressing housing needs.</w:t>
      </w:r>
    </w:p>
    <w:p w:rsidR="00C6790B" w:rsidRPr="00C6790B" w:rsidRDefault="00C6790B" w:rsidP="004D6C9D">
      <w:pPr>
        <w:spacing w:after="200" w:line="276" w:lineRule="auto"/>
        <w:jc w:val="both"/>
        <w:rPr>
          <w:b/>
          <w:sz w:val="22"/>
          <w:szCs w:val="22"/>
          <w:u w:val="single"/>
        </w:rPr>
      </w:pPr>
      <w:r w:rsidRPr="00C6790B">
        <w:rPr>
          <w:b/>
          <w:sz w:val="22"/>
          <w:szCs w:val="22"/>
          <w:u w:val="single"/>
        </w:rPr>
        <w:t>Conclusion</w:t>
      </w:r>
    </w:p>
    <w:p w:rsidR="002F0637" w:rsidRDefault="002F0637" w:rsidP="004D6C9D">
      <w:pPr>
        <w:spacing w:after="200" w:line="276" w:lineRule="auto"/>
        <w:jc w:val="both"/>
        <w:rPr>
          <w:sz w:val="22"/>
          <w:szCs w:val="22"/>
        </w:rPr>
      </w:pPr>
      <w:r w:rsidRPr="002F0637">
        <w:rPr>
          <w:sz w:val="22"/>
          <w:szCs w:val="22"/>
        </w:rPr>
        <w:t>A major effort li</w:t>
      </w:r>
      <w:r w:rsidR="00F804FE">
        <w:rPr>
          <w:sz w:val="22"/>
          <w:szCs w:val="22"/>
        </w:rPr>
        <w:t>ke this could not have been accomplished</w:t>
      </w:r>
      <w:r w:rsidRPr="002F0637">
        <w:rPr>
          <w:sz w:val="22"/>
          <w:szCs w:val="22"/>
        </w:rPr>
        <w:t xml:space="preserve"> without the support of the many people who offered their time and expert</w:t>
      </w:r>
      <w:r w:rsidR="00F804FE">
        <w:rPr>
          <w:sz w:val="22"/>
          <w:szCs w:val="22"/>
        </w:rPr>
        <w:t xml:space="preserve">ise to the Task Force. </w:t>
      </w:r>
      <w:r w:rsidR="00B85685">
        <w:rPr>
          <w:sz w:val="22"/>
          <w:szCs w:val="22"/>
        </w:rPr>
        <w:t>Preparing this Action Plan</w:t>
      </w:r>
      <w:r w:rsidR="006B5BE4">
        <w:rPr>
          <w:sz w:val="22"/>
          <w:szCs w:val="22"/>
        </w:rPr>
        <w:t xml:space="preserve"> is only the first step; now follows the critical period of </w:t>
      </w:r>
      <w:r w:rsidR="00B85685">
        <w:rPr>
          <w:sz w:val="22"/>
          <w:szCs w:val="22"/>
        </w:rPr>
        <w:t xml:space="preserve">implementing </w:t>
      </w:r>
      <w:r w:rsidR="006B5BE4">
        <w:rPr>
          <w:sz w:val="22"/>
          <w:szCs w:val="22"/>
        </w:rPr>
        <w:t>the Task Force’s</w:t>
      </w:r>
      <w:r w:rsidRPr="002F0637">
        <w:rPr>
          <w:sz w:val="22"/>
          <w:szCs w:val="22"/>
        </w:rPr>
        <w:t xml:space="preserve"> recommendations. Movin</w:t>
      </w:r>
      <w:r w:rsidR="00C6790B">
        <w:rPr>
          <w:sz w:val="22"/>
          <w:szCs w:val="22"/>
        </w:rPr>
        <w:t>g forward toward that goal, three</w:t>
      </w:r>
      <w:r w:rsidRPr="002F0637">
        <w:rPr>
          <w:sz w:val="22"/>
          <w:szCs w:val="22"/>
        </w:rPr>
        <w:t xml:space="preserve"> k</w:t>
      </w:r>
      <w:r>
        <w:rPr>
          <w:sz w:val="22"/>
          <w:szCs w:val="22"/>
        </w:rPr>
        <w:t>ey points must be kept in mind:</w:t>
      </w:r>
    </w:p>
    <w:p w:rsidR="00F804FE" w:rsidRDefault="002F0637" w:rsidP="004D6C9D">
      <w:pPr>
        <w:pStyle w:val="ListParagraph"/>
        <w:spacing w:line="276" w:lineRule="auto"/>
        <w:jc w:val="both"/>
      </w:pPr>
      <w:r w:rsidRPr="00506396">
        <w:rPr>
          <w:b/>
        </w:rPr>
        <w:t>Ther</w:t>
      </w:r>
      <w:r w:rsidR="00506396" w:rsidRPr="00506396">
        <w:rPr>
          <w:b/>
        </w:rPr>
        <w:t>e is no single solution.</w:t>
      </w:r>
      <w:r w:rsidRPr="00F804FE">
        <w:t xml:space="preserve"> Our financial toolbox needs many different </w:t>
      </w:r>
      <w:r w:rsidR="00A37EEC">
        <w:t xml:space="preserve">mechanisms </w:t>
      </w:r>
      <w:r w:rsidR="00E4571E">
        <w:t>to se</w:t>
      </w:r>
      <w:r w:rsidR="0003040E">
        <w:t xml:space="preserve">rve diverse housing needs. </w:t>
      </w:r>
      <w:r w:rsidR="00E4571E">
        <w:t xml:space="preserve">With an evolving regulatory landscape at the federal and </w:t>
      </w:r>
      <w:r w:rsidR="005E136E">
        <w:t>State</w:t>
      </w:r>
      <w:r w:rsidR="00E4571E">
        <w:t xml:space="preserve"> levels, local </w:t>
      </w:r>
      <w:r w:rsidR="00B85685">
        <w:t xml:space="preserve">funding </w:t>
      </w:r>
      <w:r w:rsidR="00E4571E">
        <w:t>sources for affordable housing need to be refreshed</w:t>
      </w:r>
      <w:r w:rsidRPr="00F804FE">
        <w:t xml:space="preserve">, </w:t>
      </w:r>
      <w:r w:rsidR="00E4571E">
        <w:t>with a particular focus on regional collaboration to optimize</w:t>
      </w:r>
      <w:r w:rsidR="00F804FE">
        <w:t xml:space="preserve"> results.</w:t>
      </w:r>
    </w:p>
    <w:p w:rsidR="002F0637" w:rsidRDefault="00F46F1B" w:rsidP="004D6C9D">
      <w:pPr>
        <w:pStyle w:val="ListParagraph"/>
        <w:spacing w:line="276" w:lineRule="auto"/>
        <w:jc w:val="both"/>
      </w:pPr>
      <w:r>
        <w:rPr>
          <w:b/>
        </w:rPr>
        <w:t>It i</w:t>
      </w:r>
      <w:r w:rsidR="002F0637" w:rsidRPr="00506396">
        <w:rPr>
          <w:b/>
        </w:rPr>
        <w:t xml:space="preserve">s not just about </w:t>
      </w:r>
      <w:r w:rsidR="002F0637" w:rsidRPr="00E4571E">
        <w:rPr>
          <w:b/>
        </w:rPr>
        <w:t>capita</w:t>
      </w:r>
      <w:r w:rsidR="00E4571E" w:rsidRPr="00E4571E">
        <w:rPr>
          <w:b/>
        </w:rPr>
        <w:t>l</w:t>
      </w:r>
      <w:r w:rsidR="00506396" w:rsidRPr="00E4571E">
        <w:rPr>
          <w:b/>
        </w:rPr>
        <w:t>.</w:t>
      </w:r>
      <w:r w:rsidR="00E4571E">
        <w:t xml:space="preserve"> Non-monetary resources are critical to establishing </w:t>
      </w:r>
      <w:r w:rsidR="00B85685">
        <w:t>an</w:t>
      </w:r>
      <w:r w:rsidR="00E4571E">
        <w:t xml:space="preserve"> environment favorable to affordable housing</w:t>
      </w:r>
      <w:r w:rsidR="00B85685">
        <w:t xml:space="preserve"> development</w:t>
      </w:r>
      <w:r w:rsidR="00E4571E">
        <w:t xml:space="preserve">. Land use, community relationships, and innovative approaches to </w:t>
      </w:r>
      <w:r w:rsidR="00B85685">
        <w:t xml:space="preserve">affordable housing </w:t>
      </w:r>
      <w:r w:rsidR="00E4571E">
        <w:t xml:space="preserve">site identification are just a few of many elements that </w:t>
      </w:r>
      <w:r w:rsidR="00B85685">
        <w:t xml:space="preserve">will </w:t>
      </w:r>
      <w:r w:rsidR="00E4571E">
        <w:t xml:space="preserve">help foster housing that works for the Napa </w:t>
      </w:r>
      <w:r w:rsidR="00B85685">
        <w:t xml:space="preserve">County </w:t>
      </w:r>
      <w:r w:rsidR="00E4571E">
        <w:t>community.</w:t>
      </w:r>
    </w:p>
    <w:p w:rsidR="00CD66F1" w:rsidRDefault="00506396" w:rsidP="004D6C9D">
      <w:pPr>
        <w:pStyle w:val="ListParagraph"/>
        <w:spacing w:line="276" w:lineRule="auto"/>
        <w:jc w:val="both"/>
      </w:pPr>
      <w:r w:rsidRPr="00506396">
        <w:rPr>
          <w:b/>
        </w:rPr>
        <w:lastRenderedPageBreak/>
        <w:t>Napa has a unique development environment.</w:t>
      </w:r>
      <w:r>
        <w:t xml:space="preserve"> Because of </w:t>
      </w:r>
      <w:r w:rsidR="00B85685">
        <w:t>its</w:t>
      </w:r>
      <w:r>
        <w:t xml:space="preserve"> access to the </w:t>
      </w:r>
      <w:r w:rsidR="00B85685">
        <w:t xml:space="preserve">greater </w:t>
      </w:r>
      <w:r>
        <w:t>metropolitan Bay Area and because Napa</w:t>
      </w:r>
      <w:r w:rsidR="00B85685">
        <w:t xml:space="preserve"> County</w:t>
      </w:r>
      <w:r>
        <w:t xml:space="preserve"> is a leading tourist destination in its own right, the region must balance preservation of agricultural resources, workforce development, and tourism with challenges such as traffic, greenhouse gas emissions, and housing affordability</w:t>
      </w:r>
      <w:r w:rsidR="009B299C">
        <w:t>.</w:t>
      </w:r>
    </w:p>
    <w:p w:rsidR="00CD66F1" w:rsidRPr="00CD66F1" w:rsidRDefault="00CD66F1" w:rsidP="004D6C9D">
      <w:pPr>
        <w:pStyle w:val="ListParagraph"/>
        <w:spacing w:line="276" w:lineRule="auto"/>
        <w:jc w:val="both"/>
      </w:pPr>
      <w:r>
        <w:rPr>
          <w:b/>
        </w:rPr>
        <w:t xml:space="preserve">Napa County and all jurisdictions within would benefit from identifying a </w:t>
      </w:r>
      <w:r w:rsidR="004D1D10">
        <w:rPr>
          <w:b/>
        </w:rPr>
        <w:t xml:space="preserve">minimum </w:t>
      </w:r>
      <w:r>
        <w:rPr>
          <w:b/>
        </w:rPr>
        <w:t xml:space="preserve">target goal of the number of units of affordable housing to </w:t>
      </w:r>
      <w:r w:rsidR="000F60A1">
        <w:rPr>
          <w:b/>
        </w:rPr>
        <w:t xml:space="preserve">create </w:t>
      </w:r>
      <w:r>
        <w:rPr>
          <w:b/>
        </w:rPr>
        <w:t>per year.</w:t>
      </w:r>
      <w:r>
        <w:t xml:space="preserve">  </w:t>
      </w:r>
      <w:r w:rsidR="000F60A1">
        <w:t>L</w:t>
      </w:r>
      <w:r w:rsidR="004D1D10">
        <w:t xml:space="preserve">ow wage jobs support the wine and hospitality industries </w:t>
      </w:r>
      <w:r w:rsidR="000F60A1">
        <w:t xml:space="preserve">and </w:t>
      </w:r>
      <w:r w:rsidR="004D1D10">
        <w:t>are expected to be the predominant job growth category going into the future</w:t>
      </w:r>
      <w:r w:rsidR="00CE2A47">
        <w:t>.  This would further increase the need for affordable housing in Napa County</w:t>
      </w:r>
      <w:r w:rsidR="004D1D10">
        <w:t>.</w:t>
      </w:r>
    </w:p>
    <w:p w:rsidR="00523D57" w:rsidRDefault="00523D57" w:rsidP="004D6C9D">
      <w:pPr>
        <w:spacing w:after="200" w:line="276" w:lineRule="auto"/>
        <w:jc w:val="both"/>
        <w:rPr>
          <w:sz w:val="22"/>
          <w:szCs w:val="22"/>
        </w:rPr>
      </w:pPr>
      <w:r>
        <w:rPr>
          <w:sz w:val="22"/>
          <w:szCs w:val="22"/>
        </w:rPr>
        <w:t xml:space="preserve">The Task Force was charged with developing recommendations </w:t>
      </w:r>
      <w:r w:rsidR="001317CD">
        <w:rPr>
          <w:sz w:val="22"/>
          <w:szCs w:val="22"/>
        </w:rPr>
        <w:t>and</w:t>
      </w:r>
      <w:r>
        <w:rPr>
          <w:sz w:val="22"/>
          <w:szCs w:val="22"/>
        </w:rPr>
        <w:t xml:space="preserve"> strategies that will position Napa County to more effectively and efficiently deliver affordable housing. Task Force members analyzed construction types, methods of development financing, existing and potential new sources of revenue streams, innovations in cost efficiencies, non-monetary approaches to housing production, and the best ways to ensure proper oversight for carrying out adopted recommendations.</w:t>
      </w:r>
    </w:p>
    <w:p w:rsidR="00B94B48" w:rsidRDefault="00B94B48" w:rsidP="004D6C9D">
      <w:pPr>
        <w:spacing w:after="200" w:line="276" w:lineRule="auto"/>
        <w:jc w:val="both"/>
        <w:rPr>
          <w:sz w:val="22"/>
          <w:szCs w:val="22"/>
        </w:rPr>
      </w:pPr>
      <w:r>
        <w:rPr>
          <w:sz w:val="22"/>
          <w:szCs w:val="22"/>
        </w:rPr>
        <w:br w:type="page"/>
      </w:r>
    </w:p>
    <w:p w:rsidR="00B94B48" w:rsidRDefault="00B94B48" w:rsidP="00B94B48">
      <w:pPr>
        <w:autoSpaceDE w:val="0"/>
        <w:autoSpaceDN w:val="0"/>
        <w:adjustRightInd w:val="0"/>
      </w:pPr>
    </w:p>
    <w:p w:rsidR="00B94B48" w:rsidRDefault="00B94B48" w:rsidP="00B94B48">
      <w:pPr>
        <w:spacing w:after="200" w:line="276" w:lineRule="auto"/>
        <w:rPr>
          <w:b/>
          <w:smallCaps/>
          <w:color w:val="00008C"/>
          <w:sz w:val="60"/>
          <w:szCs w:val="60"/>
        </w:rPr>
      </w:pPr>
    </w:p>
    <w:p w:rsidR="00B94B48" w:rsidRPr="00963617" w:rsidRDefault="00B94B48" w:rsidP="00B94B48">
      <w:pPr>
        <w:pStyle w:val="TODHeading1"/>
        <w:rPr>
          <w:smallCaps/>
          <w:sz w:val="60"/>
          <w:szCs w:val="60"/>
        </w:rPr>
      </w:pPr>
      <w:r w:rsidRPr="00963617">
        <w:rPr>
          <w:smallCaps/>
          <w:sz w:val="60"/>
          <w:szCs w:val="60"/>
        </w:rPr>
        <w:t>Section 1</w:t>
      </w:r>
    </w:p>
    <w:p w:rsidR="00B94B48" w:rsidRPr="00963617" w:rsidRDefault="00B94B48" w:rsidP="00B94B48">
      <w:pPr>
        <w:pStyle w:val="TODHeading1"/>
        <w:rPr>
          <w:smallCaps/>
          <w:sz w:val="48"/>
          <w:szCs w:val="48"/>
        </w:rPr>
      </w:pPr>
      <w:r w:rsidRPr="00963617">
        <w:rPr>
          <w:smallCaps/>
          <w:sz w:val="48"/>
          <w:szCs w:val="48"/>
        </w:rPr>
        <w:t xml:space="preserve">  </w:t>
      </w:r>
    </w:p>
    <w:p w:rsidR="00B94B48" w:rsidRPr="00963617" w:rsidRDefault="00B94B48" w:rsidP="00B94B48">
      <w:pPr>
        <w:pStyle w:val="TODHeading1"/>
        <w:rPr>
          <w:smallCaps/>
          <w:sz w:val="48"/>
          <w:szCs w:val="48"/>
        </w:rPr>
      </w:pPr>
      <w:r w:rsidRPr="00963617">
        <w:rPr>
          <w:smallCaps/>
          <w:sz w:val="48"/>
          <w:szCs w:val="48"/>
        </w:rPr>
        <w:t>A Review of</w:t>
      </w:r>
    </w:p>
    <w:p w:rsidR="00B94B48" w:rsidRPr="00963617" w:rsidRDefault="00B94B48" w:rsidP="00B94B48">
      <w:pPr>
        <w:pStyle w:val="TODHeading1"/>
        <w:rPr>
          <w:smallCaps/>
          <w:sz w:val="48"/>
          <w:szCs w:val="48"/>
        </w:rPr>
      </w:pPr>
      <w:r w:rsidRPr="00963617">
        <w:rPr>
          <w:smallCaps/>
          <w:sz w:val="48"/>
          <w:szCs w:val="48"/>
        </w:rPr>
        <w:t>Task Force Deliberations</w:t>
      </w:r>
    </w:p>
    <w:p w:rsidR="00726043" w:rsidRPr="00F662FC" w:rsidRDefault="00726043" w:rsidP="00523D57">
      <w:pPr>
        <w:spacing w:after="200" w:line="276" w:lineRule="auto"/>
        <w:rPr>
          <w:b/>
          <w:sz w:val="22"/>
          <w:szCs w:val="22"/>
        </w:rPr>
      </w:pPr>
      <w:r w:rsidRPr="00F662FC">
        <w:rPr>
          <w:b/>
          <w:smallCaps/>
          <w:color w:val="00008C"/>
          <w:sz w:val="60"/>
          <w:szCs w:val="60"/>
        </w:rPr>
        <w:br w:type="page"/>
      </w:r>
    </w:p>
    <w:p w:rsidR="00B94B48" w:rsidRPr="00F5461E" w:rsidRDefault="00CB322F" w:rsidP="00F5461E">
      <w:pPr>
        <w:pStyle w:val="TOC10"/>
      </w:pPr>
      <w:hyperlink w:anchor="Table_of_Contents" w:history="1">
        <w:bookmarkStart w:id="21" w:name="_Toc352584358"/>
        <w:bookmarkStart w:id="22" w:name="_Toc359933693"/>
        <w:r w:rsidR="00B94B48" w:rsidRPr="00AF0984">
          <w:rPr>
            <w:rStyle w:val="Hyperlink"/>
          </w:rPr>
          <w:t xml:space="preserve">Section 1:  A Review of </w:t>
        </w:r>
        <w:r w:rsidR="00423BFB">
          <w:rPr>
            <w:rStyle w:val="Hyperlink"/>
          </w:rPr>
          <w:t xml:space="preserve">Housing </w:t>
        </w:r>
        <w:r w:rsidR="00B94B48" w:rsidRPr="00AF0984">
          <w:rPr>
            <w:rStyle w:val="Hyperlink"/>
          </w:rPr>
          <w:t>Task Force Deliberations</w:t>
        </w:r>
        <w:bookmarkEnd w:id="21"/>
        <w:bookmarkEnd w:id="22"/>
      </w:hyperlink>
      <w:r w:rsidR="00B94B48" w:rsidRPr="00F5461E">
        <w:t xml:space="preserve"> </w:t>
      </w:r>
    </w:p>
    <w:p w:rsidR="00B94B48" w:rsidRDefault="00B94B48" w:rsidP="00B94B48">
      <w:pPr>
        <w:autoSpaceDE w:val="0"/>
        <w:autoSpaceDN w:val="0"/>
        <w:adjustRightInd w:val="0"/>
        <w:rPr>
          <w:iCs/>
          <w:color w:val="000000"/>
          <w:sz w:val="22"/>
          <w:szCs w:val="22"/>
        </w:rPr>
      </w:pPr>
    </w:p>
    <w:p w:rsidR="005238E0" w:rsidRPr="00C62ED3" w:rsidRDefault="005238E0" w:rsidP="005238E0">
      <w:pPr>
        <w:rPr>
          <w:sz w:val="22"/>
          <w:szCs w:val="22"/>
        </w:rPr>
      </w:pPr>
    </w:p>
    <w:p w:rsidR="003E7AFA" w:rsidRDefault="00522B9F" w:rsidP="003E7AFA">
      <w:pPr>
        <w:spacing w:after="200" w:line="276" w:lineRule="auto"/>
        <w:jc w:val="both"/>
        <w:rPr>
          <w:sz w:val="22"/>
          <w:szCs w:val="22"/>
        </w:rPr>
      </w:pPr>
      <w:r w:rsidRPr="000E6AD0">
        <w:rPr>
          <w:sz w:val="22"/>
          <w:szCs w:val="22"/>
        </w:rPr>
        <w:t xml:space="preserve">This section provides the </w:t>
      </w:r>
      <w:r w:rsidR="001317CD">
        <w:rPr>
          <w:sz w:val="22"/>
          <w:szCs w:val="22"/>
        </w:rPr>
        <w:t>bac</w:t>
      </w:r>
      <w:r w:rsidR="00220561">
        <w:rPr>
          <w:sz w:val="22"/>
          <w:szCs w:val="22"/>
        </w:rPr>
        <w:t>k</w:t>
      </w:r>
      <w:r w:rsidR="001317CD">
        <w:rPr>
          <w:sz w:val="22"/>
          <w:szCs w:val="22"/>
        </w:rPr>
        <w:t>ground</w:t>
      </w:r>
      <w:r w:rsidR="001317CD" w:rsidRPr="000E6AD0">
        <w:rPr>
          <w:sz w:val="22"/>
          <w:szCs w:val="22"/>
        </w:rPr>
        <w:t xml:space="preserve"> </w:t>
      </w:r>
      <w:r w:rsidRPr="000E6AD0">
        <w:rPr>
          <w:sz w:val="22"/>
          <w:szCs w:val="22"/>
        </w:rPr>
        <w:t>and purpose of th</w:t>
      </w:r>
      <w:r w:rsidR="0088654A">
        <w:rPr>
          <w:sz w:val="22"/>
          <w:szCs w:val="22"/>
        </w:rPr>
        <w:t>e Housing Task Force and</w:t>
      </w:r>
      <w:r w:rsidRPr="000E6AD0">
        <w:rPr>
          <w:sz w:val="22"/>
          <w:szCs w:val="22"/>
        </w:rPr>
        <w:t xml:space="preserve"> rev</w:t>
      </w:r>
      <w:r w:rsidR="003E7AFA">
        <w:rPr>
          <w:sz w:val="22"/>
          <w:szCs w:val="22"/>
        </w:rPr>
        <w:t xml:space="preserve">iews </w:t>
      </w:r>
      <w:r w:rsidR="00423BFB">
        <w:rPr>
          <w:sz w:val="22"/>
          <w:szCs w:val="22"/>
        </w:rPr>
        <w:t>its</w:t>
      </w:r>
      <w:r w:rsidR="0088654A">
        <w:rPr>
          <w:sz w:val="22"/>
          <w:szCs w:val="22"/>
        </w:rPr>
        <w:t xml:space="preserve"> e</w:t>
      </w:r>
      <w:r w:rsidR="00C6790B">
        <w:rPr>
          <w:sz w:val="22"/>
          <w:szCs w:val="22"/>
        </w:rPr>
        <w:t>fforts to develop a deep understanding of</w:t>
      </w:r>
      <w:r w:rsidR="0088654A">
        <w:rPr>
          <w:sz w:val="22"/>
          <w:szCs w:val="22"/>
        </w:rPr>
        <w:t xml:space="preserve"> the existing state of affordable housing in the Napa region</w:t>
      </w:r>
      <w:r w:rsidR="009B299C">
        <w:rPr>
          <w:sz w:val="22"/>
          <w:szCs w:val="22"/>
        </w:rPr>
        <w:t>.</w:t>
      </w:r>
      <w:r w:rsidR="003E7AFA">
        <w:rPr>
          <w:sz w:val="22"/>
          <w:szCs w:val="22"/>
        </w:rPr>
        <w:t xml:space="preserve"> </w:t>
      </w:r>
      <w:r w:rsidR="0088654A">
        <w:rPr>
          <w:sz w:val="22"/>
          <w:szCs w:val="22"/>
        </w:rPr>
        <w:t xml:space="preserve">County and </w:t>
      </w:r>
      <w:r w:rsidR="001317CD">
        <w:rPr>
          <w:sz w:val="22"/>
          <w:szCs w:val="22"/>
        </w:rPr>
        <w:t xml:space="preserve">City </w:t>
      </w:r>
      <w:r w:rsidR="003E7AFA">
        <w:rPr>
          <w:sz w:val="22"/>
          <w:szCs w:val="22"/>
        </w:rPr>
        <w:t xml:space="preserve">staff delivered presentations to the </w:t>
      </w:r>
      <w:r w:rsidR="00852AFE">
        <w:rPr>
          <w:sz w:val="22"/>
          <w:szCs w:val="22"/>
        </w:rPr>
        <w:t xml:space="preserve">Housing </w:t>
      </w:r>
      <w:r w:rsidR="003E7AFA">
        <w:rPr>
          <w:sz w:val="22"/>
          <w:szCs w:val="22"/>
        </w:rPr>
        <w:t xml:space="preserve">Task Force that provided industry benchmarks, an overview of affordable housing financing, demographic trends and metrics, and creative solutions and pilot programs underway in other regions. Applying this process of education and deliberations to the unique development environment of Napa County, the </w:t>
      </w:r>
      <w:r w:rsidR="00852AFE">
        <w:rPr>
          <w:sz w:val="22"/>
          <w:szCs w:val="22"/>
        </w:rPr>
        <w:t xml:space="preserve">Housing </w:t>
      </w:r>
      <w:r w:rsidR="00C6790B">
        <w:rPr>
          <w:sz w:val="22"/>
          <w:szCs w:val="22"/>
        </w:rPr>
        <w:t>Task Force recognizes</w:t>
      </w:r>
      <w:r w:rsidR="003E7AFA">
        <w:rPr>
          <w:sz w:val="22"/>
          <w:szCs w:val="22"/>
        </w:rPr>
        <w:t xml:space="preserve"> that there is no single solution to the affordable housing challenge in Napa County. It is the hope of the </w:t>
      </w:r>
      <w:r w:rsidR="00852AFE">
        <w:rPr>
          <w:sz w:val="22"/>
          <w:szCs w:val="22"/>
        </w:rPr>
        <w:t xml:space="preserve">Housing </w:t>
      </w:r>
      <w:r w:rsidR="003E7AFA">
        <w:rPr>
          <w:sz w:val="22"/>
          <w:szCs w:val="22"/>
        </w:rPr>
        <w:t xml:space="preserve">Task Force that the strategies </w:t>
      </w:r>
      <w:r w:rsidR="0088654A">
        <w:rPr>
          <w:sz w:val="22"/>
          <w:szCs w:val="22"/>
        </w:rPr>
        <w:t xml:space="preserve">developed in this </w:t>
      </w:r>
      <w:r w:rsidR="001317CD">
        <w:rPr>
          <w:sz w:val="22"/>
          <w:szCs w:val="22"/>
        </w:rPr>
        <w:t>Action Plan</w:t>
      </w:r>
      <w:r w:rsidR="0088654A">
        <w:rPr>
          <w:sz w:val="22"/>
          <w:szCs w:val="22"/>
        </w:rPr>
        <w:t xml:space="preserve"> will be implemented </w:t>
      </w:r>
      <w:r w:rsidR="003E7AFA">
        <w:rPr>
          <w:sz w:val="22"/>
          <w:szCs w:val="22"/>
        </w:rPr>
        <w:t>in a manner that boldly confronts the affordable housing challenge while remaining sensitive to the character of the Napa community.</w:t>
      </w:r>
    </w:p>
    <w:p w:rsidR="005238E0" w:rsidRPr="000E6AD0" w:rsidRDefault="00B94B48" w:rsidP="000E6AD0">
      <w:pPr>
        <w:jc w:val="center"/>
        <w:rPr>
          <w:b/>
          <w:smallCaps/>
          <w:sz w:val="28"/>
        </w:rPr>
      </w:pPr>
      <w:r w:rsidRPr="000E6AD0">
        <w:rPr>
          <w:b/>
          <w:smallCaps/>
          <w:sz w:val="28"/>
        </w:rPr>
        <w:t>Background</w:t>
      </w:r>
    </w:p>
    <w:p w:rsidR="005238E0" w:rsidRPr="00C62ED3" w:rsidRDefault="005238E0" w:rsidP="005238E0">
      <w:pPr>
        <w:jc w:val="center"/>
        <w:outlineLvl w:val="0"/>
        <w:rPr>
          <w:b/>
          <w:bCs/>
          <w:smallCaps/>
          <w:sz w:val="28"/>
          <w:szCs w:val="28"/>
        </w:rPr>
      </w:pPr>
    </w:p>
    <w:p w:rsidR="005238E0" w:rsidRPr="00A93033" w:rsidRDefault="005238E0" w:rsidP="00830911">
      <w:pPr>
        <w:autoSpaceDE w:val="0"/>
        <w:autoSpaceDN w:val="0"/>
        <w:adjustRightInd w:val="0"/>
        <w:spacing w:after="200" w:line="276" w:lineRule="auto"/>
        <w:jc w:val="both"/>
        <w:rPr>
          <w:sz w:val="22"/>
          <w:szCs w:val="22"/>
        </w:rPr>
      </w:pPr>
      <w:r w:rsidRPr="00A93033">
        <w:rPr>
          <w:sz w:val="22"/>
          <w:szCs w:val="22"/>
        </w:rPr>
        <w:t xml:space="preserve">On April 17, 2012, the Napa County Board of Supervisors </w:t>
      </w:r>
      <w:r w:rsidR="00F662FC">
        <w:rPr>
          <w:sz w:val="22"/>
          <w:szCs w:val="22"/>
        </w:rPr>
        <w:t xml:space="preserve">and Napa City Council </w:t>
      </w:r>
      <w:r w:rsidRPr="00A93033">
        <w:rPr>
          <w:sz w:val="22"/>
          <w:szCs w:val="22"/>
        </w:rPr>
        <w:t>received a</w:t>
      </w:r>
      <w:r w:rsidR="00F662FC">
        <w:rPr>
          <w:sz w:val="22"/>
          <w:szCs w:val="22"/>
        </w:rPr>
        <w:t xml:space="preserve"> joint</w:t>
      </w:r>
      <w:r w:rsidRPr="00A93033">
        <w:rPr>
          <w:sz w:val="22"/>
          <w:szCs w:val="22"/>
        </w:rPr>
        <w:t xml:space="preserve"> presentation made by County of Napa Director of Housing and Intergovernmental Affairs Larry Flor</w:t>
      </w:r>
      <w:r w:rsidR="00F662FC">
        <w:rPr>
          <w:sz w:val="22"/>
          <w:szCs w:val="22"/>
        </w:rPr>
        <w:t xml:space="preserve">in and City of Napa </w:t>
      </w:r>
      <w:r w:rsidRPr="00A93033">
        <w:rPr>
          <w:sz w:val="22"/>
          <w:szCs w:val="22"/>
        </w:rPr>
        <w:t xml:space="preserve">Community Development </w:t>
      </w:r>
      <w:r w:rsidR="00F662FC">
        <w:rPr>
          <w:sz w:val="22"/>
          <w:szCs w:val="22"/>
        </w:rPr>
        <w:t xml:space="preserve">Director </w:t>
      </w:r>
      <w:r w:rsidRPr="00A93033">
        <w:rPr>
          <w:sz w:val="22"/>
          <w:szCs w:val="22"/>
        </w:rPr>
        <w:t xml:space="preserve">Cassandra Walker. This presentation and </w:t>
      </w:r>
      <w:r w:rsidR="00F662FC">
        <w:rPr>
          <w:sz w:val="22"/>
          <w:szCs w:val="22"/>
        </w:rPr>
        <w:t xml:space="preserve">ensuing </w:t>
      </w:r>
      <w:r w:rsidRPr="00A93033">
        <w:rPr>
          <w:sz w:val="22"/>
          <w:szCs w:val="22"/>
        </w:rPr>
        <w:t>discussion led to the creation of a Joint Countywide Affordable Housing Task Force, where the City</w:t>
      </w:r>
      <w:r w:rsidR="00F662FC">
        <w:rPr>
          <w:sz w:val="22"/>
          <w:szCs w:val="22"/>
        </w:rPr>
        <w:t xml:space="preserve"> of Napa appointed Vice Mayor</w:t>
      </w:r>
      <w:r w:rsidRPr="00A93033">
        <w:rPr>
          <w:sz w:val="22"/>
          <w:szCs w:val="22"/>
        </w:rPr>
        <w:t xml:space="preserve"> Peter Mott as the City of Napa</w:t>
      </w:r>
      <w:r w:rsidR="00F662FC">
        <w:rPr>
          <w:sz w:val="22"/>
          <w:szCs w:val="22"/>
        </w:rPr>
        <w:t xml:space="preserve">’s </w:t>
      </w:r>
      <w:r w:rsidRPr="00A93033">
        <w:rPr>
          <w:sz w:val="22"/>
          <w:szCs w:val="22"/>
        </w:rPr>
        <w:t>represent</w:t>
      </w:r>
      <w:r w:rsidR="0011649E">
        <w:rPr>
          <w:sz w:val="22"/>
          <w:szCs w:val="22"/>
        </w:rPr>
        <w:t xml:space="preserve">ative on the </w:t>
      </w:r>
      <w:r w:rsidR="00F662FC">
        <w:rPr>
          <w:sz w:val="22"/>
          <w:szCs w:val="22"/>
        </w:rPr>
        <w:t>Task Force</w:t>
      </w:r>
      <w:r w:rsidRPr="00A93033">
        <w:rPr>
          <w:sz w:val="22"/>
          <w:szCs w:val="22"/>
        </w:rPr>
        <w:t xml:space="preserve"> and the Board of Supervisors appointed Supervisor Mark Luce as the County of Napa</w:t>
      </w:r>
      <w:r w:rsidR="00F662FC">
        <w:rPr>
          <w:sz w:val="22"/>
          <w:szCs w:val="22"/>
        </w:rPr>
        <w:t>’s</w:t>
      </w:r>
      <w:r w:rsidRPr="00A93033">
        <w:rPr>
          <w:sz w:val="22"/>
          <w:szCs w:val="22"/>
        </w:rPr>
        <w:t xml:space="preserve"> representative. On May 1, 2012</w:t>
      </w:r>
      <w:r w:rsidR="00C04FF6">
        <w:rPr>
          <w:sz w:val="22"/>
          <w:szCs w:val="22"/>
        </w:rPr>
        <w:t>,</w:t>
      </w:r>
      <w:r w:rsidRPr="00A93033">
        <w:rPr>
          <w:sz w:val="22"/>
          <w:szCs w:val="22"/>
        </w:rPr>
        <w:t xml:space="preserve"> th</w:t>
      </w:r>
      <w:r w:rsidR="00F662FC">
        <w:rPr>
          <w:sz w:val="22"/>
          <w:szCs w:val="22"/>
        </w:rPr>
        <w:t>e City of American Canyon appoin</w:t>
      </w:r>
      <w:r w:rsidRPr="00A93033">
        <w:rPr>
          <w:sz w:val="22"/>
          <w:szCs w:val="22"/>
        </w:rPr>
        <w:t>ted Councilmember Mark Joseph as the City of American Canyon</w:t>
      </w:r>
      <w:r w:rsidR="00F662FC">
        <w:rPr>
          <w:sz w:val="22"/>
          <w:szCs w:val="22"/>
        </w:rPr>
        <w:t>’s</w:t>
      </w:r>
      <w:r w:rsidR="0011649E">
        <w:rPr>
          <w:sz w:val="22"/>
          <w:szCs w:val="22"/>
        </w:rPr>
        <w:t xml:space="preserve"> representative on the </w:t>
      </w:r>
      <w:r w:rsidRPr="00A93033">
        <w:rPr>
          <w:sz w:val="22"/>
          <w:szCs w:val="22"/>
        </w:rPr>
        <w:t xml:space="preserve">Task </w:t>
      </w:r>
      <w:r w:rsidR="001317CD">
        <w:rPr>
          <w:sz w:val="22"/>
          <w:szCs w:val="22"/>
        </w:rPr>
        <w:t>F</w:t>
      </w:r>
      <w:r w:rsidR="001317CD" w:rsidRPr="00A93033">
        <w:rPr>
          <w:sz w:val="22"/>
          <w:szCs w:val="22"/>
        </w:rPr>
        <w:t>orce</w:t>
      </w:r>
      <w:r w:rsidRPr="00A93033">
        <w:rPr>
          <w:sz w:val="22"/>
          <w:szCs w:val="22"/>
        </w:rPr>
        <w:t xml:space="preserve">. </w:t>
      </w:r>
      <w:r w:rsidR="001317CD">
        <w:rPr>
          <w:sz w:val="22"/>
          <w:szCs w:val="22"/>
        </w:rPr>
        <w:t>All</w:t>
      </w:r>
      <w:r w:rsidR="001317CD" w:rsidRPr="00A93033">
        <w:rPr>
          <w:sz w:val="22"/>
          <w:szCs w:val="22"/>
        </w:rPr>
        <w:t xml:space="preserve"> </w:t>
      </w:r>
      <w:r w:rsidRPr="00A93033">
        <w:rPr>
          <w:sz w:val="22"/>
          <w:szCs w:val="22"/>
        </w:rPr>
        <w:t>three elected</w:t>
      </w:r>
      <w:r w:rsidR="00C52AF9">
        <w:rPr>
          <w:sz w:val="22"/>
          <w:szCs w:val="22"/>
        </w:rPr>
        <w:t xml:space="preserve"> leaders </w:t>
      </w:r>
      <w:r w:rsidRPr="00A93033">
        <w:rPr>
          <w:sz w:val="22"/>
          <w:szCs w:val="22"/>
        </w:rPr>
        <w:t>have served as co-chairs of the Task Force</w:t>
      </w:r>
      <w:r w:rsidR="001317CD">
        <w:rPr>
          <w:sz w:val="22"/>
          <w:szCs w:val="22"/>
        </w:rPr>
        <w:t xml:space="preserve"> during its deliberations</w:t>
      </w:r>
      <w:r w:rsidRPr="00A93033">
        <w:rPr>
          <w:sz w:val="22"/>
          <w:szCs w:val="22"/>
        </w:rPr>
        <w:t>.</w:t>
      </w:r>
    </w:p>
    <w:p w:rsidR="00160D95" w:rsidRDefault="005238E0" w:rsidP="00830911">
      <w:pPr>
        <w:autoSpaceDE w:val="0"/>
        <w:autoSpaceDN w:val="0"/>
        <w:adjustRightInd w:val="0"/>
        <w:spacing w:after="200" w:line="276" w:lineRule="auto"/>
        <w:jc w:val="both"/>
        <w:rPr>
          <w:sz w:val="22"/>
          <w:szCs w:val="22"/>
        </w:rPr>
      </w:pPr>
      <w:r w:rsidRPr="00A93033">
        <w:rPr>
          <w:sz w:val="22"/>
          <w:szCs w:val="22"/>
        </w:rPr>
        <w:t>The purp</w:t>
      </w:r>
      <w:r w:rsidR="007042A3">
        <w:rPr>
          <w:sz w:val="22"/>
          <w:szCs w:val="22"/>
        </w:rPr>
        <w:t>ose of the</w:t>
      </w:r>
      <w:r w:rsidR="0011649E">
        <w:rPr>
          <w:sz w:val="22"/>
          <w:szCs w:val="22"/>
        </w:rPr>
        <w:t xml:space="preserve"> </w:t>
      </w:r>
      <w:r w:rsidR="007042A3">
        <w:rPr>
          <w:sz w:val="22"/>
          <w:szCs w:val="22"/>
        </w:rPr>
        <w:t xml:space="preserve">Task Force </w:t>
      </w:r>
      <w:r w:rsidR="00B67EFF">
        <w:rPr>
          <w:sz w:val="22"/>
          <w:szCs w:val="22"/>
        </w:rPr>
        <w:t>wa</w:t>
      </w:r>
      <w:r w:rsidR="007042A3">
        <w:rPr>
          <w:sz w:val="22"/>
          <w:szCs w:val="22"/>
        </w:rPr>
        <w:t xml:space="preserve">s </w:t>
      </w:r>
      <w:r w:rsidR="007042A3" w:rsidRPr="007042A3">
        <w:rPr>
          <w:sz w:val="22"/>
          <w:szCs w:val="22"/>
        </w:rPr>
        <w:t>to evaluate the most effective and efficient ways to deliver af</w:t>
      </w:r>
      <w:r w:rsidR="00160D95">
        <w:rPr>
          <w:sz w:val="22"/>
          <w:szCs w:val="22"/>
        </w:rPr>
        <w:t xml:space="preserve">fordable housing </w:t>
      </w:r>
      <w:r w:rsidR="00C6790B">
        <w:rPr>
          <w:sz w:val="22"/>
          <w:szCs w:val="22"/>
        </w:rPr>
        <w:t xml:space="preserve">development </w:t>
      </w:r>
      <w:r w:rsidR="00160D95">
        <w:rPr>
          <w:sz w:val="22"/>
          <w:szCs w:val="22"/>
        </w:rPr>
        <w:t>throughout Napa</w:t>
      </w:r>
      <w:r w:rsidR="007042A3" w:rsidRPr="007042A3">
        <w:rPr>
          <w:sz w:val="22"/>
          <w:szCs w:val="22"/>
        </w:rPr>
        <w:t xml:space="preserve"> Count</w:t>
      </w:r>
      <w:r w:rsidR="007042A3">
        <w:rPr>
          <w:sz w:val="22"/>
          <w:szCs w:val="22"/>
        </w:rPr>
        <w:t xml:space="preserve">y. The Task Force’s objectives </w:t>
      </w:r>
      <w:r w:rsidR="00B67EFF">
        <w:rPr>
          <w:sz w:val="22"/>
          <w:szCs w:val="22"/>
        </w:rPr>
        <w:t>we</w:t>
      </w:r>
      <w:r w:rsidR="007042A3">
        <w:rPr>
          <w:sz w:val="22"/>
          <w:szCs w:val="22"/>
        </w:rPr>
        <w:t>re to:</w:t>
      </w:r>
    </w:p>
    <w:p w:rsidR="007042A3" w:rsidRPr="007042A3" w:rsidRDefault="00F662FC" w:rsidP="004C794B">
      <w:pPr>
        <w:pStyle w:val="ListParagraph"/>
        <w:numPr>
          <w:ilvl w:val="0"/>
          <w:numId w:val="5"/>
        </w:numPr>
        <w:suppressAutoHyphens w:val="0"/>
        <w:spacing w:line="276" w:lineRule="auto"/>
        <w:ind w:right="533"/>
        <w:jc w:val="both"/>
        <w:textAlignment w:val="auto"/>
      </w:pPr>
      <w:r>
        <w:t>Assess</w:t>
      </w:r>
      <w:r w:rsidR="007042A3" w:rsidRPr="007042A3">
        <w:t xml:space="preserve"> the overall housing need throughout Napa County</w:t>
      </w:r>
    </w:p>
    <w:p w:rsidR="007042A3" w:rsidRPr="007042A3" w:rsidRDefault="007042A3" w:rsidP="004C794B">
      <w:pPr>
        <w:pStyle w:val="ListParagraph"/>
        <w:numPr>
          <w:ilvl w:val="0"/>
          <w:numId w:val="5"/>
        </w:numPr>
        <w:suppressAutoHyphens w:val="0"/>
        <w:spacing w:line="276" w:lineRule="auto"/>
        <w:ind w:right="533"/>
        <w:jc w:val="both"/>
        <w:textAlignment w:val="auto"/>
      </w:pPr>
      <w:r w:rsidRPr="007042A3">
        <w:t>Document the diverse types of affordable housing needs in the community</w:t>
      </w:r>
    </w:p>
    <w:p w:rsidR="007042A3" w:rsidRPr="007042A3" w:rsidRDefault="007042A3" w:rsidP="004C794B">
      <w:pPr>
        <w:pStyle w:val="ListParagraph"/>
        <w:numPr>
          <w:ilvl w:val="0"/>
          <w:numId w:val="5"/>
        </w:numPr>
        <w:suppressAutoHyphens w:val="0"/>
        <w:spacing w:line="276" w:lineRule="auto"/>
        <w:ind w:right="533"/>
        <w:jc w:val="both"/>
        <w:textAlignment w:val="auto"/>
      </w:pPr>
      <w:r w:rsidRPr="007042A3">
        <w:t>Identify local mechanisms/sources for providing ongoing funding for affordable housing</w:t>
      </w:r>
    </w:p>
    <w:p w:rsidR="007042A3" w:rsidRPr="007042A3" w:rsidRDefault="007042A3" w:rsidP="004C794B">
      <w:pPr>
        <w:pStyle w:val="ListParagraph"/>
        <w:numPr>
          <w:ilvl w:val="0"/>
          <w:numId w:val="5"/>
        </w:numPr>
        <w:suppressAutoHyphens w:val="0"/>
        <w:spacing w:line="276" w:lineRule="auto"/>
        <w:ind w:right="533"/>
        <w:jc w:val="both"/>
        <w:textAlignment w:val="auto"/>
      </w:pPr>
      <w:r w:rsidRPr="007042A3">
        <w:t>Investigate different methods of achieving affordable housing goals</w:t>
      </w:r>
    </w:p>
    <w:p w:rsidR="00E25E6D" w:rsidRPr="00E25E6D" w:rsidRDefault="007042A3" w:rsidP="00C52AF9">
      <w:pPr>
        <w:autoSpaceDE w:val="0"/>
        <w:autoSpaceDN w:val="0"/>
        <w:adjustRightInd w:val="0"/>
        <w:spacing w:after="200" w:line="276" w:lineRule="auto"/>
        <w:ind w:left="720" w:right="533" w:hanging="360"/>
        <w:jc w:val="both"/>
        <w:rPr>
          <w:rFonts w:eastAsia="Calibri"/>
          <w:b/>
          <w:sz w:val="22"/>
          <w:szCs w:val="22"/>
          <w:u w:val="single"/>
        </w:rPr>
      </w:pPr>
      <w:r w:rsidRPr="007042A3">
        <w:rPr>
          <w:sz w:val="22"/>
          <w:szCs w:val="22"/>
        </w:rPr>
        <w:t>5.</w:t>
      </w:r>
      <w:r w:rsidRPr="007042A3">
        <w:rPr>
          <w:sz w:val="22"/>
          <w:szCs w:val="22"/>
        </w:rPr>
        <w:tab/>
        <w:t>Evaluate and recommend the most effective and efficient methods to deliver affordable housing throughout Napa County</w:t>
      </w:r>
    </w:p>
    <w:p w:rsidR="00E25E6D" w:rsidRPr="00E25E6D" w:rsidRDefault="00E25E6D" w:rsidP="00C52AF9">
      <w:pPr>
        <w:spacing w:after="200" w:line="276" w:lineRule="auto"/>
        <w:jc w:val="both"/>
        <w:rPr>
          <w:rFonts w:eastAsia="Calibri"/>
          <w:b/>
          <w:sz w:val="22"/>
          <w:szCs w:val="22"/>
        </w:rPr>
      </w:pPr>
      <w:r w:rsidRPr="00E25E6D">
        <w:rPr>
          <w:rFonts w:eastAsia="Calibri"/>
          <w:sz w:val="22"/>
          <w:szCs w:val="22"/>
        </w:rPr>
        <w:t>One of</w:t>
      </w:r>
      <w:r w:rsidR="0011649E">
        <w:rPr>
          <w:rFonts w:eastAsia="Calibri"/>
          <w:sz w:val="22"/>
          <w:szCs w:val="22"/>
        </w:rPr>
        <w:t xml:space="preserve"> the overall goals of the </w:t>
      </w:r>
      <w:r w:rsidRPr="00E25E6D">
        <w:rPr>
          <w:rFonts w:eastAsia="Calibri"/>
          <w:sz w:val="22"/>
          <w:szCs w:val="22"/>
        </w:rPr>
        <w:t>Task Force is to</w:t>
      </w:r>
      <w:r w:rsidR="003E7AFA">
        <w:rPr>
          <w:rFonts w:eastAsia="Calibri"/>
          <w:sz w:val="22"/>
          <w:szCs w:val="22"/>
        </w:rPr>
        <w:t xml:space="preserve"> improve</w:t>
      </w:r>
      <w:r w:rsidRPr="00E25E6D">
        <w:rPr>
          <w:rFonts w:eastAsia="Calibri"/>
          <w:sz w:val="22"/>
          <w:szCs w:val="22"/>
        </w:rPr>
        <w:t xml:space="preserve"> </w:t>
      </w:r>
      <w:r w:rsidR="003E7AFA">
        <w:rPr>
          <w:rFonts w:eastAsia="Calibri"/>
          <w:sz w:val="22"/>
          <w:szCs w:val="22"/>
        </w:rPr>
        <w:t>the systems that support</w:t>
      </w:r>
      <w:r w:rsidRPr="00E25E6D">
        <w:rPr>
          <w:rFonts w:eastAsia="Calibri"/>
          <w:sz w:val="22"/>
          <w:szCs w:val="22"/>
        </w:rPr>
        <w:t xml:space="preserve"> affordable housing throughout Napa County and to identify a mechanism for providing ongoing funding for affordable housing in the future. In order to successfully</w:t>
      </w:r>
      <w:r w:rsidR="0011649E">
        <w:rPr>
          <w:rFonts w:eastAsia="Calibri"/>
          <w:sz w:val="22"/>
          <w:szCs w:val="22"/>
        </w:rPr>
        <w:t xml:space="preserve"> achieve this goal, the </w:t>
      </w:r>
      <w:r w:rsidR="003E7AFA">
        <w:rPr>
          <w:rFonts w:eastAsia="Calibri"/>
          <w:sz w:val="22"/>
          <w:szCs w:val="22"/>
        </w:rPr>
        <w:t xml:space="preserve">Task Force relied on the expertise of </w:t>
      </w:r>
      <w:r w:rsidR="001317CD">
        <w:rPr>
          <w:rFonts w:eastAsia="Calibri"/>
          <w:sz w:val="22"/>
          <w:szCs w:val="22"/>
        </w:rPr>
        <w:t xml:space="preserve">agency staff and </w:t>
      </w:r>
      <w:r w:rsidR="003E7AFA">
        <w:rPr>
          <w:rFonts w:eastAsia="Calibri"/>
          <w:sz w:val="22"/>
          <w:szCs w:val="22"/>
        </w:rPr>
        <w:t xml:space="preserve">fellow </w:t>
      </w:r>
      <w:r w:rsidR="003E7AFA" w:rsidRPr="002C324A">
        <w:rPr>
          <w:rFonts w:eastAsia="Calibri"/>
          <w:sz w:val="22"/>
          <w:szCs w:val="22"/>
        </w:rPr>
        <w:t xml:space="preserve">Task </w:t>
      </w:r>
      <w:r w:rsidR="001317CD" w:rsidRPr="002C324A">
        <w:rPr>
          <w:rFonts w:eastAsia="Calibri"/>
          <w:sz w:val="22"/>
          <w:szCs w:val="22"/>
        </w:rPr>
        <w:t xml:space="preserve">Force members </w:t>
      </w:r>
      <w:r w:rsidR="003E7AFA" w:rsidRPr="002C324A">
        <w:rPr>
          <w:rFonts w:eastAsia="Calibri"/>
          <w:sz w:val="22"/>
          <w:szCs w:val="22"/>
        </w:rPr>
        <w:t>to collectively educate</w:t>
      </w:r>
      <w:r w:rsidRPr="002C324A">
        <w:rPr>
          <w:rFonts w:eastAsia="Calibri"/>
          <w:sz w:val="22"/>
          <w:szCs w:val="22"/>
        </w:rPr>
        <w:t xml:space="preserve"> themselves on the most effective and efficient way to evaluate the current affordable housing market and the challenges </w:t>
      </w:r>
      <w:r w:rsidR="00C72B70" w:rsidRPr="002C324A">
        <w:rPr>
          <w:rFonts w:eastAsia="Calibri"/>
          <w:sz w:val="22"/>
          <w:szCs w:val="22"/>
        </w:rPr>
        <w:t>it faces</w:t>
      </w:r>
      <w:r w:rsidR="003E7AFA" w:rsidRPr="002C324A">
        <w:rPr>
          <w:rFonts w:eastAsia="Calibri"/>
          <w:sz w:val="22"/>
          <w:szCs w:val="22"/>
        </w:rPr>
        <w:t>.</w:t>
      </w:r>
      <w:r w:rsidR="003E7AFA">
        <w:rPr>
          <w:rFonts w:eastAsia="Calibri"/>
          <w:sz w:val="22"/>
          <w:szCs w:val="22"/>
        </w:rPr>
        <w:t xml:space="preserve"> T</w:t>
      </w:r>
      <w:r w:rsidRPr="00E25E6D">
        <w:rPr>
          <w:rFonts w:eastAsia="Calibri"/>
          <w:sz w:val="22"/>
          <w:szCs w:val="22"/>
        </w:rPr>
        <w:t>o develop a well-informed basis on how to proceed, the</w:t>
      </w:r>
      <w:r w:rsidR="0011649E">
        <w:rPr>
          <w:rFonts w:eastAsia="Calibri"/>
          <w:sz w:val="22"/>
          <w:szCs w:val="22"/>
        </w:rPr>
        <w:t xml:space="preserve"> </w:t>
      </w:r>
      <w:r w:rsidR="003E7AFA">
        <w:rPr>
          <w:rFonts w:eastAsia="Calibri"/>
          <w:sz w:val="22"/>
          <w:szCs w:val="22"/>
        </w:rPr>
        <w:t>Task Force started with reaching an understanding</w:t>
      </w:r>
      <w:r w:rsidR="00C72B70">
        <w:rPr>
          <w:rFonts w:eastAsia="Calibri"/>
          <w:sz w:val="22"/>
          <w:szCs w:val="22"/>
        </w:rPr>
        <w:t xml:space="preserve"> about the affordable housing industry.</w:t>
      </w:r>
      <w:r w:rsidRPr="00E25E6D">
        <w:rPr>
          <w:rFonts w:eastAsia="Calibri"/>
          <w:sz w:val="22"/>
          <w:szCs w:val="22"/>
        </w:rPr>
        <w:t xml:space="preserve"> These</w:t>
      </w:r>
      <w:r w:rsidR="003E7AFA">
        <w:rPr>
          <w:rFonts w:eastAsia="Calibri"/>
          <w:sz w:val="22"/>
          <w:szCs w:val="22"/>
        </w:rPr>
        <w:t xml:space="preserve"> early</w:t>
      </w:r>
      <w:r w:rsidRPr="00E25E6D">
        <w:rPr>
          <w:rFonts w:eastAsia="Calibri"/>
          <w:sz w:val="22"/>
          <w:szCs w:val="22"/>
        </w:rPr>
        <w:t xml:space="preserve"> meetings provided a framework for the group to begin building a </w:t>
      </w:r>
      <w:r w:rsidRPr="00E25E6D">
        <w:rPr>
          <w:rFonts w:eastAsia="Calibri"/>
          <w:sz w:val="22"/>
          <w:szCs w:val="22"/>
        </w:rPr>
        <w:lastRenderedPageBreak/>
        <w:t>data</w:t>
      </w:r>
      <w:r w:rsidR="001317CD">
        <w:rPr>
          <w:rFonts w:eastAsia="Calibri"/>
          <w:sz w:val="22"/>
          <w:szCs w:val="22"/>
        </w:rPr>
        <w:t>base</w:t>
      </w:r>
      <w:r w:rsidRPr="00E25E6D">
        <w:rPr>
          <w:rFonts w:eastAsia="Calibri"/>
          <w:sz w:val="22"/>
          <w:szCs w:val="22"/>
        </w:rPr>
        <w:t xml:space="preserve"> that would become the fo</w:t>
      </w:r>
      <w:r w:rsidR="00C72B70">
        <w:rPr>
          <w:rFonts w:eastAsia="Calibri"/>
          <w:sz w:val="22"/>
          <w:szCs w:val="22"/>
        </w:rPr>
        <w:t>undation needed to formulate</w:t>
      </w:r>
      <w:r w:rsidRPr="00E25E6D">
        <w:rPr>
          <w:rFonts w:eastAsia="Calibri"/>
          <w:sz w:val="22"/>
          <w:szCs w:val="22"/>
        </w:rPr>
        <w:t xml:space="preserve"> affordable housing s</w:t>
      </w:r>
      <w:r w:rsidR="00C72B70">
        <w:rPr>
          <w:rFonts w:eastAsia="Calibri"/>
          <w:sz w:val="22"/>
          <w:szCs w:val="22"/>
        </w:rPr>
        <w:t>trategies</w:t>
      </w:r>
      <w:r w:rsidR="00954145">
        <w:rPr>
          <w:rFonts w:eastAsia="Calibri"/>
          <w:sz w:val="22"/>
          <w:szCs w:val="22"/>
        </w:rPr>
        <w:t xml:space="preserve">. </w:t>
      </w:r>
      <w:r w:rsidR="00C52AF9">
        <w:rPr>
          <w:rFonts w:eastAsia="Calibri"/>
          <w:sz w:val="22"/>
          <w:szCs w:val="22"/>
        </w:rPr>
        <w:t>A</w:t>
      </w:r>
      <w:r w:rsidR="00954145">
        <w:rPr>
          <w:rFonts w:eastAsia="Calibri"/>
          <w:sz w:val="22"/>
          <w:szCs w:val="22"/>
        </w:rPr>
        <w:t>n overview</w:t>
      </w:r>
      <w:r w:rsidRPr="00E25E6D">
        <w:rPr>
          <w:rFonts w:eastAsia="Calibri"/>
          <w:sz w:val="22"/>
          <w:szCs w:val="22"/>
        </w:rPr>
        <w:t xml:space="preserve"> </w:t>
      </w:r>
      <w:r w:rsidR="00C52AF9">
        <w:rPr>
          <w:rFonts w:eastAsia="Calibri"/>
          <w:sz w:val="22"/>
          <w:szCs w:val="22"/>
        </w:rPr>
        <w:t xml:space="preserve">is provided below </w:t>
      </w:r>
      <w:r w:rsidRPr="00E25E6D">
        <w:rPr>
          <w:rFonts w:eastAsia="Calibri"/>
          <w:sz w:val="22"/>
          <w:szCs w:val="22"/>
        </w:rPr>
        <w:t xml:space="preserve">of </w:t>
      </w:r>
      <w:r w:rsidR="003E7AFA">
        <w:rPr>
          <w:rFonts w:eastAsia="Calibri"/>
          <w:sz w:val="22"/>
          <w:szCs w:val="22"/>
        </w:rPr>
        <w:t xml:space="preserve">some of </w:t>
      </w:r>
      <w:r w:rsidRPr="00E25E6D">
        <w:rPr>
          <w:rFonts w:eastAsia="Calibri"/>
          <w:sz w:val="22"/>
          <w:szCs w:val="22"/>
        </w:rPr>
        <w:t xml:space="preserve">the </w:t>
      </w:r>
      <w:r w:rsidR="0011649E">
        <w:rPr>
          <w:rFonts w:eastAsia="Calibri"/>
          <w:sz w:val="22"/>
          <w:szCs w:val="22"/>
        </w:rPr>
        <w:t xml:space="preserve">educational efforts the </w:t>
      </w:r>
      <w:r w:rsidRPr="00E25E6D">
        <w:rPr>
          <w:rFonts w:eastAsia="Calibri"/>
          <w:sz w:val="22"/>
          <w:szCs w:val="22"/>
        </w:rPr>
        <w:t xml:space="preserve">Task Force employed in its quest to fully comprehend </w:t>
      </w:r>
      <w:r w:rsidR="001317CD">
        <w:rPr>
          <w:rFonts w:eastAsia="Calibri"/>
          <w:sz w:val="22"/>
          <w:szCs w:val="22"/>
        </w:rPr>
        <w:t>Napa C</w:t>
      </w:r>
      <w:r w:rsidRPr="00E25E6D">
        <w:rPr>
          <w:rFonts w:eastAsia="Calibri"/>
          <w:sz w:val="22"/>
          <w:szCs w:val="22"/>
        </w:rPr>
        <w:t>ounty’s affordable ho</w:t>
      </w:r>
      <w:r w:rsidR="00FE16B3">
        <w:rPr>
          <w:rFonts w:eastAsia="Calibri"/>
          <w:sz w:val="22"/>
          <w:szCs w:val="22"/>
        </w:rPr>
        <w:t>using issues and challenges.</w:t>
      </w:r>
    </w:p>
    <w:p w:rsidR="00C6790B" w:rsidRPr="00C6790B" w:rsidRDefault="000E21CD" w:rsidP="00C52AF9">
      <w:pPr>
        <w:spacing w:after="200" w:line="276" w:lineRule="auto"/>
        <w:jc w:val="both"/>
        <w:rPr>
          <w:rFonts w:eastAsia="Calibri"/>
          <w:b/>
          <w:sz w:val="22"/>
          <w:szCs w:val="22"/>
          <w:u w:val="single"/>
        </w:rPr>
      </w:pPr>
      <w:r w:rsidRPr="00C6790B">
        <w:rPr>
          <w:rFonts w:eastAsia="Calibri"/>
          <w:b/>
          <w:sz w:val="22"/>
          <w:szCs w:val="22"/>
          <w:u w:val="single"/>
        </w:rPr>
        <w:t>Affordable Housing Context in County of Napa</w:t>
      </w:r>
    </w:p>
    <w:p w:rsidR="000E21CD" w:rsidRDefault="0011649E" w:rsidP="00C52AF9">
      <w:pPr>
        <w:spacing w:after="200" w:line="276" w:lineRule="auto"/>
        <w:jc w:val="both"/>
        <w:rPr>
          <w:rFonts w:eastAsia="Calibri"/>
          <w:sz w:val="22"/>
          <w:szCs w:val="22"/>
        </w:rPr>
      </w:pPr>
      <w:r>
        <w:rPr>
          <w:rFonts w:eastAsia="Calibri"/>
          <w:sz w:val="22"/>
          <w:szCs w:val="22"/>
        </w:rPr>
        <w:t xml:space="preserve">The </w:t>
      </w:r>
      <w:r w:rsidR="00E25E6D" w:rsidRPr="00E25E6D">
        <w:rPr>
          <w:rFonts w:eastAsia="Calibri"/>
          <w:sz w:val="22"/>
          <w:szCs w:val="22"/>
        </w:rPr>
        <w:t xml:space="preserve">Task Force </w:t>
      </w:r>
      <w:r w:rsidR="001317CD">
        <w:rPr>
          <w:rFonts w:eastAsia="Calibri"/>
          <w:sz w:val="22"/>
          <w:szCs w:val="22"/>
        </w:rPr>
        <w:t>received a report on</w:t>
      </w:r>
      <w:r w:rsidR="00E25E6D" w:rsidRPr="00E25E6D">
        <w:rPr>
          <w:rFonts w:eastAsia="Calibri"/>
          <w:sz w:val="22"/>
          <w:szCs w:val="22"/>
        </w:rPr>
        <w:t xml:space="preserve"> the background of affordable housing in Napa County</w:t>
      </w:r>
      <w:r w:rsidR="001317CD">
        <w:rPr>
          <w:rFonts w:eastAsia="Calibri"/>
          <w:sz w:val="22"/>
          <w:szCs w:val="22"/>
        </w:rPr>
        <w:t xml:space="preserve"> beginning</w:t>
      </w:r>
      <w:r w:rsidR="00E25E6D" w:rsidRPr="00E25E6D">
        <w:rPr>
          <w:rFonts w:eastAsia="Calibri"/>
          <w:sz w:val="22"/>
          <w:szCs w:val="22"/>
        </w:rPr>
        <w:t xml:space="preserve"> with </w:t>
      </w:r>
      <w:r w:rsidR="001317CD">
        <w:rPr>
          <w:rFonts w:eastAsia="Calibri"/>
          <w:sz w:val="22"/>
          <w:szCs w:val="22"/>
        </w:rPr>
        <w:t>an</w:t>
      </w:r>
      <w:r w:rsidR="00E25E6D" w:rsidRPr="00E25E6D">
        <w:rPr>
          <w:rFonts w:eastAsia="Calibri"/>
          <w:sz w:val="22"/>
          <w:szCs w:val="22"/>
        </w:rPr>
        <w:t xml:space="preserve"> inventory of affordable housing units in the </w:t>
      </w:r>
      <w:r w:rsidR="00DB030C">
        <w:rPr>
          <w:rFonts w:eastAsia="Calibri"/>
          <w:sz w:val="22"/>
          <w:szCs w:val="22"/>
        </w:rPr>
        <w:t>C</w:t>
      </w:r>
      <w:r w:rsidR="00E43976">
        <w:rPr>
          <w:rFonts w:eastAsia="Calibri"/>
          <w:sz w:val="22"/>
          <w:szCs w:val="22"/>
        </w:rPr>
        <w:t xml:space="preserve">ounty </w:t>
      </w:r>
      <w:r w:rsidR="000E21CD">
        <w:rPr>
          <w:rFonts w:eastAsia="Calibri"/>
          <w:sz w:val="22"/>
          <w:szCs w:val="22"/>
        </w:rPr>
        <w:t xml:space="preserve">followed by a survey of previous </w:t>
      </w:r>
      <w:r w:rsidR="00E25E6D" w:rsidRPr="00E25E6D">
        <w:rPr>
          <w:rFonts w:eastAsia="Calibri"/>
          <w:sz w:val="22"/>
          <w:szCs w:val="22"/>
        </w:rPr>
        <w:t xml:space="preserve">funding sources </w:t>
      </w:r>
      <w:r w:rsidR="008977BF">
        <w:rPr>
          <w:rFonts w:eastAsia="Calibri"/>
          <w:sz w:val="22"/>
          <w:szCs w:val="22"/>
        </w:rPr>
        <w:t>used to provide affordable housing</w:t>
      </w:r>
      <w:r w:rsidR="00FB7A2C">
        <w:rPr>
          <w:rFonts w:eastAsia="Calibri"/>
          <w:sz w:val="22"/>
          <w:szCs w:val="22"/>
        </w:rPr>
        <w:t>,</w:t>
      </w:r>
      <w:r w:rsidR="008977BF">
        <w:rPr>
          <w:rFonts w:eastAsia="Calibri"/>
          <w:sz w:val="22"/>
          <w:szCs w:val="22"/>
        </w:rPr>
        <w:t xml:space="preserve"> </w:t>
      </w:r>
      <w:r w:rsidR="00E25E6D" w:rsidRPr="00E25E6D">
        <w:rPr>
          <w:rFonts w:eastAsia="Calibri"/>
          <w:sz w:val="22"/>
          <w:szCs w:val="22"/>
        </w:rPr>
        <w:t xml:space="preserve">such as </w:t>
      </w:r>
      <w:r w:rsidR="00E43976">
        <w:rPr>
          <w:rFonts w:eastAsia="Calibri"/>
          <w:sz w:val="22"/>
          <w:szCs w:val="22"/>
        </w:rPr>
        <w:t xml:space="preserve">Community Development Block Grants (CDBG) </w:t>
      </w:r>
      <w:r w:rsidR="00E25E6D" w:rsidRPr="00E25E6D">
        <w:rPr>
          <w:rFonts w:eastAsia="Calibri"/>
          <w:sz w:val="22"/>
          <w:szCs w:val="22"/>
        </w:rPr>
        <w:t>redevelopment</w:t>
      </w:r>
      <w:r w:rsidR="00E43976">
        <w:rPr>
          <w:rFonts w:eastAsia="Calibri"/>
          <w:sz w:val="22"/>
          <w:szCs w:val="22"/>
        </w:rPr>
        <w:t>,</w:t>
      </w:r>
      <w:r w:rsidR="00E43976" w:rsidRPr="00E43976">
        <w:rPr>
          <w:rFonts w:eastAsia="Calibri"/>
          <w:sz w:val="22"/>
          <w:szCs w:val="22"/>
        </w:rPr>
        <w:t xml:space="preserve"> </w:t>
      </w:r>
      <w:r w:rsidR="00E43976">
        <w:rPr>
          <w:rFonts w:eastAsia="Calibri"/>
          <w:sz w:val="22"/>
          <w:szCs w:val="22"/>
        </w:rPr>
        <w:t xml:space="preserve">and </w:t>
      </w:r>
      <w:r w:rsidR="00E43976" w:rsidRPr="00E25E6D">
        <w:rPr>
          <w:rFonts w:eastAsia="Calibri"/>
          <w:sz w:val="22"/>
          <w:szCs w:val="22"/>
        </w:rPr>
        <w:t>local housing fund</w:t>
      </w:r>
      <w:r w:rsidR="00E43976">
        <w:rPr>
          <w:rFonts w:eastAsia="Calibri"/>
          <w:sz w:val="22"/>
          <w:szCs w:val="22"/>
        </w:rPr>
        <w:t>s</w:t>
      </w:r>
      <w:r w:rsidR="00E25E6D" w:rsidRPr="00E25E6D">
        <w:rPr>
          <w:rFonts w:eastAsia="Calibri"/>
          <w:sz w:val="22"/>
          <w:szCs w:val="22"/>
        </w:rPr>
        <w:t xml:space="preserve">. </w:t>
      </w:r>
      <w:r w:rsidR="001317CD">
        <w:rPr>
          <w:rFonts w:eastAsia="Calibri"/>
          <w:sz w:val="22"/>
          <w:szCs w:val="22"/>
        </w:rPr>
        <w:t>The</w:t>
      </w:r>
      <w:r w:rsidR="00D83EAA">
        <w:rPr>
          <w:rFonts w:eastAsia="Calibri"/>
          <w:sz w:val="22"/>
          <w:szCs w:val="22"/>
        </w:rPr>
        <w:t xml:space="preserve"> </w:t>
      </w:r>
      <w:r w:rsidR="000E21CD">
        <w:rPr>
          <w:rFonts w:eastAsia="Calibri"/>
          <w:sz w:val="22"/>
          <w:szCs w:val="22"/>
        </w:rPr>
        <w:t xml:space="preserve">Task Force </w:t>
      </w:r>
      <w:r w:rsidR="001317CD">
        <w:rPr>
          <w:rFonts w:eastAsia="Calibri"/>
          <w:sz w:val="22"/>
          <w:szCs w:val="22"/>
        </w:rPr>
        <w:t xml:space="preserve">also </w:t>
      </w:r>
      <w:r w:rsidR="000E21CD">
        <w:rPr>
          <w:rFonts w:eastAsia="Calibri"/>
          <w:sz w:val="22"/>
          <w:szCs w:val="22"/>
        </w:rPr>
        <w:t>reviewed</w:t>
      </w:r>
      <w:r w:rsidR="00D83EAA">
        <w:rPr>
          <w:rFonts w:eastAsia="Calibri"/>
          <w:sz w:val="22"/>
          <w:szCs w:val="22"/>
        </w:rPr>
        <w:t xml:space="preserve"> statistics</w:t>
      </w:r>
      <w:r w:rsidR="00E25E6D" w:rsidRPr="00E25E6D">
        <w:rPr>
          <w:rFonts w:eastAsia="Calibri"/>
          <w:sz w:val="22"/>
          <w:szCs w:val="22"/>
        </w:rPr>
        <w:t xml:space="preserve"> </w:t>
      </w:r>
      <w:r w:rsidR="00954145">
        <w:rPr>
          <w:rFonts w:eastAsia="Calibri"/>
          <w:sz w:val="22"/>
          <w:szCs w:val="22"/>
        </w:rPr>
        <w:t xml:space="preserve">on </w:t>
      </w:r>
      <w:r w:rsidR="00E25E6D" w:rsidRPr="00E25E6D">
        <w:rPr>
          <w:rFonts w:eastAsia="Calibri"/>
          <w:sz w:val="22"/>
          <w:szCs w:val="22"/>
        </w:rPr>
        <w:t>Section 8 rental assistance</w:t>
      </w:r>
      <w:r w:rsidR="000E21CD">
        <w:rPr>
          <w:rFonts w:eastAsia="Calibri"/>
          <w:sz w:val="22"/>
          <w:szCs w:val="22"/>
        </w:rPr>
        <w:t xml:space="preserve"> </w:t>
      </w:r>
      <w:r w:rsidR="008977BF">
        <w:rPr>
          <w:rFonts w:eastAsia="Calibri"/>
          <w:sz w:val="22"/>
          <w:szCs w:val="22"/>
        </w:rPr>
        <w:t xml:space="preserve">and other affordable housing </w:t>
      </w:r>
      <w:r w:rsidR="000E21CD">
        <w:rPr>
          <w:rFonts w:eastAsia="Calibri"/>
          <w:sz w:val="22"/>
          <w:szCs w:val="22"/>
        </w:rPr>
        <w:t>programs</w:t>
      </w:r>
      <w:r w:rsidR="00E25E6D" w:rsidRPr="00E25E6D">
        <w:rPr>
          <w:rFonts w:eastAsia="Calibri"/>
          <w:sz w:val="22"/>
          <w:szCs w:val="22"/>
        </w:rPr>
        <w:t>.</w:t>
      </w:r>
    </w:p>
    <w:p w:rsidR="000E21CD" w:rsidRDefault="000E21CD" w:rsidP="00830911">
      <w:pPr>
        <w:spacing w:after="200"/>
        <w:jc w:val="both"/>
        <w:rPr>
          <w:rFonts w:eastAsia="Calibri"/>
          <w:sz w:val="22"/>
          <w:szCs w:val="22"/>
        </w:rPr>
      </w:pPr>
      <w:r w:rsidRPr="000E21CD">
        <w:rPr>
          <w:rFonts w:eastAsia="Calibri"/>
          <w:sz w:val="22"/>
          <w:szCs w:val="22"/>
        </w:rPr>
        <w:t xml:space="preserve">The following is a snapshot of the current </w:t>
      </w:r>
      <w:r w:rsidR="00B87692">
        <w:rPr>
          <w:rFonts w:eastAsia="Calibri"/>
          <w:sz w:val="22"/>
          <w:szCs w:val="22"/>
        </w:rPr>
        <w:t>c</w:t>
      </w:r>
      <w:r w:rsidR="00B87692" w:rsidRPr="000E21CD">
        <w:rPr>
          <w:rFonts w:eastAsia="Calibri"/>
          <w:sz w:val="22"/>
          <w:szCs w:val="22"/>
        </w:rPr>
        <w:t xml:space="preserve">ountywide </w:t>
      </w:r>
      <w:r w:rsidRPr="000E21CD">
        <w:rPr>
          <w:rFonts w:eastAsia="Calibri"/>
          <w:sz w:val="22"/>
          <w:szCs w:val="22"/>
        </w:rPr>
        <w:t>affordable housing supply</w:t>
      </w:r>
      <w:r>
        <w:rPr>
          <w:rFonts w:eastAsia="Calibri"/>
          <w:sz w:val="22"/>
          <w:szCs w:val="22"/>
        </w:rPr>
        <w:t>:</w:t>
      </w:r>
    </w:p>
    <w:p w:rsidR="000E21CD" w:rsidRPr="00876C93" w:rsidRDefault="00D603BB" w:rsidP="004C794B">
      <w:pPr>
        <w:pStyle w:val="ListParagraph"/>
        <w:numPr>
          <w:ilvl w:val="0"/>
          <w:numId w:val="23"/>
        </w:numPr>
        <w:spacing w:line="276" w:lineRule="auto"/>
        <w:ind w:left="720" w:right="533"/>
        <w:jc w:val="both"/>
        <w:rPr>
          <w:rFonts w:eastAsia="Calibri"/>
        </w:rPr>
      </w:pPr>
      <w:r>
        <w:rPr>
          <w:noProof/>
        </w:rPr>
        <w:drawing>
          <wp:anchor distT="0" distB="0" distL="114300" distR="114300" simplePos="0" relativeHeight="251682816" behindDoc="0" locked="0" layoutInCell="1" allowOverlap="1">
            <wp:simplePos x="0" y="0"/>
            <wp:positionH relativeFrom="column">
              <wp:posOffset>3435350</wp:posOffset>
            </wp:positionH>
            <wp:positionV relativeFrom="paragraph">
              <wp:posOffset>489585</wp:posOffset>
            </wp:positionV>
            <wp:extent cx="2843530" cy="1956435"/>
            <wp:effectExtent l="1905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0364" t="3879" r="9057" b="3879"/>
                    <a:stretch/>
                  </pic:blipFill>
                  <pic:spPr bwMode="auto">
                    <a:xfrm>
                      <a:off x="0" y="0"/>
                      <a:ext cx="2843530" cy="1956435"/>
                    </a:xfrm>
                    <a:prstGeom prst="rect">
                      <a:avLst/>
                    </a:prstGeom>
                    <a:noFill/>
                    <a:ln>
                      <a:noFill/>
                    </a:ln>
                    <a:extLst>
                      <a:ext uri="{53640926-AAD7-44D8-BBD7-CCE9431645EC}">
                        <a14:shadowObscured xmlns:a14="http://schemas.microsoft.com/office/drawing/2010/main"/>
                      </a:ext>
                    </a:extLst>
                  </pic:spPr>
                </pic:pic>
              </a:graphicData>
            </a:graphic>
          </wp:anchor>
        </w:drawing>
      </w:r>
      <w:r w:rsidR="00E240F9">
        <w:rPr>
          <w:rFonts w:eastAsia="Calibri"/>
        </w:rPr>
        <w:t>T</w:t>
      </w:r>
      <w:r w:rsidR="000E21CD" w:rsidRPr="00876C93">
        <w:rPr>
          <w:rFonts w:eastAsia="Calibri"/>
        </w:rPr>
        <w:t>here are a total of 2,4</w:t>
      </w:r>
      <w:r w:rsidR="004446F5">
        <w:rPr>
          <w:rFonts w:eastAsia="Calibri"/>
        </w:rPr>
        <w:t>80</w:t>
      </w:r>
      <w:r w:rsidR="000E21CD" w:rsidRPr="00876C93">
        <w:rPr>
          <w:rFonts w:eastAsia="Calibri"/>
        </w:rPr>
        <w:t xml:space="preserve"> affordable housing units in the </w:t>
      </w:r>
      <w:r w:rsidR="00DB030C">
        <w:rPr>
          <w:rFonts w:eastAsia="Calibri"/>
        </w:rPr>
        <w:t>C</w:t>
      </w:r>
      <w:r w:rsidR="008977BF">
        <w:rPr>
          <w:rFonts w:eastAsia="Calibri"/>
        </w:rPr>
        <w:t>ounty</w:t>
      </w:r>
      <w:r w:rsidR="00E240F9">
        <w:rPr>
          <w:rFonts w:eastAsia="Calibri"/>
        </w:rPr>
        <w:t xml:space="preserve">, with rental units comprising 91% </w:t>
      </w:r>
      <w:r w:rsidR="000E21CD" w:rsidRPr="00876C93">
        <w:rPr>
          <w:rFonts w:eastAsia="Calibri"/>
        </w:rPr>
        <w:t xml:space="preserve">of </w:t>
      </w:r>
      <w:r w:rsidR="00C52AF9" w:rsidRPr="00876C93">
        <w:rPr>
          <w:rFonts w:eastAsia="Calibri"/>
        </w:rPr>
        <w:t>t</w:t>
      </w:r>
      <w:r w:rsidR="00C52AF9">
        <w:rPr>
          <w:rFonts w:eastAsia="Calibri"/>
        </w:rPr>
        <w:t>hese</w:t>
      </w:r>
      <w:r w:rsidR="00C52AF9" w:rsidRPr="00876C93">
        <w:rPr>
          <w:rFonts w:eastAsia="Calibri"/>
        </w:rPr>
        <w:t xml:space="preserve"> </w:t>
      </w:r>
      <w:r w:rsidR="000E21CD" w:rsidRPr="00876C93">
        <w:rPr>
          <w:rFonts w:eastAsia="Calibri"/>
        </w:rPr>
        <w:t xml:space="preserve">units. </w:t>
      </w:r>
    </w:p>
    <w:p w:rsidR="00220561" w:rsidRPr="00876C93" w:rsidRDefault="00220561" w:rsidP="004C794B">
      <w:pPr>
        <w:pStyle w:val="ListParagraph"/>
        <w:numPr>
          <w:ilvl w:val="0"/>
          <w:numId w:val="23"/>
        </w:numPr>
        <w:spacing w:line="276" w:lineRule="auto"/>
        <w:ind w:left="720"/>
        <w:jc w:val="both"/>
        <w:rPr>
          <w:rFonts w:eastAsia="Calibri"/>
        </w:rPr>
      </w:pPr>
      <w:r w:rsidRPr="00876C93">
        <w:rPr>
          <w:rFonts w:eastAsia="Calibri"/>
        </w:rPr>
        <w:t xml:space="preserve">The City of Napa contains the most affordable housing units at </w:t>
      </w:r>
      <w:r>
        <w:rPr>
          <w:rFonts w:eastAsia="Calibri"/>
        </w:rPr>
        <w:t>1,613 units (65% of total</w:t>
      </w:r>
      <w:r w:rsidRPr="00876C93">
        <w:rPr>
          <w:rFonts w:eastAsia="Calibri"/>
        </w:rPr>
        <w:t xml:space="preserve"> follow</w:t>
      </w:r>
      <w:r>
        <w:rPr>
          <w:rFonts w:eastAsia="Calibri"/>
        </w:rPr>
        <w:t>ed by</w:t>
      </w:r>
      <w:r w:rsidRPr="00876C93">
        <w:rPr>
          <w:rFonts w:eastAsia="Calibri"/>
        </w:rPr>
        <w:t xml:space="preserve"> St. Helena at 10%, American Canyon at 9%, unincorporated </w:t>
      </w:r>
      <w:r>
        <w:rPr>
          <w:rFonts w:eastAsia="Calibri"/>
        </w:rPr>
        <w:t>Napa C</w:t>
      </w:r>
      <w:r w:rsidRPr="00876C93">
        <w:rPr>
          <w:rFonts w:eastAsia="Calibri"/>
        </w:rPr>
        <w:t>ounty at 7%, Calistoga at 5%, and Yountville at 4%.</w:t>
      </w:r>
      <w:r w:rsidRPr="00876C93">
        <w:rPr>
          <w:noProof/>
        </w:rPr>
        <w:t xml:space="preserve"> </w:t>
      </w:r>
    </w:p>
    <w:p w:rsidR="00220561" w:rsidRPr="008148FE" w:rsidRDefault="008148FE" w:rsidP="004C794B">
      <w:pPr>
        <w:pStyle w:val="ListParagraph"/>
        <w:numPr>
          <w:ilvl w:val="0"/>
          <w:numId w:val="23"/>
        </w:numPr>
        <w:spacing w:line="276" w:lineRule="auto"/>
        <w:ind w:left="720"/>
        <w:jc w:val="both"/>
        <w:rPr>
          <w:rFonts w:eastAsia="Calibri"/>
        </w:rPr>
      </w:pPr>
      <w:r w:rsidRPr="008148FE">
        <w:rPr>
          <w:rFonts w:eastAsia="Calibri"/>
        </w:rPr>
        <w:t>Overall, aff</w:t>
      </w:r>
      <w:r w:rsidR="004446F5">
        <w:rPr>
          <w:rFonts w:eastAsia="Calibri"/>
        </w:rPr>
        <w:t>ordable housing units comprise 5</w:t>
      </w:r>
      <w:r w:rsidRPr="008148FE">
        <w:rPr>
          <w:rFonts w:eastAsia="Calibri"/>
        </w:rPr>
        <w:t xml:space="preserve">% of the total housing stock. This includes 5% of all housing units in the City of Napa, 4% in the City of American Canyon, 5% in the City of Calistoga, </w:t>
      </w:r>
      <w:r w:rsidR="004446F5">
        <w:rPr>
          <w:rFonts w:eastAsia="Calibri"/>
        </w:rPr>
        <w:t>8</w:t>
      </w:r>
      <w:r w:rsidRPr="008148FE">
        <w:rPr>
          <w:rFonts w:eastAsia="Calibri"/>
        </w:rPr>
        <w:t>% in the Town of Yountville, 9% in the City of Saint Helena, and 1% in the Unincorporated County.</w:t>
      </w:r>
      <w:r w:rsidR="00220561" w:rsidRPr="008148FE">
        <w:rPr>
          <w:rFonts w:eastAsia="Calibri"/>
        </w:rPr>
        <w:t xml:space="preserve"> </w:t>
      </w:r>
    </w:p>
    <w:p w:rsidR="00220561" w:rsidRPr="00876C93" w:rsidRDefault="00220561" w:rsidP="004C794B">
      <w:pPr>
        <w:pStyle w:val="ListParagraph"/>
        <w:numPr>
          <w:ilvl w:val="0"/>
          <w:numId w:val="23"/>
        </w:numPr>
        <w:spacing w:line="276" w:lineRule="auto"/>
        <w:ind w:left="720"/>
        <w:jc w:val="both"/>
        <w:rPr>
          <w:rFonts w:eastAsia="Calibri"/>
        </w:rPr>
      </w:pPr>
      <w:r>
        <w:rPr>
          <w:rFonts w:eastAsia="Calibri"/>
        </w:rPr>
        <w:t>Nearly 75% of</w:t>
      </w:r>
      <w:r w:rsidRPr="00876C93">
        <w:rPr>
          <w:rFonts w:eastAsia="Calibri"/>
        </w:rPr>
        <w:t xml:space="preserve"> affordable hous</w:t>
      </w:r>
      <w:r>
        <w:rPr>
          <w:rFonts w:eastAsia="Calibri"/>
        </w:rPr>
        <w:t>ing units are inhabited by very-low and</w:t>
      </w:r>
      <w:r w:rsidRPr="00876C93">
        <w:rPr>
          <w:rFonts w:eastAsia="Calibri"/>
        </w:rPr>
        <w:t xml:space="preserve"> low income resident</w:t>
      </w:r>
      <w:r>
        <w:rPr>
          <w:rFonts w:eastAsia="Calibri"/>
        </w:rPr>
        <w:t>s (2</w:t>
      </w:r>
      <w:r w:rsidR="00D956A2">
        <w:rPr>
          <w:rFonts w:eastAsia="Calibri"/>
        </w:rPr>
        <w:t>8</w:t>
      </w:r>
      <w:r>
        <w:rPr>
          <w:rFonts w:eastAsia="Calibri"/>
        </w:rPr>
        <w:t>% and 46%, respectively).</w:t>
      </w:r>
      <w:r>
        <w:rPr>
          <w:rStyle w:val="FootnoteReference"/>
          <w:rFonts w:eastAsia="Calibri"/>
        </w:rPr>
        <w:footnoteReference w:id="2"/>
      </w:r>
      <w:r w:rsidRPr="00876C93">
        <w:rPr>
          <w:noProof/>
        </w:rPr>
        <w:t xml:space="preserve"> </w:t>
      </w:r>
    </w:p>
    <w:p w:rsidR="000E21CD" w:rsidRPr="00AD3EFC" w:rsidDel="008977BF" w:rsidRDefault="00220561" w:rsidP="004C794B">
      <w:pPr>
        <w:pStyle w:val="ListParagraph"/>
        <w:numPr>
          <w:ilvl w:val="0"/>
          <w:numId w:val="23"/>
        </w:numPr>
        <w:spacing w:line="276" w:lineRule="auto"/>
        <w:ind w:left="720"/>
        <w:jc w:val="both"/>
        <w:rPr>
          <w:rFonts w:eastAsia="Calibri"/>
        </w:rPr>
      </w:pPr>
      <w:r w:rsidRPr="00876C93">
        <w:rPr>
          <w:rFonts w:eastAsia="Calibri"/>
        </w:rPr>
        <w:t>The City of Napa’s affordable housing units are almost exclusively rental units (95%)</w:t>
      </w:r>
      <w:r>
        <w:rPr>
          <w:rFonts w:eastAsia="Calibri"/>
        </w:rPr>
        <w:t xml:space="preserve"> with very-</w:t>
      </w:r>
      <w:r w:rsidRPr="00876C93">
        <w:rPr>
          <w:rFonts w:eastAsia="Calibri"/>
        </w:rPr>
        <w:t>low and low income units make up 84% of total rental units (26% and 58%, respectively). Only Calistoga and St. Helena serve a higher percentage of very</w:t>
      </w:r>
      <w:r>
        <w:rPr>
          <w:rFonts w:eastAsia="Calibri"/>
        </w:rPr>
        <w:t>-</w:t>
      </w:r>
      <w:r w:rsidRPr="00876C93">
        <w:rPr>
          <w:rFonts w:eastAsia="Calibri"/>
        </w:rPr>
        <w:t>low to low income rental residents at 100% each.</w:t>
      </w:r>
    </w:p>
    <w:p w:rsidR="008A7202" w:rsidRPr="00E43976" w:rsidRDefault="000E21CD" w:rsidP="004C794B">
      <w:pPr>
        <w:pStyle w:val="ListParagraph"/>
        <w:numPr>
          <w:ilvl w:val="0"/>
          <w:numId w:val="23"/>
        </w:numPr>
        <w:spacing w:line="276" w:lineRule="auto"/>
        <w:ind w:left="720"/>
        <w:jc w:val="both"/>
        <w:rPr>
          <w:rFonts w:eastAsia="Calibri"/>
        </w:rPr>
      </w:pPr>
      <w:r w:rsidRPr="00220561">
        <w:rPr>
          <w:rFonts w:eastAsia="Calibri"/>
        </w:rPr>
        <w:t xml:space="preserve">Over half of the affordable housing units across the </w:t>
      </w:r>
      <w:r w:rsidR="00DB030C">
        <w:rPr>
          <w:rFonts w:eastAsia="Calibri"/>
        </w:rPr>
        <w:t>C</w:t>
      </w:r>
      <w:r w:rsidRPr="00220561">
        <w:rPr>
          <w:rFonts w:eastAsia="Calibri"/>
        </w:rPr>
        <w:t xml:space="preserve">ounty serve </w:t>
      </w:r>
      <w:r w:rsidR="00E240F9" w:rsidRPr="00220561">
        <w:rPr>
          <w:rFonts w:eastAsia="Calibri"/>
        </w:rPr>
        <w:t>targeted household population</w:t>
      </w:r>
      <w:r w:rsidR="00A941C6" w:rsidRPr="00220561">
        <w:rPr>
          <w:rFonts w:eastAsia="Calibri"/>
        </w:rPr>
        <w:t xml:space="preserve">s, with </w:t>
      </w:r>
      <w:r w:rsidR="00E240F9" w:rsidRPr="00220561">
        <w:rPr>
          <w:rFonts w:eastAsia="Calibri"/>
        </w:rPr>
        <w:t>75%</w:t>
      </w:r>
      <w:r w:rsidRPr="00220561">
        <w:rPr>
          <w:rFonts w:eastAsia="Calibri"/>
        </w:rPr>
        <w:t xml:space="preserve"> of these units ser</w:t>
      </w:r>
      <w:r w:rsidR="00A941C6" w:rsidRPr="00220561">
        <w:rPr>
          <w:rFonts w:eastAsia="Calibri"/>
        </w:rPr>
        <w:t>ving</w:t>
      </w:r>
      <w:r w:rsidR="00E240F9" w:rsidRPr="00220561">
        <w:rPr>
          <w:rFonts w:eastAsia="Calibri"/>
        </w:rPr>
        <w:t xml:space="preserve"> seniors and farmworkers</w:t>
      </w:r>
      <w:r w:rsidR="00952694" w:rsidRPr="00220561">
        <w:rPr>
          <w:rFonts w:eastAsia="Calibri"/>
        </w:rPr>
        <w:t>. The</w:t>
      </w:r>
      <w:r w:rsidRPr="00220561">
        <w:rPr>
          <w:rFonts w:eastAsia="Calibri"/>
        </w:rPr>
        <w:t xml:space="preserve"> City o</w:t>
      </w:r>
      <w:r w:rsidR="00A941C6" w:rsidRPr="00220561">
        <w:rPr>
          <w:rFonts w:eastAsia="Calibri"/>
        </w:rPr>
        <w:t>f Napa is home to about two-thirds of these targeted units</w:t>
      </w:r>
      <w:r w:rsidR="00D83EAA" w:rsidRPr="00220561">
        <w:rPr>
          <w:rFonts w:eastAsia="Calibri"/>
        </w:rPr>
        <w:t xml:space="preserve">, with 77% of Napa’s </w:t>
      </w:r>
      <w:r w:rsidR="0003040E" w:rsidRPr="00220561">
        <w:rPr>
          <w:rFonts w:eastAsia="Calibri"/>
        </w:rPr>
        <w:t>units serving seniors.</w:t>
      </w:r>
      <w:r w:rsidR="008A7202">
        <w:rPr>
          <w:rFonts w:eastAsia="Calibri"/>
        </w:rPr>
        <w:br/>
      </w:r>
      <w:r w:rsidR="008A7202" w:rsidRPr="00E43976">
        <w:rPr>
          <w:rFonts w:eastAsia="Calibri"/>
        </w:rPr>
        <w:t xml:space="preserve">Not accounted for in these numbers </w:t>
      </w:r>
      <w:r w:rsidR="00250ACB">
        <w:rPr>
          <w:rFonts w:eastAsia="Calibri"/>
        </w:rPr>
        <w:t>are</w:t>
      </w:r>
      <w:r w:rsidR="008A7202" w:rsidRPr="00E43976">
        <w:rPr>
          <w:rFonts w:eastAsia="Calibri"/>
        </w:rPr>
        <w:t xml:space="preserve"> housing down payment assistance program</w:t>
      </w:r>
      <w:r w:rsidR="00250ACB">
        <w:rPr>
          <w:rFonts w:eastAsia="Calibri"/>
        </w:rPr>
        <w:t>s.  These programs assist income eligible homebuyers to purchase existing homes.  This includes the</w:t>
      </w:r>
      <w:r w:rsidR="008A7202" w:rsidRPr="00E43976">
        <w:rPr>
          <w:rFonts w:eastAsia="Calibri"/>
        </w:rPr>
        <w:t xml:space="preserve"> </w:t>
      </w:r>
      <w:r w:rsidR="00250ACB">
        <w:rPr>
          <w:rFonts w:eastAsia="Calibri"/>
        </w:rPr>
        <w:t xml:space="preserve">County’s </w:t>
      </w:r>
      <w:r w:rsidR="008A7202" w:rsidRPr="00E43976">
        <w:rPr>
          <w:rFonts w:eastAsia="Calibri"/>
        </w:rPr>
        <w:t xml:space="preserve">recently initiated Worker Proximity Housing Program. To date the </w:t>
      </w:r>
      <w:r w:rsidR="00DB030C">
        <w:rPr>
          <w:rFonts w:eastAsia="Calibri"/>
        </w:rPr>
        <w:t>C</w:t>
      </w:r>
      <w:r w:rsidR="008A7202" w:rsidRPr="00E43976">
        <w:rPr>
          <w:rFonts w:eastAsia="Calibri"/>
        </w:rPr>
        <w:t xml:space="preserve">ounty has loaned </w:t>
      </w:r>
      <w:r w:rsidR="008A7202" w:rsidRPr="00E43976">
        <w:rPr>
          <w:rFonts w:eastAsia="Calibri"/>
        </w:rPr>
        <w:lastRenderedPageBreak/>
        <w:t xml:space="preserve">funds to 27 families throughout Napa County. The recipients of these loans are low and moderate income residents of the </w:t>
      </w:r>
      <w:r w:rsidR="00DB030C">
        <w:rPr>
          <w:rFonts w:eastAsia="Calibri"/>
        </w:rPr>
        <w:t>C</w:t>
      </w:r>
      <w:r w:rsidR="008A7202" w:rsidRPr="00E43976">
        <w:rPr>
          <w:rFonts w:eastAsia="Calibri"/>
        </w:rPr>
        <w:t xml:space="preserve">ounty. </w:t>
      </w:r>
      <w:r w:rsidR="00250ACB">
        <w:rPr>
          <w:rFonts w:eastAsia="Calibri"/>
        </w:rPr>
        <w:t xml:space="preserve"> Additionally, the City of Napa’s homebuyer assistance program has been in operation for approximately 20 years.  </w:t>
      </w:r>
      <w:r w:rsidR="00250ACB" w:rsidRPr="008D0391">
        <w:rPr>
          <w:rFonts w:eastAsia="Calibri"/>
        </w:rPr>
        <w:t xml:space="preserve">It has assisted 87 low-income homebuyers purchase homes in </w:t>
      </w:r>
      <w:r w:rsidR="008D0391">
        <w:rPr>
          <w:rFonts w:eastAsia="Calibri"/>
        </w:rPr>
        <w:t xml:space="preserve">the City of Napa during </w:t>
      </w:r>
      <w:r w:rsidR="00250ACB" w:rsidRPr="008D0391">
        <w:rPr>
          <w:rFonts w:eastAsia="Calibri"/>
        </w:rPr>
        <w:t>the past ten years.</w:t>
      </w:r>
    </w:p>
    <w:p w:rsidR="00C6790B" w:rsidRPr="00E43976" w:rsidRDefault="00E25E6D" w:rsidP="00E85291">
      <w:pPr>
        <w:spacing w:after="200" w:line="23" w:lineRule="atLeast"/>
        <w:contextualSpacing/>
        <w:rPr>
          <w:rFonts w:eastAsia="Calibri"/>
          <w:b/>
          <w:sz w:val="22"/>
          <w:szCs w:val="22"/>
          <w:u w:val="single"/>
        </w:rPr>
      </w:pPr>
      <w:r w:rsidRPr="00E43976">
        <w:rPr>
          <w:rFonts w:eastAsia="Calibri"/>
          <w:b/>
          <w:sz w:val="22"/>
          <w:szCs w:val="22"/>
          <w:u w:val="single"/>
        </w:rPr>
        <w:t>Housing Needs Requirements</w:t>
      </w:r>
    </w:p>
    <w:p w:rsidR="00E85291" w:rsidRPr="00E43976" w:rsidRDefault="00E85291" w:rsidP="00E85291">
      <w:pPr>
        <w:spacing w:after="200" w:line="23" w:lineRule="atLeast"/>
        <w:contextualSpacing/>
        <w:rPr>
          <w:rFonts w:eastAsia="Calibri"/>
          <w:b/>
          <w:sz w:val="22"/>
          <w:szCs w:val="22"/>
          <w:u w:val="single"/>
        </w:rPr>
      </w:pPr>
    </w:p>
    <w:p w:rsidR="00E85291" w:rsidRPr="00544D72" w:rsidRDefault="00D83EAA" w:rsidP="00544D72">
      <w:pPr>
        <w:spacing w:after="200" w:line="276" w:lineRule="auto"/>
        <w:contextualSpacing/>
        <w:jc w:val="both"/>
        <w:rPr>
          <w:rFonts w:eastAsia="Calibri"/>
          <w:sz w:val="22"/>
          <w:szCs w:val="22"/>
        </w:rPr>
      </w:pPr>
      <w:r w:rsidRPr="00E43976">
        <w:rPr>
          <w:rFonts w:eastAsia="Calibri"/>
          <w:sz w:val="22"/>
          <w:szCs w:val="22"/>
        </w:rPr>
        <w:t xml:space="preserve">The </w:t>
      </w:r>
      <w:r w:rsidR="00D01E45" w:rsidRPr="00E43976">
        <w:rPr>
          <w:rFonts w:eastAsia="Calibri"/>
          <w:sz w:val="22"/>
          <w:szCs w:val="22"/>
        </w:rPr>
        <w:t xml:space="preserve">Task Force </w:t>
      </w:r>
      <w:r w:rsidR="00954145" w:rsidRPr="00E43976">
        <w:rPr>
          <w:rFonts w:eastAsia="Calibri"/>
          <w:sz w:val="22"/>
          <w:szCs w:val="22"/>
        </w:rPr>
        <w:t xml:space="preserve">discussed the challenge of quantifying housing needs and tempering expectations against a backdrop of increasing </w:t>
      </w:r>
      <w:r w:rsidR="0003040E" w:rsidRPr="00E43976">
        <w:rPr>
          <w:rFonts w:eastAsia="Calibri"/>
          <w:sz w:val="22"/>
          <w:szCs w:val="22"/>
        </w:rPr>
        <w:t xml:space="preserve">need and decreasing resources. </w:t>
      </w:r>
      <w:r w:rsidR="00954145" w:rsidRPr="00E43976">
        <w:rPr>
          <w:rFonts w:eastAsia="Calibri"/>
          <w:sz w:val="22"/>
          <w:szCs w:val="22"/>
        </w:rPr>
        <w:t xml:space="preserve">The Task Force </w:t>
      </w:r>
      <w:r w:rsidR="00D01E45" w:rsidRPr="00E43976">
        <w:rPr>
          <w:rFonts w:eastAsia="Calibri"/>
          <w:sz w:val="22"/>
          <w:szCs w:val="22"/>
        </w:rPr>
        <w:t xml:space="preserve">reviewed </w:t>
      </w:r>
      <w:r w:rsidR="00B2240C" w:rsidRPr="00E43976">
        <w:rPr>
          <w:rFonts w:eastAsia="Calibri"/>
          <w:sz w:val="22"/>
          <w:szCs w:val="22"/>
        </w:rPr>
        <w:t xml:space="preserve">the </w:t>
      </w:r>
      <w:r w:rsidR="00E25E6D" w:rsidRPr="00E43976">
        <w:rPr>
          <w:rFonts w:eastAsia="Calibri"/>
          <w:sz w:val="22"/>
          <w:szCs w:val="22"/>
        </w:rPr>
        <w:t>affordable hous</w:t>
      </w:r>
      <w:r w:rsidR="00954145" w:rsidRPr="00E43976">
        <w:rPr>
          <w:rFonts w:eastAsia="Calibri"/>
          <w:sz w:val="22"/>
          <w:szCs w:val="22"/>
        </w:rPr>
        <w:t>ing needs of workforce commuters, far</w:t>
      </w:r>
      <w:r w:rsidR="00954145" w:rsidRPr="00220561">
        <w:rPr>
          <w:rFonts w:eastAsia="Calibri"/>
          <w:sz w:val="22"/>
          <w:szCs w:val="22"/>
        </w:rPr>
        <w:t>mworkers, seniors and special needs households</w:t>
      </w:r>
      <w:r w:rsidR="008842B7" w:rsidRPr="00220561">
        <w:rPr>
          <w:rFonts w:eastAsia="Calibri"/>
          <w:sz w:val="22"/>
          <w:szCs w:val="22"/>
        </w:rPr>
        <w:t>, with an eye towards the types of occupations that qualify for affordabl</w:t>
      </w:r>
      <w:r w:rsidR="008842B7">
        <w:rPr>
          <w:rFonts w:eastAsia="Calibri"/>
          <w:sz w:val="22"/>
          <w:szCs w:val="22"/>
        </w:rPr>
        <w:t>e housing</w:t>
      </w:r>
      <w:r w:rsidR="00954145">
        <w:rPr>
          <w:rFonts w:eastAsia="Calibri"/>
          <w:sz w:val="22"/>
          <w:szCs w:val="22"/>
        </w:rPr>
        <w:t>. The Task Force also examined the real estate trends in the rental and home buyer markets,</w:t>
      </w:r>
      <w:r w:rsidR="008842B7">
        <w:rPr>
          <w:rFonts w:eastAsia="Calibri"/>
          <w:sz w:val="22"/>
          <w:szCs w:val="22"/>
        </w:rPr>
        <w:t xml:space="preserve"> </w:t>
      </w:r>
      <w:r w:rsidR="00E25E6D" w:rsidRPr="00E25E6D">
        <w:rPr>
          <w:rFonts w:eastAsia="Calibri"/>
          <w:sz w:val="22"/>
          <w:szCs w:val="22"/>
        </w:rPr>
        <w:t>data concerning large emplo</w:t>
      </w:r>
      <w:r w:rsidR="008842B7">
        <w:rPr>
          <w:rFonts w:eastAsia="Calibri"/>
          <w:sz w:val="22"/>
          <w:szCs w:val="22"/>
        </w:rPr>
        <w:t>yers</w:t>
      </w:r>
      <w:r w:rsidR="00B8501B">
        <w:rPr>
          <w:rFonts w:eastAsia="Calibri"/>
          <w:sz w:val="22"/>
          <w:szCs w:val="22"/>
        </w:rPr>
        <w:t>,</w:t>
      </w:r>
      <w:r w:rsidR="008842B7">
        <w:rPr>
          <w:rFonts w:eastAsia="Calibri"/>
          <w:sz w:val="22"/>
          <w:szCs w:val="22"/>
        </w:rPr>
        <w:t xml:space="preserve"> the existing homeless, </w:t>
      </w:r>
      <w:r w:rsidR="00E25E6D" w:rsidRPr="00E25E6D">
        <w:rPr>
          <w:rFonts w:eastAsia="Calibri"/>
          <w:sz w:val="22"/>
          <w:szCs w:val="22"/>
        </w:rPr>
        <w:t>the housing element r</w:t>
      </w:r>
      <w:r w:rsidR="006661AB">
        <w:rPr>
          <w:rFonts w:eastAsia="Calibri"/>
          <w:sz w:val="22"/>
          <w:szCs w:val="22"/>
        </w:rPr>
        <w:t>equirements for the cities and C</w:t>
      </w:r>
      <w:r w:rsidR="00E25E6D" w:rsidRPr="00E25E6D">
        <w:rPr>
          <w:rFonts w:eastAsia="Calibri"/>
          <w:sz w:val="22"/>
          <w:szCs w:val="22"/>
        </w:rPr>
        <w:t xml:space="preserve">ounty, </w:t>
      </w:r>
      <w:r w:rsidR="000077DF">
        <w:rPr>
          <w:rFonts w:eastAsia="Calibri"/>
          <w:sz w:val="22"/>
          <w:szCs w:val="22"/>
        </w:rPr>
        <w:t>and estimated regional housing needs for the years 2014 - 2022</w:t>
      </w:r>
      <w:r w:rsidR="008842B7" w:rsidRPr="000077DF">
        <w:rPr>
          <w:rFonts w:eastAsia="Calibri"/>
          <w:sz w:val="22"/>
          <w:szCs w:val="22"/>
        </w:rPr>
        <w:t>.</w:t>
      </w:r>
    </w:p>
    <w:p w:rsidR="00E85291" w:rsidRDefault="00E85291" w:rsidP="00B2240C">
      <w:pPr>
        <w:spacing w:after="200" w:line="276" w:lineRule="auto"/>
        <w:contextualSpacing/>
        <w:rPr>
          <w:rFonts w:eastAsia="Calibri"/>
          <w:b/>
          <w:sz w:val="22"/>
          <w:szCs w:val="22"/>
        </w:rPr>
      </w:pPr>
    </w:p>
    <w:p w:rsidR="00E25E6D" w:rsidRDefault="001F66C2" w:rsidP="00220561">
      <w:pPr>
        <w:spacing w:after="200" w:line="276" w:lineRule="auto"/>
        <w:contextualSpacing/>
        <w:jc w:val="both"/>
        <w:rPr>
          <w:rFonts w:eastAsia="Calibri"/>
          <w:sz w:val="22"/>
          <w:szCs w:val="22"/>
        </w:rPr>
      </w:pPr>
      <w:r>
        <w:rPr>
          <w:rFonts w:eastAsia="Calibri"/>
          <w:sz w:val="22"/>
          <w:szCs w:val="22"/>
        </w:rPr>
        <w:t>The Task Force also received an</w:t>
      </w:r>
      <w:r w:rsidR="00E25E6D" w:rsidRPr="00E25E6D">
        <w:rPr>
          <w:rFonts w:eastAsia="Calibri"/>
          <w:sz w:val="22"/>
          <w:szCs w:val="22"/>
        </w:rPr>
        <w:t xml:space="preserve"> overview of the barriers to affordabl</w:t>
      </w:r>
      <w:r>
        <w:rPr>
          <w:rFonts w:eastAsia="Calibri"/>
          <w:sz w:val="22"/>
          <w:szCs w:val="22"/>
        </w:rPr>
        <w:t>e rental housing, which include</w:t>
      </w:r>
      <w:r w:rsidR="00E25E6D" w:rsidRPr="00E25E6D">
        <w:rPr>
          <w:rFonts w:eastAsia="Calibri"/>
          <w:sz w:val="22"/>
          <w:szCs w:val="22"/>
        </w:rPr>
        <w:t xml:space="preserve"> the complexity of </w:t>
      </w:r>
      <w:r>
        <w:rPr>
          <w:rFonts w:eastAsia="Calibri"/>
          <w:sz w:val="22"/>
          <w:szCs w:val="22"/>
        </w:rPr>
        <w:t xml:space="preserve">tenant </w:t>
      </w:r>
      <w:r w:rsidR="00E25E6D" w:rsidRPr="00E25E6D">
        <w:rPr>
          <w:rFonts w:eastAsia="Calibri"/>
          <w:sz w:val="22"/>
          <w:szCs w:val="22"/>
        </w:rPr>
        <w:t>applications</w:t>
      </w:r>
      <w:r>
        <w:rPr>
          <w:rFonts w:eastAsia="Calibri"/>
          <w:sz w:val="22"/>
          <w:szCs w:val="22"/>
        </w:rPr>
        <w:t xml:space="preserve"> for affordable housing and</w:t>
      </w:r>
      <w:r w:rsidR="00E25E6D" w:rsidRPr="00E25E6D">
        <w:rPr>
          <w:rFonts w:eastAsia="Calibri"/>
          <w:sz w:val="22"/>
          <w:szCs w:val="22"/>
        </w:rPr>
        <w:t xml:space="preserve"> long waiting lists.</w:t>
      </w:r>
      <w:r>
        <w:rPr>
          <w:rFonts w:eastAsia="Calibri"/>
          <w:sz w:val="22"/>
          <w:szCs w:val="22"/>
        </w:rPr>
        <w:t xml:space="preserve"> As an example, over </w:t>
      </w:r>
      <w:r w:rsidR="00450000">
        <w:rPr>
          <w:rFonts w:eastAsia="Calibri"/>
          <w:sz w:val="22"/>
          <w:szCs w:val="22"/>
        </w:rPr>
        <w:t xml:space="preserve">9,450 households, including </w:t>
      </w:r>
      <w:r w:rsidR="00450000" w:rsidRPr="00450000">
        <w:rPr>
          <w:rFonts w:eastAsia="Calibri"/>
          <w:sz w:val="22"/>
          <w:szCs w:val="22"/>
        </w:rPr>
        <w:t>2,860</w:t>
      </w:r>
      <w:r w:rsidR="00450000">
        <w:rPr>
          <w:rFonts w:eastAsia="Calibri"/>
          <w:sz w:val="22"/>
          <w:szCs w:val="22"/>
        </w:rPr>
        <w:t xml:space="preserve"> Napa County residents,</w:t>
      </w:r>
      <w:r w:rsidR="00220561">
        <w:rPr>
          <w:rFonts w:eastAsia="Calibri"/>
          <w:sz w:val="22"/>
          <w:szCs w:val="22"/>
        </w:rPr>
        <w:t xml:space="preserve"> </w:t>
      </w:r>
      <w:r>
        <w:rPr>
          <w:rFonts w:eastAsia="Calibri"/>
          <w:sz w:val="22"/>
          <w:szCs w:val="22"/>
        </w:rPr>
        <w:t xml:space="preserve">are currently on the waiting list </w:t>
      </w:r>
      <w:r w:rsidR="00220561">
        <w:rPr>
          <w:rFonts w:eastAsia="Calibri"/>
          <w:sz w:val="22"/>
          <w:szCs w:val="22"/>
        </w:rPr>
        <w:t xml:space="preserve">for Section 8 rental assistance and approximately 200 families are currently qualified on the waiting lists </w:t>
      </w:r>
      <w:r>
        <w:rPr>
          <w:rFonts w:eastAsia="Calibri"/>
          <w:sz w:val="22"/>
          <w:szCs w:val="22"/>
        </w:rPr>
        <w:t>of developments managed by Napa Valley Community Housing.</w:t>
      </w:r>
    </w:p>
    <w:p w:rsidR="00220561" w:rsidRPr="00B2240C" w:rsidRDefault="00220561" w:rsidP="001237A6">
      <w:pPr>
        <w:spacing w:line="276" w:lineRule="auto"/>
        <w:contextualSpacing/>
        <w:jc w:val="both"/>
        <w:rPr>
          <w:rFonts w:eastAsia="Calibri"/>
          <w:b/>
          <w:sz w:val="22"/>
          <w:szCs w:val="22"/>
        </w:rPr>
      </w:pPr>
    </w:p>
    <w:p w:rsidR="001B0F8F" w:rsidRPr="000E6AD0" w:rsidRDefault="005E5D81" w:rsidP="00220561">
      <w:pPr>
        <w:spacing w:after="200" w:line="276" w:lineRule="auto"/>
        <w:jc w:val="center"/>
        <w:rPr>
          <w:b/>
          <w:smallCaps/>
          <w:sz w:val="28"/>
        </w:rPr>
      </w:pPr>
      <w:r w:rsidRPr="000E6AD0">
        <w:rPr>
          <w:b/>
          <w:smallCaps/>
          <w:sz w:val="28"/>
        </w:rPr>
        <w:t>Working Groups</w:t>
      </w:r>
    </w:p>
    <w:p w:rsidR="0088654A" w:rsidRDefault="00D87F46" w:rsidP="00B5443E">
      <w:pPr>
        <w:spacing w:after="200" w:line="276" w:lineRule="auto"/>
        <w:jc w:val="both"/>
        <w:rPr>
          <w:rFonts w:eastAsia="Calibri"/>
          <w:b/>
          <w:sz w:val="22"/>
          <w:szCs w:val="22"/>
        </w:rPr>
      </w:pPr>
      <w:r>
        <w:rPr>
          <w:bCs/>
          <w:sz w:val="22"/>
          <w:szCs w:val="22"/>
        </w:rPr>
        <w:t xml:space="preserve">During large group discussions and smaller group breakout sessions, Task Force members grappled with </w:t>
      </w:r>
      <w:r w:rsidR="00220561">
        <w:rPr>
          <w:bCs/>
          <w:sz w:val="22"/>
          <w:szCs w:val="22"/>
        </w:rPr>
        <w:t xml:space="preserve">affordable housing </w:t>
      </w:r>
      <w:r>
        <w:rPr>
          <w:bCs/>
          <w:sz w:val="22"/>
          <w:szCs w:val="22"/>
        </w:rPr>
        <w:t>development constraints</w:t>
      </w:r>
      <w:r w:rsidR="00450000">
        <w:rPr>
          <w:bCs/>
          <w:sz w:val="22"/>
          <w:szCs w:val="22"/>
        </w:rPr>
        <w:t>,</w:t>
      </w:r>
      <w:r>
        <w:rPr>
          <w:bCs/>
          <w:sz w:val="22"/>
          <w:szCs w:val="22"/>
        </w:rPr>
        <w:t xml:space="preserve"> such as land use </w:t>
      </w:r>
      <w:r w:rsidR="00220561">
        <w:rPr>
          <w:bCs/>
          <w:sz w:val="22"/>
          <w:szCs w:val="22"/>
        </w:rPr>
        <w:t>and zoning regulations</w:t>
      </w:r>
      <w:r w:rsidR="00450000">
        <w:rPr>
          <w:bCs/>
          <w:sz w:val="22"/>
          <w:szCs w:val="22"/>
        </w:rPr>
        <w:t>,</w:t>
      </w:r>
      <w:r w:rsidR="00220561">
        <w:rPr>
          <w:bCs/>
          <w:sz w:val="22"/>
          <w:szCs w:val="22"/>
        </w:rPr>
        <w:t xml:space="preserve"> </w:t>
      </w:r>
      <w:r>
        <w:rPr>
          <w:bCs/>
          <w:sz w:val="22"/>
          <w:szCs w:val="22"/>
        </w:rPr>
        <w:t>and limit</w:t>
      </w:r>
      <w:r w:rsidR="003E1644">
        <w:rPr>
          <w:bCs/>
          <w:sz w:val="22"/>
          <w:szCs w:val="22"/>
        </w:rPr>
        <w:t>ed revenue streams.</w:t>
      </w:r>
      <w:r w:rsidR="00B2240C">
        <w:rPr>
          <w:bCs/>
          <w:sz w:val="22"/>
          <w:szCs w:val="22"/>
        </w:rPr>
        <w:t xml:space="preserve"> The Task Force broke out into smaller working group subcommittees to </w:t>
      </w:r>
      <w:r w:rsidR="008842B7">
        <w:rPr>
          <w:bCs/>
          <w:sz w:val="22"/>
          <w:szCs w:val="22"/>
        </w:rPr>
        <w:t>more effectively brainstorm strategies and action items to present to the wider Task Force for consideration. From these</w:t>
      </w:r>
      <w:r w:rsidR="00220561">
        <w:rPr>
          <w:bCs/>
          <w:sz w:val="22"/>
          <w:szCs w:val="22"/>
        </w:rPr>
        <w:t>,</w:t>
      </w:r>
      <w:r w:rsidR="008842B7">
        <w:rPr>
          <w:bCs/>
          <w:sz w:val="22"/>
          <w:szCs w:val="22"/>
        </w:rPr>
        <w:t xml:space="preserve"> subcommittees derived the creative ideas that are found in the final recommended strategies</w:t>
      </w:r>
      <w:r w:rsidR="00220561">
        <w:rPr>
          <w:bCs/>
          <w:sz w:val="22"/>
          <w:szCs w:val="22"/>
        </w:rPr>
        <w:t xml:space="preserve"> and Action Plan</w:t>
      </w:r>
      <w:r w:rsidR="008842B7">
        <w:rPr>
          <w:bCs/>
          <w:sz w:val="22"/>
          <w:szCs w:val="22"/>
        </w:rPr>
        <w:t xml:space="preserve">. </w:t>
      </w:r>
      <w:r w:rsidR="000A1A36">
        <w:rPr>
          <w:bCs/>
          <w:sz w:val="22"/>
          <w:szCs w:val="22"/>
        </w:rPr>
        <w:t>The f</w:t>
      </w:r>
      <w:r w:rsidR="008842B7">
        <w:rPr>
          <w:bCs/>
          <w:sz w:val="22"/>
          <w:szCs w:val="22"/>
        </w:rPr>
        <w:t>ollowing is a description of the subcommittee work:</w:t>
      </w:r>
    </w:p>
    <w:p w:rsidR="00E85291" w:rsidRPr="00E85291" w:rsidRDefault="003E1644" w:rsidP="008842B7">
      <w:pPr>
        <w:spacing w:after="200" w:line="276" w:lineRule="auto"/>
        <w:contextualSpacing/>
        <w:rPr>
          <w:rFonts w:eastAsia="Calibri"/>
          <w:b/>
          <w:sz w:val="22"/>
          <w:szCs w:val="22"/>
          <w:u w:val="single"/>
        </w:rPr>
      </w:pPr>
      <w:r w:rsidRPr="00E85291">
        <w:rPr>
          <w:rFonts w:eastAsia="Calibri"/>
          <w:b/>
          <w:sz w:val="22"/>
          <w:szCs w:val="22"/>
          <w:u w:val="single"/>
        </w:rPr>
        <w:t>Housing Types Subcommittee</w:t>
      </w:r>
    </w:p>
    <w:p w:rsidR="00E85291" w:rsidRDefault="00E85291" w:rsidP="008842B7">
      <w:pPr>
        <w:spacing w:after="200" w:line="276" w:lineRule="auto"/>
        <w:contextualSpacing/>
        <w:rPr>
          <w:rFonts w:eastAsia="Calibri"/>
          <w:b/>
          <w:sz w:val="22"/>
          <w:szCs w:val="22"/>
        </w:rPr>
      </w:pPr>
    </w:p>
    <w:p w:rsidR="003E1644" w:rsidRPr="008842B7" w:rsidRDefault="003E1644" w:rsidP="00B5443E">
      <w:pPr>
        <w:spacing w:after="200" w:line="276" w:lineRule="auto"/>
        <w:contextualSpacing/>
        <w:jc w:val="both"/>
        <w:rPr>
          <w:rFonts w:eastAsia="Calibri"/>
          <w:b/>
          <w:sz w:val="22"/>
          <w:szCs w:val="22"/>
        </w:rPr>
      </w:pPr>
      <w:r w:rsidRPr="00E25E6D">
        <w:rPr>
          <w:rFonts w:eastAsia="Calibri"/>
          <w:sz w:val="22"/>
          <w:szCs w:val="22"/>
        </w:rPr>
        <w:t xml:space="preserve">In this breakout group, the subcommittee agreed that </w:t>
      </w:r>
      <w:r w:rsidR="00580747">
        <w:rPr>
          <w:rFonts w:eastAsia="Calibri"/>
          <w:sz w:val="22"/>
          <w:szCs w:val="22"/>
        </w:rPr>
        <w:t xml:space="preserve">the majority of </w:t>
      </w:r>
      <w:r w:rsidR="008842B7">
        <w:rPr>
          <w:rFonts w:eastAsia="Calibri"/>
          <w:sz w:val="22"/>
          <w:szCs w:val="22"/>
        </w:rPr>
        <w:t>funding should be directed to</w:t>
      </w:r>
      <w:r w:rsidR="008842B7" w:rsidRPr="00E25E6D">
        <w:rPr>
          <w:rFonts w:eastAsia="Calibri"/>
          <w:sz w:val="22"/>
          <w:szCs w:val="22"/>
        </w:rPr>
        <w:t xml:space="preserve"> rental programs</w:t>
      </w:r>
      <w:r w:rsidR="00D413F4">
        <w:rPr>
          <w:rFonts w:eastAsia="Calibri"/>
          <w:sz w:val="22"/>
          <w:szCs w:val="22"/>
        </w:rPr>
        <w:t xml:space="preserve">. </w:t>
      </w:r>
      <w:r w:rsidR="00735895">
        <w:rPr>
          <w:rFonts w:eastAsia="Calibri"/>
          <w:sz w:val="22"/>
          <w:szCs w:val="22"/>
        </w:rPr>
        <w:t>T</w:t>
      </w:r>
      <w:r w:rsidR="00D413F4">
        <w:rPr>
          <w:rFonts w:eastAsia="Calibri"/>
          <w:sz w:val="22"/>
          <w:szCs w:val="22"/>
        </w:rPr>
        <w:t xml:space="preserve">he housing types subcommittee suggested that projects should be prioritized </w:t>
      </w:r>
      <w:r w:rsidR="00735895">
        <w:rPr>
          <w:rFonts w:eastAsia="Calibri"/>
          <w:sz w:val="22"/>
          <w:szCs w:val="22"/>
        </w:rPr>
        <w:t>within the corresponding categories:</w:t>
      </w:r>
    </w:p>
    <w:p w:rsidR="00D01E45" w:rsidRDefault="00B2648F" w:rsidP="004C794B">
      <w:pPr>
        <w:pStyle w:val="ListParagraph"/>
        <w:numPr>
          <w:ilvl w:val="0"/>
          <w:numId w:val="22"/>
        </w:numPr>
        <w:spacing w:line="276" w:lineRule="auto"/>
        <w:ind w:left="1080"/>
        <w:contextualSpacing/>
        <w:jc w:val="both"/>
        <w:rPr>
          <w:rFonts w:eastAsia="Calibri"/>
        </w:rPr>
      </w:pPr>
      <w:r>
        <w:rPr>
          <w:rFonts w:eastAsia="Calibri"/>
        </w:rPr>
        <w:t>Rehabilitat</w:t>
      </w:r>
      <w:r w:rsidR="003E1644" w:rsidRPr="00D01E45">
        <w:rPr>
          <w:rFonts w:eastAsia="Calibri"/>
        </w:rPr>
        <w:t>ing distressed properties</w:t>
      </w:r>
    </w:p>
    <w:p w:rsidR="00D01E45" w:rsidRDefault="003E1644" w:rsidP="004C794B">
      <w:pPr>
        <w:pStyle w:val="ListParagraph"/>
        <w:numPr>
          <w:ilvl w:val="0"/>
          <w:numId w:val="22"/>
        </w:numPr>
        <w:spacing w:line="276" w:lineRule="auto"/>
        <w:ind w:left="1080"/>
        <w:contextualSpacing/>
        <w:jc w:val="both"/>
        <w:rPr>
          <w:rFonts w:eastAsia="Calibri"/>
        </w:rPr>
      </w:pPr>
      <w:r w:rsidRPr="00D01E45">
        <w:rPr>
          <w:rFonts w:eastAsia="Calibri"/>
        </w:rPr>
        <w:t xml:space="preserve">Acquiring and </w:t>
      </w:r>
      <w:r w:rsidR="00507907">
        <w:rPr>
          <w:rFonts w:eastAsia="Calibri"/>
        </w:rPr>
        <w:t>rehabilitati</w:t>
      </w:r>
      <w:r w:rsidRPr="00D01E45">
        <w:rPr>
          <w:rFonts w:eastAsia="Calibri"/>
        </w:rPr>
        <w:t>ng rental properties</w:t>
      </w:r>
    </w:p>
    <w:p w:rsidR="003E1644" w:rsidRPr="00D01E45" w:rsidRDefault="003E1644" w:rsidP="004C794B">
      <w:pPr>
        <w:pStyle w:val="ListParagraph"/>
        <w:numPr>
          <w:ilvl w:val="0"/>
          <w:numId w:val="22"/>
        </w:numPr>
        <w:spacing w:line="276" w:lineRule="auto"/>
        <w:ind w:left="1080"/>
        <w:contextualSpacing/>
        <w:jc w:val="both"/>
        <w:rPr>
          <w:rFonts w:eastAsia="Calibri"/>
        </w:rPr>
      </w:pPr>
      <w:r w:rsidRPr="00D01E45">
        <w:rPr>
          <w:rFonts w:eastAsia="Calibri"/>
        </w:rPr>
        <w:t>New construction</w:t>
      </w:r>
    </w:p>
    <w:p w:rsidR="003E1644" w:rsidRPr="003E1644" w:rsidRDefault="003E1644" w:rsidP="00B5443E">
      <w:pPr>
        <w:spacing w:after="200" w:line="276" w:lineRule="auto"/>
        <w:jc w:val="both"/>
        <w:rPr>
          <w:bCs/>
          <w:sz w:val="22"/>
          <w:szCs w:val="22"/>
        </w:rPr>
      </w:pPr>
      <w:r w:rsidRPr="003E1644">
        <w:rPr>
          <w:bCs/>
          <w:sz w:val="22"/>
          <w:szCs w:val="22"/>
        </w:rPr>
        <w:t xml:space="preserve">The Task Force </w:t>
      </w:r>
      <w:r w:rsidR="00D413F4">
        <w:rPr>
          <w:bCs/>
          <w:sz w:val="22"/>
          <w:szCs w:val="22"/>
        </w:rPr>
        <w:t xml:space="preserve">subsequently </w:t>
      </w:r>
      <w:r w:rsidRPr="003E1644">
        <w:rPr>
          <w:bCs/>
          <w:sz w:val="22"/>
          <w:szCs w:val="22"/>
        </w:rPr>
        <w:t xml:space="preserve">weighed the merits of directing financial resources towards new construction projects versus buildings slated for </w:t>
      </w:r>
      <w:r w:rsidR="00507907">
        <w:rPr>
          <w:bCs/>
          <w:sz w:val="22"/>
          <w:szCs w:val="22"/>
        </w:rPr>
        <w:t>rehabilitation</w:t>
      </w:r>
      <w:r w:rsidRPr="003E1644">
        <w:rPr>
          <w:bCs/>
          <w:sz w:val="22"/>
          <w:szCs w:val="22"/>
        </w:rPr>
        <w:t>, examining such metrics as cost efficiencies</w:t>
      </w:r>
      <w:r w:rsidR="00450000">
        <w:rPr>
          <w:bCs/>
          <w:sz w:val="22"/>
          <w:szCs w:val="22"/>
        </w:rPr>
        <w:t>, benefits of increasing versus improving housing stock,</w:t>
      </w:r>
      <w:r w:rsidRPr="003E1644">
        <w:rPr>
          <w:bCs/>
          <w:sz w:val="22"/>
          <w:szCs w:val="22"/>
        </w:rPr>
        <w:t xml:space="preserve"> and ease of retrofitting for energy efficiency. The Task Force reached </w:t>
      </w:r>
      <w:r w:rsidR="00946369">
        <w:rPr>
          <w:bCs/>
          <w:sz w:val="22"/>
          <w:szCs w:val="22"/>
        </w:rPr>
        <w:t xml:space="preserve">a </w:t>
      </w:r>
      <w:r w:rsidRPr="003E1644">
        <w:rPr>
          <w:bCs/>
          <w:sz w:val="22"/>
          <w:szCs w:val="22"/>
        </w:rPr>
        <w:t xml:space="preserve">consensus founded on retaining flexibility, whereby City and County staff would evaluate affordable housing proposals </w:t>
      </w:r>
      <w:r w:rsidR="00CA0D98">
        <w:rPr>
          <w:bCs/>
          <w:sz w:val="22"/>
          <w:szCs w:val="22"/>
        </w:rPr>
        <w:t xml:space="preserve">at the time resources become available </w:t>
      </w:r>
      <w:r w:rsidRPr="003E1644">
        <w:rPr>
          <w:bCs/>
          <w:sz w:val="22"/>
          <w:szCs w:val="22"/>
        </w:rPr>
        <w:t xml:space="preserve">based </w:t>
      </w:r>
      <w:r w:rsidRPr="003E1644">
        <w:rPr>
          <w:bCs/>
          <w:sz w:val="22"/>
          <w:szCs w:val="22"/>
        </w:rPr>
        <w:lastRenderedPageBreak/>
        <w:t xml:space="preserve">on the full array of Task Force priorities </w:t>
      </w:r>
      <w:r w:rsidR="00946369">
        <w:rPr>
          <w:bCs/>
          <w:sz w:val="22"/>
          <w:szCs w:val="22"/>
        </w:rPr>
        <w:t xml:space="preserve">for </w:t>
      </w:r>
      <w:r w:rsidRPr="003E1644">
        <w:rPr>
          <w:bCs/>
          <w:sz w:val="22"/>
          <w:szCs w:val="22"/>
        </w:rPr>
        <w:t>sustainable building, proximity to employment, transit-oriented development, social service amenities, and cost efficiencies.</w:t>
      </w:r>
    </w:p>
    <w:p w:rsidR="003E1644" w:rsidRDefault="003E1644" w:rsidP="00B5443E">
      <w:pPr>
        <w:spacing w:after="200" w:line="276" w:lineRule="auto"/>
        <w:jc w:val="both"/>
        <w:rPr>
          <w:bCs/>
          <w:sz w:val="22"/>
          <w:szCs w:val="22"/>
        </w:rPr>
      </w:pPr>
      <w:r w:rsidRPr="003E1644">
        <w:rPr>
          <w:bCs/>
          <w:sz w:val="22"/>
          <w:szCs w:val="22"/>
        </w:rPr>
        <w:t>This same princip</w:t>
      </w:r>
      <w:r w:rsidR="00946369">
        <w:rPr>
          <w:bCs/>
          <w:sz w:val="22"/>
          <w:szCs w:val="22"/>
        </w:rPr>
        <w:t>le</w:t>
      </w:r>
      <w:r w:rsidRPr="003E1644">
        <w:rPr>
          <w:bCs/>
          <w:sz w:val="22"/>
          <w:szCs w:val="22"/>
        </w:rPr>
        <w:t xml:space="preserve"> of flexibility guided the Task Force’s discussion on targeting housing population types. Task Force members agreed that affordable housing for large families, seniors and special needs households were all priorities and that development proposals should be evaluated on a case-by-case basis</w:t>
      </w:r>
      <w:r w:rsidR="00CA0D98">
        <w:rPr>
          <w:bCs/>
          <w:sz w:val="22"/>
          <w:szCs w:val="22"/>
        </w:rPr>
        <w:t xml:space="preserve"> when resources become available to </w:t>
      </w:r>
      <w:r w:rsidR="00450000">
        <w:rPr>
          <w:bCs/>
          <w:sz w:val="22"/>
          <w:szCs w:val="22"/>
        </w:rPr>
        <w:t xml:space="preserve">allocate </w:t>
      </w:r>
      <w:r w:rsidR="00CA0D98">
        <w:rPr>
          <w:bCs/>
          <w:sz w:val="22"/>
          <w:szCs w:val="22"/>
        </w:rPr>
        <w:t>for development</w:t>
      </w:r>
      <w:r w:rsidRPr="003E1644">
        <w:rPr>
          <w:bCs/>
          <w:sz w:val="22"/>
          <w:szCs w:val="22"/>
        </w:rPr>
        <w:t>.</w:t>
      </w:r>
    </w:p>
    <w:p w:rsidR="007C04E1" w:rsidRPr="00DF481B" w:rsidRDefault="007C04E1" w:rsidP="00B5443E">
      <w:pPr>
        <w:tabs>
          <w:tab w:val="left" w:pos="9360"/>
        </w:tabs>
        <w:spacing w:after="200" w:line="276" w:lineRule="auto"/>
        <w:jc w:val="both"/>
        <w:rPr>
          <w:b/>
          <w:bCs/>
          <w:sz w:val="22"/>
          <w:szCs w:val="22"/>
        </w:rPr>
      </w:pPr>
      <w:r w:rsidRPr="001E6273">
        <w:rPr>
          <w:bCs/>
          <w:sz w:val="22"/>
          <w:szCs w:val="22"/>
        </w:rPr>
        <w:t>T</w:t>
      </w:r>
      <w:r w:rsidR="0088654A">
        <w:rPr>
          <w:bCs/>
          <w:sz w:val="22"/>
          <w:szCs w:val="22"/>
        </w:rPr>
        <w:t>his subcommittee also</w:t>
      </w:r>
      <w:r w:rsidRPr="00B80E35">
        <w:rPr>
          <w:bCs/>
          <w:sz w:val="22"/>
          <w:szCs w:val="22"/>
        </w:rPr>
        <w:t xml:space="preserve"> considered the need to mitigate greenhouse gas emissions and traffic caused by workforce commutes. Task Force members explored ideas on linking employmen</w:t>
      </w:r>
      <w:r>
        <w:rPr>
          <w:bCs/>
          <w:sz w:val="22"/>
          <w:szCs w:val="22"/>
        </w:rPr>
        <w:t>t centers with workforce housing</w:t>
      </w:r>
      <w:r w:rsidRPr="00B80E35">
        <w:rPr>
          <w:bCs/>
          <w:sz w:val="22"/>
          <w:szCs w:val="22"/>
        </w:rPr>
        <w:t>, such as employer incentives</w:t>
      </w:r>
      <w:r w:rsidR="008046D5">
        <w:rPr>
          <w:bCs/>
          <w:sz w:val="22"/>
          <w:szCs w:val="22"/>
        </w:rPr>
        <w:t xml:space="preserve">, </w:t>
      </w:r>
      <w:r w:rsidRPr="00B80E35">
        <w:rPr>
          <w:bCs/>
          <w:sz w:val="22"/>
          <w:szCs w:val="22"/>
        </w:rPr>
        <w:t>business tax breaks</w:t>
      </w:r>
      <w:r w:rsidR="008046D5">
        <w:rPr>
          <w:bCs/>
          <w:sz w:val="22"/>
          <w:szCs w:val="22"/>
        </w:rPr>
        <w:t>,</w:t>
      </w:r>
      <w:r w:rsidRPr="00B80E35">
        <w:rPr>
          <w:bCs/>
          <w:sz w:val="22"/>
          <w:szCs w:val="22"/>
        </w:rPr>
        <w:t xml:space="preserve"> and discounted fees based on the percentage of employees living within a prescribed distance from work. Task Force members also discussed using housing proximity to employment centers and/or major transit nodes as the basis for prioritizing proposals submitted </w:t>
      </w:r>
      <w:r w:rsidR="008046D5">
        <w:rPr>
          <w:bCs/>
          <w:sz w:val="22"/>
          <w:szCs w:val="22"/>
        </w:rPr>
        <w:t>in response</w:t>
      </w:r>
      <w:r w:rsidRPr="00B80E35">
        <w:rPr>
          <w:bCs/>
          <w:sz w:val="22"/>
          <w:szCs w:val="22"/>
        </w:rPr>
        <w:t xml:space="preserve"> to a Notice of Funding Availability (NOFA).</w:t>
      </w:r>
    </w:p>
    <w:p w:rsidR="00E85291" w:rsidRPr="00E85291" w:rsidRDefault="00E85291" w:rsidP="001E6273">
      <w:pPr>
        <w:spacing w:after="200" w:line="23" w:lineRule="atLeast"/>
        <w:jc w:val="both"/>
        <w:rPr>
          <w:rFonts w:eastAsia="Calibri"/>
          <w:b/>
          <w:sz w:val="22"/>
          <w:szCs w:val="22"/>
          <w:u w:val="single"/>
        </w:rPr>
      </w:pPr>
      <w:r>
        <w:rPr>
          <w:rFonts w:eastAsia="Calibri"/>
          <w:b/>
          <w:sz w:val="22"/>
          <w:szCs w:val="22"/>
          <w:u w:val="single"/>
        </w:rPr>
        <w:t xml:space="preserve">Housing </w:t>
      </w:r>
      <w:r w:rsidR="003E1644" w:rsidRPr="00E85291">
        <w:rPr>
          <w:rFonts w:eastAsia="Calibri"/>
          <w:b/>
          <w:sz w:val="22"/>
          <w:szCs w:val="22"/>
          <w:u w:val="single"/>
        </w:rPr>
        <w:t>Fund</w:t>
      </w:r>
      <w:r>
        <w:rPr>
          <w:rFonts w:eastAsia="Calibri"/>
          <w:b/>
          <w:sz w:val="22"/>
          <w:szCs w:val="22"/>
          <w:u w:val="single"/>
        </w:rPr>
        <w:t>ing</w:t>
      </w:r>
      <w:r w:rsidR="00A37EEC" w:rsidRPr="00E85291">
        <w:rPr>
          <w:rFonts w:eastAsia="Calibri"/>
          <w:b/>
          <w:sz w:val="22"/>
          <w:szCs w:val="22"/>
          <w:u w:val="single"/>
        </w:rPr>
        <w:t xml:space="preserve"> </w:t>
      </w:r>
      <w:r w:rsidR="003E1644" w:rsidRPr="00E85291">
        <w:rPr>
          <w:rFonts w:eastAsia="Calibri"/>
          <w:b/>
          <w:sz w:val="22"/>
          <w:szCs w:val="22"/>
          <w:u w:val="single"/>
        </w:rPr>
        <w:t>Source</w:t>
      </w:r>
      <w:r>
        <w:rPr>
          <w:rFonts w:eastAsia="Calibri"/>
          <w:b/>
          <w:sz w:val="22"/>
          <w:szCs w:val="22"/>
          <w:u w:val="single"/>
        </w:rPr>
        <w:t>s</w:t>
      </w:r>
      <w:r w:rsidR="003E1644" w:rsidRPr="00E85291">
        <w:rPr>
          <w:rFonts w:eastAsia="Calibri"/>
          <w:b/>
          <w:sz w:val="22"/>
          <w:szCs w:val="22"/>
          <w:u w:val="single"/>
        </w:rPr>
        <w:t xml:space="preserve"> Subcommittee</w:t>
      </w:r>
    </w:p>
    <w:p w:rsidR="00D413F4" w:rsidRPr="00D413F4" w:rsidRDefault="00D413F4" w:rsidP="00B5443E">
      <w:pPr>
        <w:spacing w:after="200" w:line="276" w:lineRule="auto"/>
        <w:jc w:val="both"/>
        <w:rPr>
          <w:rFonts w:eastAsia="Calibri"/>
          <w:b/>
          <w:sz w:val="22"/>
          <w:szCs w:val="22"/>
        </w:rPr>
      </w:pPr>
      <w:r>
        <w:rPr>
          <w:rFonts w:eastAsia="Calibri"/>
          <w:sz w:val="22"/>
          <w:szCs w:val="22"/>
        </w:rPr>
        <w:t>T</w:t>
      </w:r>
      <w:r w:rsidR="003E1644" w:rsidRPr="00E25E6D">
        <w:rPr>
          <w:rFonts w:eastAsia="Calibri"/>
          <w:sz w:val="22"/>
          <w:szCs w:val="22"/>
        </w:rPr>
        <w:t>his breakout g</w:t>
      </w:r>
      <w:r>
        <w:rPr>
          <w:rFonts w:eastAsia="Calibri"/>
          <w:sz w:val="22"/>
          <w:szCs w:val="22"/>
        </w:rPr>
        <w:t>roup explored</w:t>
      </w:r>
      <w:r w:rsidRPr="00D413F4">
        <w:rPr>
          <w:rFonts w:eastAsia="Calibri"/>
          <w:sz w:val="22"/>
          <w:szCs w:val="22"/>
        </w:rPr>
        <w:t xml:space="preserve"> </w:t>
      </w:r>
      <w:r>
        <w:rPr>
          <w:rFonts w:eastAsia="Calibri"/>
          <w:sz w:val="22"/>
          <w:szCs w:val="22"/>
        </w:rPr>
        <w:t xml:space="preserve">the challenge of </w:t>
      </w:r>
      <w:r w:rsidRPr="00E25E6D">
        <w:rPr>
          <w:rFonts w:eastAsia="Calibri"/>
          <w:sz w:val="22"/>
          <w:szCs w:val="22"/>
        </w:rPr>
        <w:t>creatin</w:t>
      </w:r>
      <w:r>
        <w:rPr>
          <w:rFonts w:eastAsia="Calibri"/>
          <w:sz w:val="22"/>
          <w:szCs w:val="22"/>
        </w:rPr>
        <w:t>g affordable housing funding</w:t>
      </w:r>
      <w:r w:rsidRPr="00E25E6D">
        <w:rPr>
          <w:rFonts w:eastAsia="Calibri"/>
          <w:sz w:val="22"/>
          <w:szCs w:val="22"/>
        </w:rPr>
        <w:t xml:space="preserve"> strategies in a resource-constrained environment and highlighted both current funding programs a</w:t>
      </w:r>
      <w:r>
        <w:rPr>
          <w:rFonts w:eastAsia="Calibri"/>
          <w:sz w:val="22"/>
          <w:szCs w:val="22"/>
        </w:rPr>
        <w:t>nd new funding initiatives for</w:t>
      </w:r>
      <w:r w:rsidRPr="00E25E6D">
        <w:rPr>
          <w:rFonts w:eastAsia="Calibri"/>
          <w:sz w:val="22"/>
          <w:szCs w:val="22"/>
        </w:rPr>
        <w:t xml:space="preserve"> consideration.</w:t>
      </w:r>
      <w:r>
        <w:rPr>
          <w:rFonts w:eastAsia="Calibri"/>
          <w:sz w:val="22"/>
          <w:szCs w:val="22"/>
        </w:rPr>
        <w:t xml:space="preserve"> Some new revenue streams raised by this group include </w:t>
      </w:r>
      <w:r w:rsidR="009A3EBD">
        <w:rPr>
          <w:rFonts w:eastAsia="Calibri"/>
          <w:sz w:val="22"/>
          <w:szCs w:val="22"/>
        </w:rPr>
        <w:t>taxing entities</w:t>
      </w:r>
      <w:r w:rsidR="00450000">
        <w:rPr>
          <w:rFonts w:eastAsia="Calibri"/>
          <w:sz w:val="22"/>
          <w:szCs w:val="22"/>
        </w:rPr>
        <w:t xml:space="preserve"> receiv</w:t>
      </w:r>
      <w:r w:rsidR="009A3EBD">
        <w:rPr>
          <w:rFonts w:eastAsia="Calibri"/>
          <w:sz w:val="22"/>
          <w:szCs w:val="22"/>
        </w:rPr>
        <w:t>ing</w:t>
      </w:r>
      <w:r w:rsidR="00450000">
        <w:rPr>
          <w:rFonts w:eastAsia="Calibri"/>
          <w:sz w:val="22"/>
          <w:szCs w:val="22"/>
        </w:rPr>
        <w:t xml:space="preserve"> funding previously allocated</w:t>
      </w:r>
      <w:r>
        <w:rPr>
          <w:rFonts w:eastAsia="Calibri"/>
          <w:sz w:val="22"/>
          <w:szCs w:val="22"/>
        </w:rPr>
        <w:t xml:space="preserve"> </w:t>
      </w:r>
      <w:r w:rsidR="00CA0D98">
        <w:rPr>
          <w:rFonts w:eastAsia="Calibri"/>
          <w:sz w:val="22"/>
          <w:szCs w:val="22"/>
        </w:rPr>
        <w:t>to the City of Napa Redevelopment Agency (e.g., by the City of Napa and Napa County) setting aside 20% of the former tax increment for affordable housing</w:t>
      </w:r>
      <w:r>
        <w:rPr>
          <w:rFonts w:eastAsia="Calibri"/>
          <w:sz w:val="22"/>
          <w:szCs w:val="22"/>
        </w:rPr>
        <w:t>, increas</w:t>
      </w:r>
      <w:r w:rsidR="00CA0D98">
        <w:rPr>
          <w:rFonts w:eastAsia="Calibri"/>
          <w:sz w:val="22"/>
          <w:szCs w:val="22"/>
        </w:rPr>
        <w:t>ing</w:t>
      </w:r>
      <w:r>
        <w:rPr>
          <w:rFonts w:eastAsia="Calibri"/>
          <w:sz w:val="22"/>
          <w:szCs w:val="22"/>
        </w:rPr>
        <w:t xml:space="preserve"> property transfer tax and recording f</w:t>
      </w:r>
      <w:r w:rsidR="003E1644" w:rsidRPr="00E25E6D">
        <w:rPr>
          <w:rFonts w:eastAsia="Calibri"/>
          <w:sz w:val="22"/>
          <w:szCs w:val="22"/>
        </w:rPr>
        <w:t>ee</w:t>
      </w:r>
      <w:r>
        <w:rPr>
          <w:rFonts w:eastAsia="Calibri"/>
          <w:sz w:val="22"/>
          <w:szCs w:val="22"/>
        </w:rPr>
        <w:t xml:space="preserve">s, </w:t>
      </w:r>
      <w:r w:rsidR="00CA0D98">
        <w:rPr>
          <w:rFonts w:eastAsia="Calibri"/>
          <w:sz w:val="22"/>
          <w:szCs w:val="22"/>
        </w:rPr>
        <w:t xml:space="preserve">increasing </w:t>
      </w:r>
      <w:r>
        <w:rPr>
          <w:rFonts w:eastAsia="Calibri"/>
          <w:sz w:val="22"/>
          <w:szCs w:val="22"/>
        </w:rPr>
        <w:t xml:space="preserve">residential and commercial development impact fees, </w:t>
      </w:r>
      <w:r w:rsidR="0052289D">
        <w:rPr>
          <w:rFonts w:eastAsia="Calibri"/>
          <w:sz w:val="22"/>
          <w:szCs w:val="22"/>
        </w:rPr>
        <w:t>redirecting funding from Transient Occupancy Taxes</w:t>
      </w:r>
      <w:r w:rsidR="00DB030C">
        <w:rPr>
          <w:rFonts w:eastAsia="Calibri"/>
          <w:sz w:val="22"/>
          <w:szCs w:val="22"/>
        </w:rPr>
        <w:t>,</w:t>
      </w:r>
      <w:r w:rsidR="0052289D">
        <w:rPr>
          <w:rFonts w:eastAsia="Calibri"/>
          <w:sz w:val="22"/>
          <w:szCs w:val="22"/>
        </w:rPr>
        <w:t xml:space="preserve"> </w:t>
      </w:r>
      <w:r>
        <w:rPr>
          <w:rFonts w:eastAsia="Calibri"/>
          <w:sz w:val="22"/>
          <w:szCs w:val="22"/>
        </w:rPr>
        <w:t xml:space="preserve">and </w:t>
      </w:r>
      <w:r w:rsidR="00CA0D98">
        <w:rPr>
          <w:rFonts w:eastAsia="Calibri"/>
          <w:sz w:val="22"/>
          <w:szCs w:val="22"/>
        </w:rPr>
        <w:t xml:space="preserve">creating </w:t>
      </w:r>
      <w:r w:rsidR="003E1644" w:rsidRPr="00E25E6D">
        <w:rPr>
          <w:rFonts w:eastAsia="Calibri"/>
          <w:sz w:val="22"/>
          <w:szCs w:val="22"/>
        </w:rPr>
        <w:t xml:space="preserve">funding from </w:t>
      </w:r>
      <w:r w:rsidR="00CA0D98">
        <w:rPr>
          <w:rFonts w:eastAsia="Calibri"/>
          <w:sz w:val="22"/>
          <w:szCs w:val="22"/>
        </w:rPr>
        <w:t xml:space="preserve">large employers such as </w:t>
      </w:r>
      <w:r w:rsidR="003E1644" w:rsidRPr="00E25E6D">
        <w:rPr>
          <w:rFonts w:eastAsia="Calibri"/>
          <w:sz w:val="22"/>
          <w:szCs w:val="22"/>
        </w:rPr>
        <w:t>wineries.</w:t>
      </w:r>
    </w:p>
    <w:p w:rsidR="003E1644" w:rsidRDefault="001E6273" w:rsidP="00B5443E">
      <w:pPr>
        <w:spacing w:after="200" w:line="276" w:lineRule="auto"/>
        <w:jc w:val="both"/>
        <w:rPr>
          <w:rFonts w:eastAsia="Calibri"/>
          <w:sz w:val="22"/>
          <w:szCs w:val="22"/>
        </w:rPr>
      </w:pPr>
      <w:r>
        <w:rPr>
          <w:rFonts w:eastAsia="Calibri"/>
          <w:sz w:val="22"/>
          <w:szCs w:val="22"/>
        </w:rPr>
        <w:t>Upon the subcommittee’s presentation of</w:t>
      </w:r>
      <w:r w:rsidR="00D413F4">
        <w:rPr>
          <w:rFonts w:eastAsia="Calibri"/>
          <w:sz w:val="22"/>
          <w:szCs w:val="22"/>
        </w:rPr>
        <w:t xml:space="preserve"> financing ideas to the</w:t>
      </w:r>
      <w:r w:rsidR="0011649E">
        <w:rPr>
          <w:rFonts w:eastAsia="Calibri"/>
          <w:sz w:val="22"/>
          <w:szCs w:val="22"/>
        </w:rPr>
        <w:t xml:space="preserve"> </w:t>
      </w:r>
      <w:r w:rsidR="003C3AFE" w:rsidRPr="00E25E6D">
        <w:rPr>
          <w:rFonts w:eastAsia="Calibri"/>
          <w:sz w:val="22"/>
          <w:szCs w:val="22"/>
        </w:rPr>
        <w:t>Task Force</w:t>
      </w:r>
      <w:r w:rsidR="00D413F4">
        <w:rPr>
          <w:rFonts w:eastAsia="Calibri"/>
          <w:sz w:val="22"/>
          <w:szCs w:val="22"/>
        </w:rPr>
        <w:t xml:space="preserve">, </w:t>
      </w:r>
      <w:r w:rsidR="00CA0D98">
        <w:rPr>
          <w:rFonts w:eastAsia="Calibri"/>
          <w:sz w:val="22"/>
          <w:szCs w:val="22"/>
        </w:rPr>
        <w:t xml:space="preserve">City </w:t>
      </w:r>
      <w:r>
        <w:rPr>
          <w:rFonts w:eastAsia="Calibri"/>
          <w:sz w:val="22"/>
          <w:szCs w:val="22"/>
        </w:rPr>
        <w:t xml:space="preserve">and </w:t>
      </w:r>
      <w:r w:rsidR="00CA0D98">
        <w:rPr>
          <w:rFonts w:eastAsia="Calibri"/>
          <w:sz w:val="22"/>
          <w:szCs w:val="22"/>
        </w:rPr>
        <w:t xml:space="preserve">County </w:t>
      </w:r>
      <w:r>
        <w:rPr>
          <w:rFonts w:eastAsia="Calibri"/>
          <w:sz w:val="22"/>
          <w:szCs w:val="22"/>
        </w:rPr>
        <w:t xml:space="preserve">staff prepared a chart that illustrated the projected amounts of potential new revenue </w:t>
      </w:r>
      <w:r w:rsidR="001F66C2">
        <w:rPr>
          <w:rFonts w:eastAsia="Calibri"/>
          <w:sz w:val="22"/>
          <w:szCs w:val="22"/>
        </w:rPr>
        <w:t>(</w:t>
      </w:r>
      <w:r w:rsidR="001F66C2" w:rsidRPr="006661AB">
        <w:rPr>
          <w:rFonts w:eastAsia="Calibri"/>
          <w:sz w:val="22"/>
          <w:szCs w:val="22"/>
        </w:rPr>
        <w:t xml:space="preserve">Exhibit </w:t>
      </w:r>
      <w:r w:rsidR="006661AB" w:rsidRPr="006661AB">
        <w:rPr>
          <w:rFonts w:eastAsia="Calibri"/>
          <w:sz w:val="22"/>
          <w:szCs w:val="22"/>
        </w:rPr>
        <w:t>E</w:t>
      </w:r>
      <w:r w:rsidR="001F66C2">
        <w:rPr>
          <w:rFonts w:eastAsia="Calibri"/>
          <w:sz w:val="22"/>
          <w:szCs w:val="22"/>
        </w:rPr>
        <w:t xml:space="preserve">) </w:t>
      </w:r>
      <w:r>
        <w:rPr>
          <w:rFonts w:eastAsia="Calibri"/>
          <w:sz w:val="22"/>
          <w:szCs w:val="22"/>
        </w:rPr>
        <w:t xml:space="preserve">that might be generated from each proposed source along with an explanation of any required local administrative, </w:t>
      </w:r>
      <w:r w:rsidR="005E136E">
        <w:rPr>
          <w:rFonts w:eastAsia="Calibri"/>
          <w:sz w:val="22"/>
          <w:szCs w:val="22"/>
        </w:rPr>
        <w:t>State</w:t>
      </w:r>
      <w:r>
        <w:rPr>
          <w:rFonts w:eastAsia="Calibri"/>
          <w:sz w:val="22"/>
          <w:szCs w:val="22"/>
        </w:rPr>
        <w:t xml:space="preserve"> legislative and local ballot box approvals. In finalizing its proposed new affordable housing funding sources, the Task Force considered revenue impact</w:t>
      </w:r>
      <w:r w:rsidR="00CD3EAE">
        <w:rPr>
          <w:rFonts w:eastAsia="Calibri"/>
          <w:sz w:val="22"/>
          <w:szCs w:val="22"/>
        </w:rPr>
        <w:t>s</w:t>
      </w:r>
      <w:r>
        <w:rPr>
          <w:rFonts w:eastAsia="Calibri"/>
          <w:sz w:val="22"/>
          <w:szCs w:val="22"/>
        </w:rPr>
        <w:t>, required approvals</w:t>
      </w:r>
      <w:r w:rsidR="00CD3EAE">
        <w:rPr>
          <w:rFonts w:eastAsia="Calibri"/>
          <w:sz w:val="22"/>
          <w:szCs w:val="22"/>
        </w:rPr>
        <w:t xml:space="preserve"> and their likelihood of success</w:t>
      </w:r>
      <w:r>
        <w:rPr>
          <w:rFonts w:eastAsia="Calibri"/>
          <w:sz w:val="22"/>
          <w:szCs w:val="22"/>
        </w:rPr>
        <w:t xml:space="preserve">, and spreading responsibility </w:t>
      </w:r>
      <w:r w:rsidR="009A3EBD">
        <w:rPr>
          <w:rFonts w:eastAsia="Calibri"/>
          <w:sz w:val="22"/>
          <w:szCs w:val="22"/>
        </w:rPr>
        <w:t xml:space="preserve">for funding affordable housing </w:t>
      </w:r>
      <w:r>
        <w:rPr>
          <w:rFonts w:eastAsia="Calibri"/>
          <w:sz w:val="22"/>
          <w:szCs w:val="22"/>
        </w:rPr>
        <w:t>across the diversity of Napa’s economic sector.</w:t>
      </w:r>
    </w:p>
    <w:p w:rsidR="007C04E1" w:rsidRPr="00871603" w:rsidRDefault="0088654A" w:rsidP="00D603BB">
      <w:pPr>
        <w:spacing w:after="200" w:line="276" w:lineRule="auto"/>
        <w:jc w:val="both"/>
        <w:rPr>
          <w:rFonts w:eastAsia="Calibri"/>
          <w:sz w:val="22"/>
          <w:szCs w:val="22"/>
        </w:rPr>
      </w:pPr>
      <w:r>
        <w:rPr>
          <w:rFonts w:eastAsia="Calibri"/>
          <w:sz w:val="22"/>
          <w:szCs w:val="22"/>
        </w:rPr>
        <w:t>The subcommittee</w:t>
      </w:r>
      <w:r w:rsidR="007C04E1">
        <w:rPr>
          <w:rFonts w:eastAsia="Calibri"/>
          <w:sz w:val="22"/>
          <w:szCs w:val="22"/>
        </w:rPr>
        <w:t xml:space="preserve"> also discussed</w:t>
      </w:r>
      <w:r w:rsidR="007C04E1" w:rsidRPr="00871603">
        <w:rPr>
          <w:rFonts w:eastAsia="Calibri"/>
          <w:sz w:val="22"/>
          <w:szCs w:val="22"/>
        </w:rPr>
        <w:t xml:space="preserve"> </w:t>
      </w:r>
      <w:r w:rsidR="007C04E1">
        <w:rPr>
          <w:rFonts w:eastAsia="Calibri"/>
          <w:sz w:val="22"/>
          <w:szCs w:val="22"/>
        </w:rPr>
        <w:t>the benefits of a countywide</w:t>
      </w:r>
      <w:r w:rsidR="007C04E1" w:rsidRPr="00871603">
        <w:rPr>
          <w:rFonts w:eastAsia="Calibri"/>
          <w:sz w:val="22"/>
          <w:szCs w:val="22"/>
        </w:rPr>
        <w:t xml:space="preserve"> Article 34 election. </w:t>
      </w:r>
      <w:r w:rsidR="00B569A7" w:rsidRPr="00C43FAF">
        <w:rPr>
          <w:bCs/>
          <w:sz w:val="22"/>
          <w:szCs w:val="22"/>
        </w:rPr>
        <w:t xml:space="preserve">Article 34 is a public housing project law that </w:t>
      </w:r>
      <w:r w:rsidR="00B569A7" w:rsidRPr="00C43FAF">
        <w:rPr>
          <w:rFonts w:ascii="Times" w:hAnsi="Times" w:cs="Times"/>
          <w:color w:val="000000"/>
          <w:sz w:val="22"/>
          <w:szCs w:val="22"/>
        </w:rPr>
        <w:t xml:space="preserve">requires voter approval be obtained before any </w:t>
      </w:r>
      <w:r w:rsidR="00CD3EAE">
        <w:rPr>
          <w:rFonts w:ascii="Times" w:hAnsi="Times" w:cs="Times"/>
          <w:color w:val="000000"/>
          <w:sz w:val="22"/>
          <w:szCs w:val="22"/>
        </w:rPr>
        <w:t>agency</w:t>
      </w:r>
      <w:r w:rsidR="00B569A7" w:rsidRPr="00C43FAF">
        <w:rPr>
          <w:rFonts w:ascii="Times" w:hAnsi="Times" w:cs="Times"/>
          <w:color w:val="000000"/>
          <w:sz w:val="22"/>
          <w:szCs w:val="22"/>
        </w:rPr>
        <w:t xml:space="preserve"> develops, constructs or acquires a low rent housing project</w:t>
      </w:r>
      <w:r w:rsidR="00B569A7" w:rsidRPr="0099428A">
        <w:rPr>
          <w:sz w:val="20"/>
          <w:vertAlign w:val="superscript"/>
        </w:rPr>
        <w:footnoteReference w:id="3"/>
      </w:r>
      <w:r w:rsidR="00B569A7">
        <w:rPr>
          <w:rFonts w:ascii="Times" w:hAnsi="Times" w:cs="Times"/>
          <w:color w:val="000000"/>
          <w:sz w:val="22"/>
          <w:szCs w:val="22"/>
        </w:rPr>
        <w:t xml:space="preserve">. </w:t>
      </w:r>
      <w:r w:rsidR="007C04E1" w:rsidRPr="00871603">
        <w:rPr>
          <w:rFonts w:eastAsia="Calibri"/>
          <w:sz w:val="22"/>
          <w:szCs w:val="22"/>
        </w:rPr>
        <w:t>Background on Article 34 wa</w:t>
      </w:r>
      <w:r>
        <w:rPr>
          <w:rFonts w:eastAsia="Calibri"/>
          <w:sz w:val="22"/>
          <w:szCs w:val="22"/>
        </w:rPr>
        <w:t>s given</w:t>
      </w:r>
      <w:r w:rsidR="00BE7D2C">
        <w:rPr>
          <w:rFonts w:eastAsia="Calibri"/>
          <w:sz w:val="22"/>
          <w:szCs w:val="22"/>
        </w:rPr>
        <w:t xml:space="preserve"> including</w:t>
      </w:r>
      <w:r>
        <w:rPr>
          <w:rFonts w:eastAsia="Calibri"/>
          <w:sz w:val="22"/>
          <w:szCs w:val="22"/>
        </w:rPr>
        <w:t xml:space="preserve"> a review of</w:t>
      </w:r>
      <w:r w:rsidR="007C04E1" w:rsidRPr="00871603">
        <w:rPr>
          <w:rFonts w:eastAsia="Calibri"/>
          <w:sz w:val="22"/>
          <w:szCs w:val="22"/>
        </w:rPr>
        <w:t xml:space="preserve"> Sonoma County’s Article 34 authority</w:t>
      </w:r>
      <w:r w:rsidR="00BE7D2C">
        <w:rPr>
          <w:rFonts w:eastAsia="Calibri"/>
          <w:sz w:val="22"/>
          <w:szCs w:val="22"/>
        </w:rPr>
        <w:t xml:space="preserve"> and an estimate of costs associated with</w:t>
      </w:r>
      <w:r w:rsidR="007C04E1">
        <w:rPr>
          <w:rFonts w:eastAsia="Calibri"/>
          <w:sz w:val="22"/>
          <w:szCs w:val="22"/>
        </w:rPr>
        <w:t xml:space="preserve"> a special election</w:t>
      </w:r>
      <w:r w:rsidR="00BE7D2C">
        <w:rPr>
          <w:rFonts w:eastAsia="Calibri"/>
          <w:sz w:val="22"/>
          <w:szCs w:val="22"/>
        </w:rPr>
        <w:t xml:space="preserve"> in Napa County if this was pursued</w:t>
      </w:r>
      <w:r w:rsidR="007C04E1">
        <w:rPr>
          <w:rFonts w:eastAsia="Calibri"/>
          <w:sz w:val="22"/>
          <w:szCs w:val="22"/>
        </w:rPr>
        <w:t>.</w:t>
      </w:r>
    </w:p>
    <w:p w:rsidR="00E85291" w:rsidRPr="00E85291" w:rsidRDefault="003E1644" w:rsidP="00CE1602">
      <w:pPr>
        <w:spacing w:after="200" w:line="276" w:lineRule="auto"/>
        <w:contextualSpacing/>
        <w:jc w:val="both"/>
        <w:rPr>
          <w:rFonts w:eastAsia="Calibri"/>
          <w:b/>
          <w:sz w:val="22"/>
          <w:szCs w:val="22"/>
          <w:u w:val="single"/>
        </w:rPr>
      </w:pPr>
      <w:r w:rsidRPr="00E85291">
        <w:rPr>
          <w:rFonts w:eastAsia="Calibri"/>
          <w:b/>
          <w:sz w:val="22"/>
          <w:szCs w:val="22"/>
          <w:u w:val="single"/>
        </w:rPr>
        <w:t>Improving Efficiencies/Cost of Housing Subcommittee</w:t>
      </w:r>
    </w:p>
    <w:p w:rsidR="00E85291" w:rsidRDefault="00E85291" w:rsidP="00CE1602">
      <w:pPr>
        <w:spacing w:after="200" w:line="276" w:lineRule="auto"/>
        <w:contextualSpacing/>
        <w:jc w:val="both"/>
        <w:rPr>
          <w:rFonts w:eastAsia="Calibri"/>
          <w:b/>
          <w:sz w:val="22"/>
          <w:szCs w:val="22"/>
        </w:rPr>
      </w:pPr>
    </w:p>
    <w:p w:rsidR="00954145" w:rsidRDefault="00871603" w:rsidP="00CE1602">
      <w:pPr>
        <w:spacing w:after="200" w:line="276" w:lineRule="auto"/>
        <w:contextualSpacing/>
        <w:jc w:val="both"/>
        <w:rPr>
          <w:rFonts w:eastAsia="Calibri"/>
          <w:sz w:val="22"/>
          <w:szCs w:val="22"/>
        </w:rPr>
      </w:pPr>
      <w:r>
        <w:rPr>
          <w:rFonts w:eastAsia="Calibri"/>
          <w:sz w:val="22"/>
          <w:szCs w:val="22"/>
        </w:rPr>
        <w:t>T</w:t>
      </w:r>
      <w:r w:rsidR="003E1644" w:rsidRPr="00E25E6D">
        <w:rPr>
          <w:rFonts w:eastAsia="Calibri"/>
          <w:sz w:val="22"/>
          <w:szCs w:val="22"/>
        </w:rPr>
        <w:t>his breakout group</w:t>
      </w:r>
      <w:r>
        <w:rPr>
          <w:rFonts w:eastAsia="Calibri"/>
          <w:sz w:val="22"/>
          <w:szCs w:val="22"/>
        </w:rPr>
        <w:t xml:space="preserve"> develop</w:t>
      </w:r>
      <w:r w:rsidR="00BE7D2C">
        <w:rPr>
          <w:rFonts w:eastAsia="Calibri"/>
          <w:sz w:val="22"/>
          <w:szCs w:val="22"/>
        </w:rPr>
        <w:t>ed</w:t>
      </w:r>
      <w:r>
        <w:rPr>
          <w:rFonts w:eastAsia="Calibri"/>
          <w:sz w:val="22"/>
          <w:szCs w:val="22"/>
        </w:rPr>
        <w:t xml:space="preserve"> ideas that would facilitate housing development through </w:t>
      </w:r>
      <w:r w:rsidR="007F5669">
        <w:rPr>
          <w:rFonts w:eastAsia="Calibri"/>
          <w:sz w:val="22"/>
          <w:szCs w:val="22"/>
        </w:rPr>
        <w:t xml:space="preserve">cost </w:t>
      </w:r>
      <w:r>
        <w:rPr>
          <w:rFonts w:eastAsia="Calibri"/>
          <w:sz w:val="22"/>
          <w:szCs w:val="22"/>
        </w:rPr>
        <w:t xml:space="preserve">efficiencies and </w:t>
      </w:r>
      <w:r w:rsidR="00D87B3C">
        <w:rPr>
          <w:rFonts w:eastAsia="Calibri"/>
          <w:sz w:val="22"/>
          <w:szCs w:val="22"/>
        </w:rPr>
        <w:t>effective land use</w:t>
      </w:r>
      <w:r>
        <w:rPr>
          <w:rFonts w:eastAsia="Calibri"/>
          <w:sz w:val="22"/>
          <w:szCs w:val="22"/>
        </w:rPr>
        <w:t xml:space="preserve"> poli</w:t>
      </w:r>
      <w:r w:rsidR="00D87B3C">
        <w:rPr>
          <w:rFonts w:eastAsia="Calibri"/>
          <w:sz w:val="22"/>
          <w:szCs w:val="22"/>
        </w:rPr>
        <w:t xml:space="preserve">cies. </w:t>
      </w:r>
      <w:r>
        <w:rPr>
          <w:bCs/>
          <w:sz w:val="22"/>
          <w:szCs w:val="22"/>
        </w:rPr>
        <w:t>To aid</w:t>
      </w:r>
      <w:r w:rsidRPr="00871603">
        <w:rPr>
          <w:bCs/>
          <w:sz w:val="22"/>
          <w:szCs w:val="22"/>
        </w:rPr>
        <w:t xml:space="preserve"> discussion, </w:t>
      </w:r>
      <w:r w:rsidR="00BE7D2C">
        <w:rPr>
          <w:bCs/>
          <w:sz w:val="22"/>
          <w:szCs w:val="22"/>
        </w:rPr>
        <w:t>C</w:t>
      </w:r>
      <w:r w:rsidR="00BE7D2C" w:rsidRPr="00871603">
        <w:rPr>
          <w:bCs/>
          <w:sz w:val="22"/>
          <w:szCs w:val="22"/>
        </w:rPr>
        <w:t xml:space="preserve">ity </w:t>
      </w:r>
      <w:r w:rsidRPr="00871603">
        <w:rPr>
          <w:bCs/>
          <w:sz w:val="22"/>
          <w:szCs w:val="22"/>
        </w:rPr>
        <w:t xml:space="preserve">and </w:t>
      </w:r>
      <w:r w:rsidR="00BE7D2C">
        <w:rPr>
          <w:bCs/>
          <w:sz w:val="22"/>
          <w:szCs w:val="22"/>
        </w:rPr>
        <w:t>C</w:t>
      </w:r>
      <w:r w:rsidR="00BE7D2C" w:rsidRPr="00871603">
        <w:rPr>
          <w:bCs/>
          <w:sz w:val="22"/>
          <w:szCs w:val="22"/>
        </w:rPr>
        <w:t xml:space="preserve">ounty </w:t>
      </w:r>
      <w:r w:rsidRPr="00871603">
        <w:rPr>
          <w:bCs/>
          <w:sz w:val="22"/>
          <w:szCs w:val="22"/>
        </w:rPr>
        <w:t>staff developed a matrix</w:t>
      </w:r>
      <w:r w:rsidR="00E85291">
        <w:rPr>
          <w:bCs/>
          <w:sz w:val="22"/>
          <w:szCs w:val="22"/>
        </w:rPr>
        <w:t xml:space="preserve"> of </w:t>
      </w:r>
      <w:r w:rsidRPr="00871603">
        <w:rPr>
          <w:bCs/>
          <w:sz w:val="22"/>
          <w:szCs w:val="22"/>
        </w:rPr>
        <w:t>non-m</w:t>
      </w:r>
      <w:r w:rsidR="00D87B3C">
        <w:rPr>
          <w:bCs/>
          <w:sz w:val="22"/>
          <w:szCs w:val="22"/>
        </w:rPr>
        <w:t>onetary strategies</w:t>
      </w:r>
      <w:r w:rsidR="001F66C2">
        <w:rPr>
          <w:bCs/>
          <w:sz w:val="22"/>
          <w:szCs w:val="22"/>
        </w:rPr>
        <w:t xml:space="preserve"> (</w:t>
      </w:r>
      <w:r w:rsidR="001F66C2" w:rsidRPr="006661AB">
        <w:rPr>
          <w:bCs/>
          <w:sz w:val="22"/>
          <w:szCs w:val="22"/>
        </w:rPr>
        <w:t xml:space="preserve">Exhibit </w:t>
      </w:r>
      <w:r w:rsidR="006661AB" w:rsidRPr="006661AB">
        <w:rPr>
          <w:bCs/>
          <w:sz w:val="22"/>
          <w:szCs w:val="22"/>
        </w:rPr>
        <w:t>C</w:t>
      </w:r>
      <w:r w:rsidR="001F66C2">
        <w:rPr>
          <w:bCs/>
          <w:sz w:val="22"/>
          <w:szCs w:val="22"/>
        </w:rPr>
        <w:t>)</w:t>
      </w:r>
      <w:r w:rsidR="00D87B3C">
        <w:rPr>
          <w:bCs/>
          <w:sz w:val="22"/>
          <w:szCs w:val="22"/>
        </w:rPr>
        <w:t>. This matrix also indicated the strategies</w:t>
      </w:r>
      <w:r w:rsidRPr="00871603">
        <w:rPr>
          <w:bCs/>
          <w:sz w:val="22"/>
          <w:szCs w:val="22"/>
        </w:rPr>
        <w:t xml:space="preserve"> currently adopted by the County </w:t>
      </w:r>
      <w:r w:rsidRPr="00871603">
        <w:rPr>
          <w:bCs/>
          <w:sz w:val="22"/>
          <w:szCs w:val="22"/>
        </w:rPr>
        <w:lastRenderedPageBreak/>
        <w:t>of Napa, the City of Napa, and the City</w:t>
      </w:r>
      <w:r w:rsidR="007C04E1">
        <w:rPr>
          <w:bCs/>
          <w:sz w:val="22"/>
          <w:szCs w:val="22"/>
        </w:rPr>
        <w:t xml:space="preserve"> of American Canyon.</w:t>
      </w:r>
      <w:r w:rsidR="00D87B3C">
        <w:rPr>
          <w:bCs/>
          <w:sz w:val="22"/>
          <w:szCs w:val="22"/>
        </w:rPr>
        <w:t xml:space="preserve"> </w:t>
      </w:r>
      <w:r w:rsidR="00BE7D2C">
        <w:rPr>
          <w:bCs/>
          <w:sz w:val="22"/>
          <w:szCs w:val="22"/>
        </w:rPr>
        <w:t>The f</w:t>
      </w:r>
      <w:r w:rsidR="00D87B3C">
        <w:rPr>
          <w:bCs/>
          <w:sz w:val="22"/>
          <w:szCs w:val="22"/>
        </w:rPr>
        <w:t>ollowing are a few ideas generated by this subcommittee:</w:t>
      </w:r>
    </w:p>
    <w:p w:rsidR="007F5669" w:rsidRPr="00CE1602" w:rsidRDefault="00ED5605" w:rsidP="004C794B">
      <w:pPr>
        <w:pStyle w:val="ListParagraph"/>
        <w:numPr>
          <w:ilvl w:val="0"/>
          <w:numId w:val="26"/>
        </w:numPr>
        <w:spacing w:line="276" w:lineRule="auto"/>
        <w:ind w:left="547" w:right="360"/>
        <w:jc w:val="both"/>
        <w:rPr>
          <w:rFonts w:eastAsia="Calibri"/>
        </w:rPr>
      </w:pPr>
      <w:r w:rsidRPr="00CE1602">
        <w:rPr>
          <w:b/>
          <w:bCs/>
        </w:rPr>
        <w:t>Density</w:t>
      </w:r>
      <w:r w:rsidR="00DF481B" w:rsidRPr="00CE1602">
        <w:rPr>
          <w:b/>
          <w:bCs/>
        </w:rPr>
        <w:t>.</w:t>
      </w:r>
      <w:r w:rsidR="0003040E">
        <w:rPr>
          <w:bCs/>
        </w:rPr>
        <w:t xml:space="preserve"> </w:t>
      </w:r>
      <w:r w:rsidRPr="00CE1602">
        <w:rPr>
          <w:bCs/>
        </w:rPr>
        <w:t xml:space="preserve">Density is often a key driver for project feasibility while also enabling municipalities to attain </w:t>
      </w:r>
      <w:r w:rsidR="00BE7D2C">
        <w:rPr>
          <w:bCs/>
        </w:rPr>
        <w:t>Regional Housing Needs Assessment (“</w:t>
      </w:r>
      <w:r w:rsidRPr="00CE1602">
        <w:rPr>
          <w:bCs/>
        </w:rPr>
        <w:t>RHNA</w:t>
      </w:r>
      <w:r w:rsidR="00BE7D2C">
        <w:rPr>
          <w:bCs/>
        </w:rPr>
        <w:t>”)</w:t>
      </w:r>
      <w:r w:rsidRPr="00CE1602">
        <w:rPr>
          <w:bCs/>
        </w:rPr>
        <w:t xml:space="preserve"> development goals. City and County staff presented information regarding current density provisions for affordable housing</w:t>
      </w:r>
      <w:r w:rsidR="00143A4C">
        <w:rPr>
          <w:bCs/>
        </w:rPr>
        <w:t>, including density bonuses,</w:t>
      </w:r>
      <w:r w:rsidRPr="00CE1602">
        <w:rPr>
          <w:bCs/>
        </w:rPr>
        <w:t xml:space="preserve"> in their respective jurisdictions.</w:t>
      </w:r>
      <w:r w:rsidR="00CE1602">
        <w:rPr>
          <w:bCs/>
        </w:rPr>
        <w:t xml:space="preserve"> </w:t>
      </w:r>
      <w:r w:rsidR="00D87B3C">
        <w:rPr>
          <w:bCs/>
        </w:rPr>
        <w:t>Additionally, the subcommittee</w:t>
      </w:r>
      <w:r w:rsidR="00CE1602" w:rsidRPr="007F5669">
        <w:rPr>
          <w:bCs/>
        </w:rPr>
        <w:t xml:space="preserve"> considered the need to </w:t>
      </w:r>
      <w:r w:rsidR="00BE7D2C">
        <w:rPr>
          <w:bCs/>
        </w:rPr>
        <w:t>develop policies encouraging developers to construct housing</w:t>
      </w:r>
      <w:r w:rsidR="00CE1602" w:rsidRPr="007F5669">
        <w:rPr>
          <w:bCs/>
        </w:rPr>
        <w:t xml:space="preserve"> at the higher end of the density range.</w:t>
      </w:r>
    </w:p>
    <w:p w:rsidR="00CE1602" w:rsidRPr="00CE1602" w:rsidRDefault="00ED5605" w:rsidP="004C794B">
      <w:pPr>
        <w:pStyle w:val="ListParagraph"/>
        <w:numPr>
          <w:ilvl w:val="0"/>
          <w:numId w:val="26"/>
        </w:numPr>
        <w:spacing w:line="276" w:lineRule="auto"/>
        <w:ind w:left="547" w:right="360"/>
        <w:jc w:val="both"/>
        <w:rPr>
          <w:rFonts w:eastAsia="Calibri"/>
        </w:rPr>
      </w:pPr>
      <w:r w:rsidRPr="00CE1602">
        <w:rPr>
          <w:b/>
          <w:bCs/>
        </w:rPr>
        <w:t>Secondary Dwellings</w:t>
      </w:r>
      <w:r w:rsidR="00DF481B" w:rsidRPr="007F5669">
        <w:rPr>
          <w:b/>
          <w:bCs/>
        </w:rPr>
        <w:t>.</w:t>
      </w:r>
      <w:r w:rsidR="0003040E">
        <w:rPr>
          <w:bCs/>
        </w:rPr>
        <w:t xml:space="preserve"> </w:t>
      </w:r>
      <w:r w:rsidR="00D87B3C">
        <w:rPr>
          <w:bCs/>
        </w:rPr>
        <w:t>The subcommittee</w:t>
      </w:r>
      <w:r w:rsidR="00151CB1" w:rsidRPr="007F5669">
        <w:rPr>
          <w:bCs/>
        </w:rPr>
        <w:t xml:space="preserve"> discussed reducing the regulatory obstacles that inhibit building new secondary dwellings</w:t>
      </w:r>
      <w:r w:rsidR="0003040E">
        <w:rPr>
          <w:bCs/>
        </w:rPr>
        <w:t xml:space="preserve">. </w:t>
      </w:r>
      <w:r w:rsidR="008046D5">
        <w:rPr>
          <w:bCs/>
        </w:rPr>
        <w:t>Also discussed was a</w:t>
      </w:r>
      <w:r w:rsidRPr="007F5669">
        <w:rPr>
          <w:bCs/>
        </w:rPr>
        <w:t xml:space="preserve"> </w:t>
      </w:r>
      <w:r w:rsidR="00BE7D2C">
        <w:rPr>
          <w:bCs/>
        </w:rPr>
        <w:t>second</w:t>
      </w:r>
      <w:r w:rsidR="00BE7D2C" w:rsidRPr="007F5669">
        <w:rPr>
          <w:bCs/>
        </w:rPr>
        <w:t xml:space="preserve"> </w:t>
      </w:r>
      <w:r w:rsidRPr="007F5669">
        <w:rPr>
          <w:bCs/>
        </w:rPr>
        <w:t>unit amnesty program</w:t>
      </w:r>
      <w:r w:rsidR="00151CB1" w:rsidRPr="007F5669">
        <w:rPr>
          <w:bCs/>
        </w:rPr>
        <w:t xml:space="preserve"> to </w:t>
      </w:r>
      <w:r w:rsidR="00BE7D2C">
        <w:rPr>
          <w:bCs/>
        </w:rPr>
        <w:t>recognize existing</w:t>
      </w:r>
      <w:r w:rsidR="009A3EBD">
        <w:rPr>
          <w:bCs/>
        </w:rPr>
        <w:t xml:space="preserve"> second units as a source of</w:t>
      </w:r>
      <w:r w:rsidRPr="007F5669">
        <w:rPr>
          <w:bCs/>
        </w:rPr>
        <w:t xml:space="preserve"> affordable housing throughout the County</w:t>
      </w:r>
      <w:r w:rsidR="00BE7D2C">
        <w:rPr>
          <w:bCs/>
        </w:rPr>
        <w:t>, although this places at risk units that cannot be legally provide housing because of minimum livability restrictions (e.g., ceiling heights)</w:t>
      </w:r>
      <w:r w:rsidRPr="007F5669">
        <w:rPr>
          <w:bCs/>
        </w:rPr>
        <w:t xml:space="preserve">. Secondary dwellings offer a financially efficient mechanism for delivering affordable housing through the use of existing infrastructure. </w:t>
      </w:r>
      <w:r w:rsidR="00ED4879" w:rsidRPr="007F5669">
        <w:rPr>
          <w:bCs/>
        </w:rPr>
        <w:t xml:space="preserve">The Task Force explored a secondary dwelling strategy that would allow second units by right in </w:t>
      </w:r>
      <w:r w:rsidR="00ED4879" w:rsidRPr="00BE7D2C">
        <w:rPr>
          <w:bCs/>
          <w:u w:val="single"/>
        </w:rPr>
        <w:t>all</w:t>
      </w:r>
      <w:r w:rsidR="00ED4879" w:rsidRPr="007F5669">
        <w:rPr>
          <w:bCs/>
        </w:rPr>
        <w:t xml:space="preserve"> residential zones, ease owner-occupancy requirements on properties with a second unit, reduce parking standards for second units, and incentivize</w:t>
      </w:r>
      <w:r w:rsidRPr="007F5669">
        <w:rPr>
          <w:bCs/>
        </w:rPr>
        <w:t xml:space="preserve"> building code compliance</w:t>
      </w:r>
      <w:r w:rsidR="00ED4879" w:rsidRPr="007F5669">
        <w:rPr>
          <w:bCs/>
        </w:rPr>
        <w:t xml:space="preserve"> of existing secondary structures</w:t>
      </w:r>
      <w:r w:rsidRPr="007F5669">
        <w:rPr>
          <w:bCs/>
        </w:rPr>
        <w:t>.</w:t>
      </w:r>
    </w:p>
    <w:p w:rsidR="00D83EAA" w:rsidRPr="00CE1602" w:rsidRDefault="00ED5605" w:rsidP="004C794B">
      <w:pPr>
        <w:pStyle w:val="ListParagraph"/>
        <w:numPr>
          <w:ilvl w:val="0"/>
          <w:numId w:val="26"/>
        </w:numPr>
        <w:spacing w:line="276" w:lineRule="auto"/>
        <w:ind w:left="547" w:right="360"/>
        <w:jc w:val="both"/>
        <w:rPr>
          <w:rFonts w:eastAsia="Calibri"/>
        </w:rPr>
      </w:pPr>
      <w:r w:rsidRPr="00CE1602">
        <w:rPr>
          <w:b/>
          <w:bCs/>
        </w:rPr>
        <w:t>Public Land Inventory</w:t>
      </w:r>
      <w:r w:rsidR="00DF481B" w:rsidRPr="00CE1602">
        <w:rPr>
          <w:b/>
          <w:bCs/>
        </w:rPr>
        <w:t xml:space="preserve">. </w:t>
      </w:r>
      <w:r w:rsidR="00D87B3C">
        <w:rPr>
          <w:bCs/>
        </w:rPr>
        <w:t>The subcommittee</w:t>
      </w:r>
      <w:r w:rsidRPr="00CE1602">
        <w:rPr>
          <w:bCs/>
        </w:rPr>
        <w:t xml:space="preserve"> explo</w:t>
      </w:r>
      <w:r w:rsidR="00E85291">
        <w:rPr>
          <w:bCs/>
        </w:rPr>
        <w:t>red the preparation of a published</w:t>
      </w:r>
      <w:r w:rsidRPr="00CE1602">
        <w:rPr>
          <w:bCs/>
        </w:rPr>
        <w:t xml:space="preserve"> inventory of public </w:t>
      </w:r>
      <w:r w:rsidR="00DF481B" w:rsidRPr="00CE1602">
        <w:rPr>
          <w:bCs/>
        </w:rPr>
        <w:t xml:space="preserve">and/or surplus </w:t>
      </w:r>
      <w:r w:rsidRPr="00CE1602">
        <w:rPr>
          <w:bCs/>
        </w:rPr>
        <w:t xml:space="preserve">lands suitable for affordable housing </w:t>
      </w:r>
      <w:r w:rsidR="007C7FC9" w:rsidRPr="00CE1602">
        <w:rPr>
          <w:bCs/>
        </w:rPr>
        <w:t>a</w:t>
      </w:r>
      <w:r w:rsidRPr="00CE1602">
        <w:rPr>
          <w:bCs/>
        </w:rPr>
        <w:t>nd the development of guidelines based on land use, location and sit</w:t>
      </w:r>
      <w:r w:rsidR="007C7FC9" w:rsidRPr="00CE1602">
        <w:rPr>
          <w:bCs/>
        </w:rPr>
        <w:t>e conditions</w:t>
      </w:r>
      <w:r w:rsidRPr="00CE1602">
        <w:rPr>
          <w:bCs/>
        </w:rPr>
        <w:t xml:space="preserve">. The use of </w:t>
      </w:r>
      <w:r w:rsidR="00BE7D2C">
        <w:rPr>
          <w:bCs/>
        </w:rPr>
        <w:t>publically</w:t>
      </w:r>
      <w:r w:rsidR="007C7FC9" w:rsidRPr="00CE1602">
        <w:rPr>
          <w:bCs/>
        </w:rPr>
        <w:t xml:space="preserve">-owned land </w:t>
      </w:r>
      <w:r w:rsidR="00442284">
        <w:rPr>
          <w:bCs/>
        </w:rPr>
        <w:t>as affordable housing sites can</w:t>
      </w:r>
      <w:r w:rsidR="007C7FC9" w:rsidRPr="00CE1602">
        <w:rPr>
          <w:bCs/>
        </w:rPr>
        <w:t xml:space="preserve"> be </w:t>
      </w:r>
      <w:r w:rsidR="00442284">
        <w:rPr>
          <w:bCs/>
        </w:rPr>
        <w:t>beneficial</w:t>
      </w:r>
      <w:r w:rsidRPr="00CE1602">
        <w:rPr>
          <w:bCs/>
        </w:rPr>
        <w:t xml:space="preserve"> because it helps to control acquisition costs while also contributing to project competitiveness for Low-Income Housing Tax Credits, with the California Tax Credit Allocation Committee prioritizing the leveraging of local public funds</w:t>
      </w:r>
      <w:r w:rsidR="00E85291">
        <w:rPr>
          <w:bCs/>
        </w:rPr>
        <w:t xml:space="preserve"> in its awards system</w:t>
      </w:r>
      <w:r w:rsidRPr="00CE1602">
        <w:rPr>
          <w:bCs/>
        </w:rPr>
        <w:t>.</w:t>
      </w:r>
    </w:p>
    <w:p w:rsidR="003E1644" w:rsidRPr="000E6AD0" w:rsidRDefault="003E1644" w:rsidP="000E6AD0">
      <w:pPr>
        <w:jc w:val="center"/>
        <w:rPr>
          <w:b/>
          <w:smallCaps/>
          <w:sz w:val="28"/>
        </w:rPr>
      </w:pPr>
      <w:r w:rsidRPr="000E6AD0">
        <w:rPr>
          <w:b/>
          <w:smallCaps/>
          <w:sz w:val="28"/>
        </w:rPr>
        <w:t>Summary</w:t>
      </w:r>
    </w:p>
    <w:p w:rsidR="003E1644" w:rsidRDefault="003E1644" w:rsidP="005238E0">
      <w:pPr>
        <w:rPr>
          <w:sz w:val="22"/>
          <w:szCs w:val="22"/>
        </w:rPr>
      </w:pPr>
    </w:p>
    <w:p w:rsidR="00B2240C" w:rsidRPr="0044326B" w:rsidRDefault="00D87B3C" w:rsidP="0088654A">
      <w:pPr>
        <w:spacing w:after="200" w:line="276" w:lineRule="auto"/>
        <w:contextualSpacing/>
        <w:jc w:val="both"/>
        <w:rPr>
          <w:rFonts w:eastAsia="Calibri"/>
          <w:sz w:val="22"/>
          <w:szCs w:val="22"/>
        </w:rPr>
      </w:pPr>
      <w:r>
        <w:rPr>
          <w:rFonts w:eastAsia="Calibri"/>
          <w:sz w:val="22"/>
          <w:szCs w:val="22"/>
        </w:rPr>
        <w:t>The Task Force first confirm</w:t>
      </w:r>
      <w:r w:rsidR="008046D5">
        <w:rPr>
          <w:rFonts w:eastAsia="Calibri"/>
          <w:sz w:val="22"/>
          <w:szCs w:val="22"/>
        </w:rPr>
        <w:t>ed</w:t>
      </w:r>
      <w:r>
        <w:rPr>
          <w:rFonts w:eastAsia="Calibri"/>
          <w:sz w:val="22"/>
          <w:szCs w:val="22"/>
        </w:rPr>
        <w:t xml:space="preserve"> its objectives and </w:t>
      </w:r>
      <w:r w:rsidR="008046D5">
        <w:rPr>
          <w:rFonts w:eastAsia="Calibri"/>
          <w:sz w:val="22"/>
          <w:szCs w:val="22"/>
        </w:rPr>
        <w:t xml:space="preserve">then </w:t>
      </w:r>
      <w:r>
        <w:rPr>
          <w:rFonts w:eastAsia="Calibri"/>
          <w:sz w:val="22"/>
          <w:szCs w:val="22"/>
        </w:rPr>
        <w:t>brief</w:t>
      </w:r>
      <w:r w:rsidR="008046D5">
        <w:rPr>
          <w:rFonts w:eastAsia="Calibri"/>
          <w:sz w:val="22"/>
          <w:szCs w:val="22"/>
        </w:rPr>
        <w:t>ed</w:t>
      </w:r>
      <w:r>
        <w:rPr>
          <w:rFonts w:eastAsia="Calibri"/>
          <w:sz w:val="22"/>
          <w:szCs w:val="22"/>
        </w:rPr>
        <w:t xml:space="preserve"> all members on the existing affordable housing context in the Napa region. The Task Force then broke out into smaller subcommittees to identify and explore strategies to propose to the </w:t>
      </w:r>
      <w:r w:rsidR="008046D5">
        <w:rPr>
          <w:rFonts w:eastAsia="Calibri"/>
          <w:sz w:val="22"/>
          <w:szCs w:val="22"/>
        </w:rPr>
        <w:t xml:space="preserve">full </w:t>
      </w:r>
      <w:r>
        <w:rPr>
          <w:rFonts w:eastAsia="Calibri"/>
          <w:sz w:val="22"/>
          <w:szCs w:val="22"/>
        </w:rPr>
        <w:t xml:space="preserve">Task Force. </w:t>
      </w:r>
      <w:r w:rsidR="0044326B">
        <w:rPr>
          <w:rFonts w:eastAsia="Calibri"/>
          <w:sz w:val="22"/>
          <w:szCs w:val="22"/>
        </w:rPr>
        <w:t>T</w:t>
      </w:r>
      <w:r w:rsidR="00B2240C">
        <w:rPr>
          <w:rFonts w:eastAsia="Calibri"/>
          <w:sz w:val="22"/>
          <w:szCs w:val="22"/>
        </w:rPr>
        <w:t xml:space="preserve">he </w:t>
      </w:r>
      <w:r w:rsidR="0032005F">
        <w:rPr>
          <w:rFonts w:eastAsia="Calibri"/>
          <w:sz w:val="22"/>
          <w:szCs w:val="22"/>
        </w:rPr>
        <w:t>subcom</w:t>
      </w:r>
      <w:r w:rsidR="00B2240C">
        <w:rPr>
          <w:rFonts w:eastAsia="Calibri"/>
          <w:sz w:val="22"/>
          <w:szCs w:val="22"/>
        </w:rPr>
        <w:t>mittee topics</w:t>
      </w:r>
      <w:r w:rsidR="0044326B">
        <w:rPr>
          <w:rFonts w:eastAsia="Calibri"/>
          <w:sz w:val="22"/>
          <w:szCs w:val="22"/>
        </w:rPr>
        <w:t xml:space="preserve"> formed the basis </w:t>
      </w:r>
      <w:r w:rsidR="00B2240C">
        <w:rPr>
          <w:rFonts w:eastAsia="Calibri"/>
          <w:sz w:val="22"/>
          <w:szCs w:val="22"/>
        </w:rPr>
        <w:t xml:space="preserve">for </w:t>
      </w:r>
      <w:r w:rsidR="0044326B">
        <w:rPr>
          <w:rFonts w:eastAsia="Calibri"/>
          <w:sz w:val="22"/>
          <w:szCs w:val="22"/>
        </w:rPr>
        <w:t>the Task Force to articulate its recommendation</w:t>
      </w:r>
      <w:r w:rsidR="00E85291">
        <w:rPr>
          <w:rFonts w:eastAsia="Calibri"/>
          <w:sz w:val="22"/>
          <w:szCs w:val="22"/>
        </w:rPr>
        <w:t>s</w:t>
      </w:r>
      <w:r w:rsidR="0044326B">
        <w:rPr>
          <w:rFonts w:eastAsia="Calibri"/>
          <w:sz w:val="22"/>
          <w:szCs w:val="22"/>
        </w:rPr>
        <w:t xml:space="preserve"> into five coherent</w:t>
      </w:r>
      <w:r w:rsidR="00B2240C">
        <w:rPr>
          <w:rFonts w:eastAsia="Calibri"/>
          <w:sz w:val="22"/>
          <w:szCs w:val="22"/>
        </w:rPr>
        <w:t xml:space="preserve"> strategies. During its November 2012 meeting, the </w:t>
      </w:r>
      <w:r w:rsidR="00B2240C" w:rsidRPr="00E25E6D">
        <w:rPr>
          <w:rFonts w:eastAsia="Calibri"/>
          <w:sz w:val="22"/>
          <w:szCs w:val="22"/>
        </w:rPr>
        <w:t>Task Force broke out int</w:t>
      </w:r>
      <w:r w:rsidR="0044326B">
        <w:rPr>
          <w:rFonts w:eastAsia="Calibri"/>
          <w:sz w:val="22"/>
          <w:szCs w:val="22"/>
        </w:rPr>
        <w:t xml:space="preserve">o working groups again with the goal of reviewing recommendations within the framework of one of the five strategies. </w:t>
      </w:r>
      <w:r w:rsidR="00B2240C">
        <w:rPr>
          <w:rFonts w:eastAsia="Calibri"/>
          <w:sz w:val="22"/>
          <w:szCs w:val="22"/>
        </w:rPr>
        <w:t>Each sub</w:t>
      </w:r>
      <w:r w:rsidR="0044326B">
        <w:rPr>
          <w:rFonts w:eastAsia="Calibri"/>
          <w:sz w:val="22"/>
          <w:szCs w:val="22"/>
        </w:rPr>
        <w:t>group catalogued</w:t>
      </w:r>
      <w:r w:rsidR="00B2240C">
        <w:rPr>
          <w:rFonts w:eastAsia="Calibri"/>
          <w:sz w:val="22"/>
          <w:szCs w:val="22"/>
        </w:rPr>
        <w:t xml:space="preserve"> recommended action steps within</w:t>
      </w:r>
      <w:r w:rsidR="00B2240C" w:rsidRPr="00E25E6D">
        <w:rPr>
          <w:rFonts w:eastAsia="Calibri"/>
          <w:sz w:val="22"/>
          <w:szCs w:val="22"/>
        </w:rPr>
        <w:t xml:space="preserve"> each proposed strateg</w:t>
      </w:r>
      <w:r w:rsidR="0044326B">
        <w:rPr>
          <w:rFonts w:eastAsia="Calibri"/>
          <w:sz w:val="22"/>
          <w:szCs w:val="22"/>
        </w:rPr>
        <w:t xml:space="preserve">y. In January 2013, the Task Force ranked each of the action steps based on importance to the overall strategy and on feasibility of </w:t>
      </w:r>
      <w:r w:rsidR="008046D5">
        <w:rPr>
          <w:rFonts w:eastAsia="Calibri"/>
          <w:sz w:val="22"/>
          <w:szCs w:val="22"/>
        </w:rPr>
        <w:t>obtaining</w:t>
      </w:r>
      <w:r w:rsidR="0044326B">
        <w:rPr>
          <w:rFonts w:eastAsia="Calibri"/>
          <w:sz w:val="22"/>
          <w:szCs w:val="22"/>
        </w:rPr>
        <w:t xml:space="preserve"> required approvals for the action step. The Task Force’s formal, ranked recommendations, organized into five key strategies, are outlined and explained in the next section of this Action Plan. </w:t>
      </w:r>
    </w:p>
    <w:p w:rsidR="00257885" w:rsidRDefault="00257885" w:rsidP="00830911">
      <w:pPr>
        <w:jc w:val="both"/>
        <w:rPr>
          <w:sz w:val="22"/>
          <w:szCs w:val="22"/>
        </w:rPr>
      </w:pPr>
    </w:p>
    <w:p w:rsidR="003E1644" w:rsidRPr="00E25E6D" w:rsidRDefault="003E1644" w:rsidP="00830911">
      <w:pPr>
        <w:spacing w:after="200"/>
        <w:jc w:val="both"/>
        <w:rPr>
          <w:rFonts w:eastAsia="Calibri"/>
          <w:sz w:val="22"/>
          <w:szCs w:val="22"/>
        </w:rPr>
      </w:pPr>
    </w:p>
    <w:p w:rsidR="00257885" w:rsidRDefault="00257885" w:rsidP="005238E0">
      <w:pPr>
        <w:rPr>
          <w:sz w:val="22"/>
          <w:szCs w:val="22"/>
        </w:rPr>
      </w:pPr>
    </w:p>
    <w:p w:rsidR="00257885" w:rsidRDefault="00257885" w:rsidP="005238E0">
      <w:pPr>
        <w:spacing w:line="276" w:lineRule="auto"/>
        <w:rPr>
          <w:b/>
          <w:bCs/>
          <w:sz w:val="22"/>
          <w:szCs w:val="22"/>
          <w:u w:val="single"/>
        </w:rPr>
      </w:pPr>
    </w:p>
    <w:p w:rsidR="00257885" w:rsidRDefault="00257885">
      <w:pPr>
        <w:rPr>
          <w:sz w:val="22"/>
          <w:szCs w:val="22"/>
        </w:rPr>
      </w:pPr>
      <w:r>
        <w:rPr>
          <w:sz w:val="22"/>
          <w:szCs w:val="22"/>
        </w:rPr>
        <w:br w:type="page"/>
      </w:r>
    </w:p>
    <w:p w:rsidR="007B7184" w:rsidRDefault="007B7184" w:rsidP="007B7184">
      <w:pPr>
        <w:autoSpaceDE w:val="0"/>
        <w:autoSpaceDN w:val="0"/>
        <w:adjustRightInd w:val="0"/>
      </w:pPr>
    </w:p>
    <w:p w:rsidR="00C31107" w:rsidRDefault="00C31107" w:rsidP="00793239">
      <w:pPr>
        <w:spacing w:after="200" w:line="276" w:lineRule="auto"/>
        <w:rPr>
          <w:b/>
          <w:smallCaps/>
          <w:color w:val="00008C"/>
          <w:sz w:val="60"/>
          <w:szCs w:val="60"/>
        </w:rPr>
      </w:pPr>
    </w:p>
    <w:p w:rsidR="00A766E2" w:rsidRPr="00963617" w:rsidRDefault="00A766E2" w:rsidP="002B0B35">
      <w:pPr>
        <w:jc w:val="center"/>
        <w:rPr>
          <w:b/>
          <w:smallCaps/>
          <w:sz w:val="60"/>
          <w:szCs w:val="60"/>
        </w:rPr>
      </w:pPr>
      <w:r w:rsidRPr="00963617">
        <w:rPr>
          <w:b/>
          <w:smallCaps/>
          <w:sz w:val="60"/>
          <w:szCs w:val="60"/>
        </w:rPr>
        <w:t>Section 2</w:t>
      </w:r>
    </w:p>
    <w:p w:rsidR="00A766E2" w:rsidRPr="00963617" w:rsidRDefault="00A766E2" w:rsidP="00A766E2">
      <w:pPr>
        <w:pStyle w:val="TODHeading1"/>
        <w:rPr>
          <w:smallCaps/>
          <w:sz w:val="48"/>
          <w:szCs w:val="48"/>
        </w:rPr>
      </w:pPr>
    </w:p>
    <w:p w:rsidR="00CA18D3" w:rsidRPr="00963617" w:rsidRDefault="00496CAE" w:rsidP="002B0B35">
      <w:pPr>
        <w:pStyle w:val="TODHeading1"/>
        <w:rPr>
          <w:smallCaps/>
          <w:sz w:val="48"/>
          <w:szCs w:val="48"/>
        </w:rPr>
      </w:pPr>
      <w:bookmarkStart w:id="23" w:name="_Toc301441930"/>
      <w:r w:rsidRPr="00963617">
        <w:rPr>
          <w:smallCaps/>
          <w:sz w:val="48"/>
          <w:szCs w:val="48"/>
        </w:rPr>
        <w:t>FIVE KEY STRATEGIES</w:t>
      </w:r>
    </w:p>
    <w:p w:rsidR="001E0C82" w:rsidRPr="00963617" w:rsidRDefault="00B94B48" w:rsidP="002B0B35">
      <w:pPr>
        <w:pStyle w:val="TODHeading1"/>
        <w:rPr>
          <w:smallCaps/>
          <w:sz w:val="48"/>
          <w:szCs w:val="48"/>
        </w:rPr>
      </w:pPr>
      <w:r w:rsidRPr="00963617">
        <w:rPr>
          <w:smallCaps/>
          <w:sz w:val="48"/>
          <w:szCs w:val="48"/>
        </w:rPr>
        <w:t>TO PROMOTE</w:t>
      </w:r>
      <w:r w:rsidR="00A766E2" w:rsidRPr="00963617">
        <w:rPr>
          <w:smallCaps/>
          <w:sz w:val="48"/>
          <w:szCs w:val="48"/>
        </w:rPr>
        <w:t xml:space="preserve"> </w:t>
      </w:r>
      <w:bookmarkEnd w:id="23"/>
      <w:r w:rsidR="005361E5" w:rsidRPr="00963617">
        <w:rPr>
          <w:smallCaps/>
          <w:sz w:val="48"/>
          <w:szCs w:val="48"/>
        </w:rPr>
        <w:t>AFFORDABLE HOUSING</w:t>
      </w:r>
    </w:p>
    <w:p w:rsidR="001759BA" w:rsidRPr="00963617" w:rsidRDefault="001759BA" w:rsidP="00496CAE">
      <w:pPr>
        <w:jc w:val="center"/>
        <w:outlineLvl w:val="0"/>
        <w:rPr>
          <w:b/>
          <w:bCs/>
          <w:smallCaps/>
          <w:sz w:val="40"/>
          <w:szCs w:val="40"/>
        </w:rPr>
      </w:pPr>
    </w:p>
    <w:p w:rsidR="00A766E2" w:rsidRPr="00963617" w:rsidRDefault="00A766E2" w:rsidP="00A766E2">
      <w:pPr>
        <w:rPr>
          <w:smallCaps/>
          <w:sz w:val="22"/>
          <w:szCs w:val="22"/>
        </w:rPr>
      </w:pPr>
    </w:p>
    <w:p w:rsidR="00A766E2" w:rsidRPr="00963617" w:rsidRDefault="00A766E2" w:rsidP="00A766E2">
      <w:pPr>
        <w:rPr>
          <w:smallCaps/>
          <w:sz w:val="22"/>
          <w:szCs w:val="22"/>
        </w:rPr>
      </w:pPr>
    </w:p>
    <w:p w:rsidR="00A766E2" w:rsidRPr="00963617" w:rsidRDefault="00A766E2" w:rsidP="00A766E2">
      <w:pPr>
        <w:rPr>
          <w:smallCaps/>
          <w:sz w:val="22"/>
          <w:szCs w:val="22"/>
        </w:rPr>
      </w:pPr>
    </w:p>
    <w:p w:rsidR="00A766E2" w:rsidRPr="00963617" w:rsidRDefault="00A766E2" w:rsidP="000A6811"/>
    <w:p w:rsidR="00A766E2" w:rsidRPr="00963617" w:rsidRDefault="00A766E2" w:rsidP="00623B0D">
      <w:pPr>
        <w:ind w:left="2160" w:hanging="2160"/>
        <w:rPr>
          <w:b/>
          <w:smallCaps/>
          <w:sz w:val="32"/>
          <w:szCs w:val="32"/>
        </w:rPr>
      </w:pPr>
      <w:r w:rsidRPr="00963617">
        <w:rPr>
          <w:b/>
          <w:smallCaps/>
          <w:sz w:val="32"/>
          <w:szCs w:val="32"/>
        </w:rPr>
        <w:t xml:space="preserve">Strategy 1:  </w:t>
      </w:r>
      <w:r w:rsidRPr="00963617">
        <w:rPr>
          <w:b/>
          <w:smallCaps/>
          <w:sz w:val="32"/>
          <w:szCs w:val="32"/>
        </w:rPr>
        <w:tab/>
      </w:r>
      <w:r w:rsidR="00E77E4E" w:rsidRPr="00963617">
        <w:rPr>
          <w:b/>
          <w:smallCaps/>
          <w:sz w:val="32"/>
          <w:szCs w:val="32"/>
        </w:rPr>
        <w:t xml:space="preserve">PROMOTE COST EFFICIENCIES </w:t>
      </w:r>
    </w:p>
    <w:p w:rsidR="00A766E2" w:rsidRPr="00963617" w:rsidRDefault="00A766E2" w:rsidP="000A6811">
      <w:pPr>
        <w:rPr>
          <w:b/>
          <w:smallCaps/>
          <w:sz w:val="32"/>
          <w:szCs w:val="32"/>
        </w:rPr>
      </w:pPr>
    </w:p>
    <w:p w:rsidR="00A766E2" w:rsidRPr="00963617" w:rsidRDefault="00A766E2" w:rsidP="000A6811">
      <w:pPr>
        <w:rPr>
          <w:b/>
          <w:smallCaps/>
          <w:sz w:val="32"/>
          <w:szCs w:val="32"/>
        </w:rPr>
      </w:pPr>
    </w:p>
    <w:p w:rsidR="00A766E2" w:rsidRPr="00963617" w:rsidRDefault="000740FB" w:rsidP="000A6811">
      <w:pPr>
        <w:rPr>
          <w:b/>
          <w:smallCaps/>
          <w:sz w:val="32"/>
          <w:szCs w:val="32"/>
        </w:rPr>
      </w:pPr>
      <w:r w:rsidRPr="00963617">
        <w:rPr>
          <w:b/>
          <w:smallCaps/>
          <w:sz w:val="32"/>
          <w:szCs w:val="32"/>
        </w:rPr>
        <w:t>Strategy 2</w:t>
      </w:r>
      <w:r w:rsidR="00A766E2" w:rsidRPr="00963617">
        <w:rPr>
          <w:b/>
          <w:smallCaps/>
          <w:sz w:val="32"/>
          <w:szCs w:val="32"/>
        </w:rPr>
        <w:t xml:space="preserve">:  </w:t>
      </w:r>
      <w:r w:rsidR="00A766E2" w:rsidRPr="00963617">
        <w:rPr>
          <w:b/>
          <w:smallCaps/>
          <w:sz w:val="32"/>
          <w:szCs w:val="32"/>
        </w:rPr>
        <w:tab/>
      </w:r>
      <w:r w:rsidR="00E77E4E" w:rsidRPr="00963617">
        <w:rPr>
          <w:b/>
          <w:smallCaps/>
          <w:sz w:val="32"/>
          <w:szCs w:val="32"/>
        </w:rPr>
        <w:t xml:space="preserve">DETERMINE </w:t>
      </w:r>
      <w:r w:rsidR="00E77E4E">
        <w:rPr>
          <w:b/>
          <w:smallCaps/>
          <w:sz w:val="32"/>
          <w:szCs w:val="32"/>
        </w:rPr>
        <w:t xml:space="preserve">THE </w:t>
      </w:r>
      <w:r w:rsidR="00E77E4E" w:rsidRPr="00963617">
        <w:rPr>
          <w:b/>
          <w:smallCaps/>
          <w:sz w:val="32"/>
          <w:szCs w:val="32"/>
        </w:rPr>
        <w:t>OPTIMAL MIX OF HOUSING</w:t>
      </w:r>
      <w:r w:rsidR="00E77E4E">
        <w:rPr>
          <w:b/>
          <w:smallCaps/>
          <w:sz w:val="32"/>
          <w:szCs w:val="32"/>
        </w:rPr>
        <w:t xml:space="preserve"> </w:t>
      </w:r>
      <w:r w:rsidR="00E77E4E" w:rsidRPr="00963617">
        <w:rPr>
          <w:b/>
          <w:smallCaps/>
          <w:sz w:val="32"/>
          <w:szCs w:val="32"/>
        </w:rPr>
        <w:t xml:space="preserve">TYPES </w:t>
      </w:r>
    </w:p>
    <w:p w:rsidR="000740FB" w:rsidRPr="00963617" w:rsidRDefault="000740FB" w:rsidP="000A6811">
      <w:pPr>
        <w:rPr>
          <w:b/>
          <w:smallCaps/>
          <w:sz w:val="32"/>
          <w:szCs w:val="32"/>
        </w:rPr>
      </w:pPr>
    </w:p>
    <w:p w:rsidR="000740FB" w:rsidRPr="00963617" w:rsidRDefault="000740FB" w:rsidP="000A6811">
      <w:pPr>
        <w:rPr>
          <w:b/>
          <w:smallCaps/>
          <w:sz w:val="32"/>
          <w:szCs w:val="32"/>
        </w:rPr>
      </w:pPr>
    </w:p>
    <w:p w:rsidR="000740FB" w:rsidRPr="00963617" w:rsidRDefault="000740FB" w:rsidP="000A6811">
      <w:pPr>
        <w:rPr>
          <w:b/>
          <w:smallCaps/>
          <w:sz w:val="32"/>
          <w:szCs w:val="32"/>
        </w:rPr>
      </w:pPr>
      <w:r w:rsidRPr="00963617">
        <w:rPr>
          <w:b/>
          <w:smallCaps/>
          <w:sz w:val="32"/>
          <w:szCs w:val="32"/>
        </w:rPr>
        <w:t xml:space="preserve">Strategy 3:  </w:t>
      </w:r>
      <w:r w:rsidRPr="00963617">
        <w:rPr>
          <w:b/>
          <w:smallCaps/>
          <w:sz w:val="32"/>
          <w:szCs w:val="32"/>
        </w:rPr>
        <w:tab/>
      </w:r>
      <w:r w:rsidR="00E77E4E" w:rsidRPr="00963617">
        <w:rPr>
          <w:b/>
          <w:smallCaps/>
          <w:sz w:val="32"/>
          <w:szCs w:val="32"/>
        </w:rPr>
        <w:t>MAXIMIZE FINANCING RESOURCES</w:t>
      </w:r>
      <w:r w:rsidR="00E77E4E" w:rsidRPr="00963617" w:rsidDel="00E77E4E">
        <w:rPr>
          <w:b/>
          <w:smallCaps/>
          <w:sz w:val="32"/>
          <w:szCs w:val="32"/>
        </w:rPr>
        <w:t xml:space="preserve"> </w:t>
      </w:r>
    </w:p>
    <w:p w:rsidR="00A766E2" w:rsidRPr="00963617" w:rsidRDefault="00A766E2" w:rsidP="000A6811">
      <w:pPr>
        <w:rPr>
          <w:b/>
          <w:smallCaps/>
          <w:sz w:val="32"/>
          <w:szCs w:val="32"/>
        </w:rPr>
      </w:pPr>
    </w:p>
    <w:p w:rsidR="00A766E2" w:rsidRPr="00963617" w:rsidRDefault="00A766E2" w:rsidP="000A6811">
      <w:pPr>
        <w:rPr>
          <w:b/>
          <w:smallCaps/>
          <w:sz w:val="32"/>
          <w:szCs w:val="32"/>
        </w:rPr>
      </w:pPr>
    </w:p>
    <w:p w:rsidR="00A766E2" w:rsidRPr="00963617" w:rsidRDefault="00A766E2" w:rsidP="00276DF6">
      <w:pPr>
        <w:ind w:left="2160" w:hanging="2160"/>
        <w:rPr>
          <w:b/>
          <w:smallCaps/>
          <w:sz w:val="32"/>
          <w:szCs w:val="32"/>
        </w:rPr>
      </w:pPr>
      <w:r w:rsidRPr="00963617">
        <w:rPr>
          <w:b/>
          <w:smallCaps/>
          <w:sz w:val="32"/>
          <w:szCs w:val="32"/>
        </w:rPr>
        <w:t xml:space="preserve">Strategy </w:t>
      </w:r>
      <w:r w:rsidR="000740FB" w:rsidRPr="00963617">
        <w:rPr>
          <w:b/>
          <w:smallCaps/>
          <w:sz w:val="32"/>
          <w:szCs w:val="32"/>
        </w:rPr>
        <w:t>4</w:t>
      </w:r>
      <w:r w:rsidRPr="00963617">
        <w:rPr>
          <w:b/>
          <w:smallCaps/>
          <w:sz w:val="32"/>
          <w:szCs w:val="32"/>
        </w:rPr>
        <w:t>:</w:t>
      </w:r>
      <w:r w:rsidRPr="00963617">
        <w:rPr>
          <w:b/>
          <w:smallCaps/>
          <w:sz w:val="32"/>
          <w:szCs w:val="32"/>
        </w:rPr>
        <w:tab/>
        <w:t>IMPLEMENT NON-MONETARY</w:t>
      </w:r>
      <w:r w:rsidR="0013729E">
        <w:rPr>
          <w:b/>
          <w:smallCaps/>
          <w:sz w:val="32"/>
          <w:szCs w:val="32"/>
        </w:rPr>
        <w:t xml:space="preserve"> </w:t>
      </w:r>
      <w:r w:rsidRPr="00963617">
        <w:rPr>
          <w:b/>
          <w:smallCaps/>
          <w:sz w:val="32"/>
          <w:szCs w:val="32"/>
        </w:rPr>
        <w:t>PRODUCTION OPPORTUNITIES</w:t>
      </w:r>
    </w:p>
    <w:p w:rsidR="00A766E2" w:rsidRPr="00963617" w:rsidRDefault="00A766E2" w:rsidP="000A6811">
      <w:pPr>
        <w:rPr>
          <w:b/>
          <w:smallCaps/>
          <w:sz w:val="32"/>
          <w:szCs w:val="32"/>
        </w:rPr>
      </w:pPr>
    </w:p>
    <w:p w:rsidR="00A766E2" w:rsidRPr="00963617" w:rsidRDefault="00A766E2" w:rsidP="000A6811">
      <w:pPr>
        <w:rPr>
          <w:b/>
          <w:smallCaps/>
          <w:sz w:val="32"/>
          <w:szCs w:val="32"/>
        </w:rPr>
      </w:pPr>
    </w:p>
    <w:p w:rsidR="00A766E2" w:rsidRPr="00963617" w:rsidRDefault="000740FB" w:rsidP="000A6811">
      <w:pPr>
        <w:rPr>
          <w:b/>
          <w:smallCaps/>
          <w:sz w:val="32"/>
          <w:szCs w:val="32"/>
        </w:rPr>
      </w:pPr>
      <w:r w:rsidRPr="00963617">
        <w:rPr>
          <w:b/>
          <w:smallCaps/>
          <w:sz w:val="32"/>
          <w:szCs w:val="32"/>
        </w:rPr>
        <w:t>Strategy 5</w:t>
      </w:r>
      <w:r w:rsidR="00A766E2" w:rsidRPr="00963617">
        <w:rPr>
          <w:b/>
          <w:smallCaps/>
          <w:sz w:val="32"/>
          <w:szCs w:val="32"/>
        </w:rPr>
        <w:t>:</w:t>
      </w:r>
      <w:r w:rsidR="00A766E2" w:rsidRPr="00963617">
        <w:rPr>
          <w:b/>
          <w:smallCaps/>
          <w:sz w:val="32"/>
          <w:szCs w:val="32"/>
        </w:rPr>
        <w:tab/>
        <w:t>PROVIDE ADEQUATE OVERSIGHT AND</w:t>
      </w:r>
    </w:p>
    <w:p w:rsidR="00A766E2" w:rsidRPr="00963617" w:rsidRDefault="00A766E2" w:rsidP="000A6811">
      <w:pPr>
        <w:ind w:left="2160"/>
        <w:rPr>
          <w:b/>
          <w:smallCaps/>
          <w:sz w:val="32"/>
          <w:szCs w:val="32"/>
        </w:rPr>
      </w:pPr>
      <w:r w:rsidRPr="00963617">
        <w:rPr>
          <w:b/>
          <w:smallCaps/>
          <w:sz w:val="32"/>
          <w:szCs w:val="32"/>
        </w:rPr>
        <w:t>COLLECT DATA TO INFORM PRACTICE AND MEASURE SUCCESS</w:t>
      </w:r>
    </w:p>
    <w:p w:rsidR="00A766E2" w:rsidRPr="00301726" w:rsidRDefault="00A766E2" w:rsidP="00A766E2">
      <w:pPr>
        <w:ind w:left="2880" w:hanging="1980"/>
        <w:rPr>
          <w:smallCaps/>
          <w:color w:val="00008C"/>
        </w:rPr>
      </w:pPr>
    </w:p>
    <w:p w:rsidR="00A766E2" w:rsidRPr="00FC4CEC" w:rsidRDefault="00A766E2" w:rsidP="00A766E2">
      <w:pPr>
        <w:jc w:val="center"/>
        <w:rPr>
          <w:smallCaps/>
          <w:color w:val="000046"/>
          <w:sz w:val="22"/>
          <w:szCs w:val="22"/>
        </w:rPr>
      </w:pPr>
    </w:p>
    <w:p w:rsidR="00A766E2" w:rsidRPr="00FC4CEC" w:rsidRDefault="00A766E2" w:rsidP="00A766E2">
      <w:pPr>
        <w:rPr>
          <w:sz w:val="22"/>
          <w:szCs w:val="22"/>
        </w:rPr>
      </w:pPr>
    </w:p>
    <w:p w:rsidR="00A766E2" w:rsidRPr="00FC4CEC" w:rsidRDefault="00A766E2" w:rsidP="00A766E2">
      <w:pPr>
        <w:rPr>
          <w:sz w:val="22"/>
          <w:szCs w:val="22"/>
        </w:rPr>
      </w:pPr>
    </w:p>
    <w:p w:rsidR="00A766E2" w:rsidRDefault="00A766E2" w:rsidP="00A766E2">
      <w:pPr>
        <w:rPr>
          <w:sz w:val="22"/>
          <w:szCs w:val="22"/>
        </w:rPr>
      </w:pPr>
      <w:r>
        <w:rPr>
          <w:sz w:val="22"/>
          <w:szCs w:val="22"/>
        </w:rPr>
        <w:br w:type="page"/>
      </w:r>
    </w:p>
    <w:p w:rsidR="003B7B12" w:rsidRPr="00F5461E" w:rsidRDefault="00CB322F" w:rsidP="00F5461E">
      <w:pPr>
        <w:pStyle w:val="TOC10"/>
      </w:pPr>
      <w:hyperlink w:anchor="Table_of_Contents" w:history="1">
        <w:bookmarkStart w:id="24" w:name="_Toc352584359"/>
        <w:bookmarkStart w:id="25" w:name="_Toc359933694"/>
        <w:r w:rsidR="00B94B48" w:rsidRPr="00AF0984">
          <w:rPr>
            <w:rStyle w:val="Hyperlink"/>
          </w:rPr>
          <w:t xml:space="preserve">Section 2:  </w:t>
        </w:r>
        <w:r w:rsidR="00EF1842" w:rsidRPr="00AF0984">
          <w:rPr>
            <w:rStyle w:val="Hyperlink"/>
          </w:rPr>
          <w:t>FIVE KEY STRA</w:t>
        </w:r>
        <w:r w:rsidR="00B94B48" w:rsidRPr="00AF0984">
          <w:rPr>
            <w:rStyle w:val="Hyperlink"/>
          </w:rPr>
          <w:t xml:space="preserve">TEGIES TO PROMOTE </w:t>
        </w:r>
        <w:r w:rsidR="003B7B12" w:rsidRPr="00AF0984">
          <w:rPr>
            <w:rStyle w:val="Hyperlink"/>
          </w:rPr>
          <w:t>AFFORDABLE HOUSING</w:t>
        </w:r>
        <w:bookmarkEnd w:id="24"/>
        <w:bookmarkEnd w:id="25"/>
      </w:hyperlink>
    </w:p>
    <w:p w:rsidR="000479B3" w:rsidRPr="00745DA2" w:rsidRDefault="000479B3" w:rsidP="009141BF">
      <w:pPr>
        <w:spacing w:after="200" w:line="276" w:lineRule="auto"/>
        <w:rPr>
          <w:sz w:val="22"/>
          <w:szCs w:val="22"/>
        </w:rPr>
      </w:pPr>
    </w:p>
    <w:p w:rsidR="00065929" w:rsidRPr="00830911" w:rsidRDefault="000479B3" w:rsidP="00830911">
      <w:pPr>
        <w:spacing w:after="200" w:line="276" w:lineRule="auto"/>
        <w:jc w:val="both"/>
        <w:rPr>
          <w:sz w:val="22"/>
          <w:szCs w:val="22"/>
        </w:rPr>
      </w:pPr>
      <w:r w:rsidRPr="00830911">
        <w:rPr>
          <w:sz w:val="22"/>
          <w:szCs w:val="22"/>
        </w:rPr>
        <w:t xml:space="preserve">The </w:t>
      </w:r>
      <w:r w:rsidR="0083040F" w:rsidRPr="00830911">
        <w:rPr>
          <w:sz w:val="22"/>
          <w:szCs w:val="22"/>
        </w:rPr>
        <w:t xml:space="preserve">Action </w:t>
      </w:r>
      <w:r w:rsidRPr="00830911">
        <w:rPr>
          <w:sz w:val="22"/>
          <w:szCs w:val="22"/>
        </w:rPr>
        <w:t xml:space="preserve">Plan for Affordable Housing </w:t>
      </w:r>
      <w:r w:rsidR="00A52AEF" w:rsidRPr="00830911">
        <w:rPr>
          <w:sz w:val="22"/>
          <w:szCs w:val="22"/>
        </w:rPr>
        <w:t xml:space="preserve">Development </w:t>
      </w:r>
      <w:r w:rsidR="008046D5">
        <w:rPr>
          <w:sz w:val="22"/>
          <w:szCs w:val="22"/>
        </w:rPr>
        <w:t xml:space="preserve">in Napa County </w:t>
      </w:r>
      <w:r w:rsidRPr="00830911">
        <w:rPr>
          <w:sz w:val="22"/>
          <w:szCs w:val="22"/>
        </w:rPr>
        <w:t xml:space="preserve">lays out </w:t>
      </w:r>
      <w:r w:rsidR="001F14CD">
        <w:rPr>
          <w:sz w:val="22"/>
          <w:szCs w:val="22"/>
        </w:rPr>
        <w:t xml:space="preserve">in table format </w:t>
      </w:r>
      <w:r w:rsidRPr="00830911">
        <w:rPr>
          <w:sz w:val="22"/>
          <w:szCs w:val="22"/>
        </w:rPr>
        <w:t xml:space="preserve">a series of strategies, action steps, tasks and measurable outcomes that </w:t>
      </w:r>
      <w:r w:rsidR="004D2E22" w:rsidRPr="00830911">
        <w:rPr>
          <w:sz w:val="22"/>
          <w:szCs w:val="22"/>
        </w:rPr>
        <w:t xml:space="preserve">were developed by the </w:t>
      </w:r>
      <w:r w:rsidR="00736946">
        <w:rPr>
          <w:sz w:val="22"/>
          <w:szCs w:val="22"/>
        </w:rPr>
        <w:t xml:space="preserve">Housing </w:t>
      </w:r>
      <w:r w:rsidR="003313B4" w:rsidRPr="00830911">
        <w:rPr>
          <w:sz w:val="22"/>
          <w:szCs w:val="22"/>
        </w:rPr>
        <w:t xml:space="preserve">Task Force and that </w:t>
      </w:r>
      <w:r w:rsidRPr="00830911">
        <w:rPr>
          <w:sz w:val="22"/>
          <w:szCs w:val="22"/>
        </w:rPr>
        <w:t>can be tracked and eva</w:t>
      </w:r>
      <w:r w:rsidR="00296E74" w:rsidRPr="00830911">
        <w:rPr>
          <w:sz w:val="22"/>
          <w:szCs w:val="22"/>
        </w:rPr>
        <w:t>luated throughout the implementation phase</w:t>
      </w:r>
      <w:r w:rsidRPr="00830911">
        <w:rPr>
          <w:sz w:val="22"/>
          <w:szCs w:val="22"/>
        </w:rPr>
        <w:t xml:space="preserve">. More detail will be added on an ongoing basis to ensure that steady and incremental progress is made toward </w:t>
      </w:r>
      <w:r w:rsidR="00347DF0" w:rsidRPr="00830911">
        <w:rPr>
          <w:sz w:val="22"/>
          <w:szCs w:val="22"/>
        </w:rPr>
        <w:t>accomplishing the str</w:t>
      </w:r>
      <w:r w:rsidR="003313B4" w:rsidRPr="00830911">
        <w:rPr>
          <w:sz w:val="22"/>
          <w:szCs w:val="22"/>
        </w:rPr>
        <w:t>a</w:t>
      </w:r>
      <w:r w:rsidR="00347DF0" w:rsidRPr="00830911">
        <w:rPr>
          <w:sz w:val="22"/>
          <w:szCs w:val="22"/>
        </w:rPr>
        <w:t xml:space="preserve">tegies set forth in this </w:t>
      </w:r>
      <w:r w:rsidR="00AD3EFC">
        <w:rPr>
          <w:sz w:val="22"/>
          <w:szCs w:val="22"/>
        </w:rPr>
        <w:t>report</w:t>
      </w:r>
      <w:r w:rsidR="00347DF0" w:rsidRPr="00830911">
        <w:rPr>
          <w:sz w:val="22"/>
          <w:szCs w:val="22"/>
        </w:rPr>
        <w:t>.</w:t>
      </w:r>
    </w:p>
    <w:p w:rsidR="000C4DD2" w:rsidRDefault="0083040F" w:rsidP="00830911">
      <w:pPr>
        <w:spacing w:after="200" w:line="276" w:lineRule="auto"/>
        <w:jc w:val="both"/>
        <w:rPr>
          <w:sz w:val="22"/>
          <w:szCs w:val="22"/>
        </w:rPr>
      </w:pPr>
      <w:r w:rsidRPr="00830911">
        <w:rPr>
          <w:sz w:val="22"/>
          <w:szCs w:val="22"/>
        </w:rPr>
        <w:t>This Action Plan</w:t>
      </w:r>
      <w:r w:rsidR="00E4227F" w:rsidRPr="00830911">
        <w:rPr>
          <w:sz w:val="22"/>
          <w:szCs w:val="22"/>
        </w:rPr>
        <w:t xml:space="preserve"> </w:t>
      </w:r>
      <w:r w:rsidR="00403A5B">
        <w:rPr>
          <w:sz w:val="22"/>
          <w:szCs w:val="22"/>
        </w:rPr>
        <w:t xml:space="preserve">also </w:t>
      </w:r>
      <w:r w:rsidR="00E4227F" w:rsidRPr="00830911">
        <w:rPr>
          <w:sz w:val="22"/>
          <w:szCs w:val="22"/>
        </w:rPr>
        <w:t>i</w:t>
      </w:r>
      <w:r w:rsidR="00296E74" w:rsidRPr="00830911">
        <w:rPr>
          <w:sz w:val="22"/>
          <w:szCs w:val="22"/>
        </w:rPr>
        <w:t>ndicates whether an individual task under an action step requires l</w:t>
      </w:r>
      <w:r w:rsidR="00E4227F" w:rsidRPr="00830911">
        <w:rPr>
          <w:sz w:val="22"/>
          <w:szCs w:val="22"/>
        </w:rPr>
        <w:t>ocal</w:t>
      </w:r>
      <w:r w:rsidR="00296E74" w:rsidRPr="00830911">
        <w:rPr>
          <w:sz w:val="22"/>
          <w:szCs w:val="22"/>
        </w:rPr>
        <w:t xml:space="preserve"> administrative processing, </w:t>
      </w:r>
      <w:r w:rsidR="005E136E">
        <w:rPr>
          <w:sz w:val="22"/>
          <w:szCs w:val="22"/>
        </w:rPr>
        <w:t>State</w:t>
      </w:r>
      <w:r w:rsidR="00296E74" w:rsidRPr="00830911">
        <w:rPr>
          <w:sz w:val="22"/>
          <w:szCs w:val="22"/>
        </w:rPr>
        <w:t xml:space="preserve"> legislative authorization, local </w:t>
      </w:r>
      <w:r w:rsidR="008046D5">
        <w:rPr>
          <w:sz w:val="22"/>
          <w:szCs w:val="22"/>
        </w:rPr>
        <w:t xml:space="preserve">voter </w:t>
      </w:r>
      <w:r w:rsidR="00296E74" w:rsidRPr="00830911">
        <w:rPr>
          <w:sz w:val="22"/>
          <w:szCs w:val="22"/>
        </w:rPr>
        <w:t>approval</w:t>
      </w:r>
      <w:r w:rsidR="00E4227F" w:rsidRPr="00830911">
        <w:rPr>
          <w:sz w:val="22"/>
          <w:szCs w:val="22"/>
        </w:rPr>
        <w:t xml:space="preserve">, or </w:t>
      </w:r>
      <w:r w:rsidR="00296E74" w:rsidRPr="00830911">
        <w:rPr>
          <w:sz w:val="22"/>
          <w:szCs w:val="22"/>
        </w:rPr>
        <w:t>some combination thereof</w:t>
      </w:r>
      <w:r w:rsidR="00296E74" w:rsidRPr="00C325E3">
        <w:rPr>
          <w:sz w:val="22"/>
          <w:szCs w:val="22"/>
        </w:rPr>
        <w:t>.</w:t>
      </w:r>
      <w:r w:rsidR="00C325E3" w:rsidRPr="00C325E3">
        <w:rPr>
          <w:sz w:val="22"/>
          <w:szCs w:val="22"/>
        </w:rPr>
        <w:t xml:space="preserve"> Some of the tasks identified require approvals that present political challenges. However, adoption of these tasks is vital to achieving the Task Force’s recommendations.</w:t>
      </w:r>
      <w:r w:rsidR="00296E74" w:rsidRPr="00C325E3">
        <w:rPr>
          <w:sz w:val="22"/>
          <w:szCs w:val="22"/>
        </w:rPr>
        <w:t xml:space="preserve"> </w:t>
      </w:r>
      <w:r w:rsidR="000C4DD2">
        <w:rPr>
          <w:sz w:val="22"/>
          <w:szCs w:val="22"/>
        </w:rPr>
        <w:br w:type="page"/>
      </w:r>
    </w:p>
    <w:p w:rsidR="009F0730" w:rsidRPr="002D443C" w:rsidRDefault="00CB322F" w:rsidP="009F0730">
      <w:pPr>
        <w:pStyle w:val="TOC20"/>
        <w:rPr>
          <w:sz w:val="22"/>
          <w:szCs w:val="22"/>
          <w:u w:val="single"/>
        </w:rPr>
      </w:pPr>
      <w:hyperlink w:anchor="Table_of_Contents" w:history="1">
        <w:bookmarkStart w:id="26" w:name="_Toc352584360"/>
        <w:bookmarkStart w:id="27" w:name="_Toc359933695"/>
        <w:r w:rsidR="009F0730" w:rsidRPr="00AF0984">
          <w:rPr>
            <w:rStyle w:val="Hyperlink"/>
          </w:rPr>
          <w:t xml:space="preserve">Strategy </w:t>
        </w:r>
        <w:r w:rsidR="009F0730">
          <w:rPr>
            <w:rStyle w:val="Hyperlink"/>
          </w:rPr>
          <w:t>1</w:t>
        </w:r>
        <w:r w:rsidR="009F0730" w:rsidRPr="00AF0984">
          <w:rPr>
            <w:rStyle w:val="Hyperlink"/>
          </w:rPr>
          <w:t>:  Promote Cost Efficiencies</w:t>
        </w:r>
        <w:bookmarkEnd w:id="26"/>
        <w:bookmarkEnd w:id="27"/>
      </w:hyperlink>
    </w:p>
    <w:p w:rsidR="009F0730" w:rsidRDefault="009F0730" w:rsidP="009F0730">
      <w:pPr>
        <w:pStyle w:val="TODHeading2"/>
      </w:pPr>
    </w:p>
    <w:p w:rsidR="009F0730" w:rsidRPr="00C43FAF" w:rsidRDefault="009F0730" w:rsidP="009F0730">
      <w:pPr>
        <w:rPr>
          <w:b/>
          <w:sz w:val="22"/>
          <w:szCs w:val="22"/>
          <w:u w:val="single"/>
        </w:rPr>
      </w:pPr>
      <w:r w:rsidRPr="007036D1">
        <w:rPr>
          <w:b/>
          <w:bCs/>
          <w:sz w:val="22"/>
          <w:szCs w:val="22"/>
        </w:rPr>
        <w:t>Why this Strategy is Important</w:t>
      </w:r>
    </w:p>
    <w:p w:rsidR="009F0730" w:rsidRPr="00C43FAF" w:rsidRDefault="009F0730" w:rsidP="009F0730">
      <w:pPr>
        <w:rPr>
          <w:b/>
          <w:sz w:val="22"/>
          <w:szCs w:val="22"/>
          <w:u w:val="single"/>
        </w:rPr>
      </w:pPr>
    </w:p>
    <w:p w:rsidR="009F0730" w:rsidRPr="002B44E1" w:rsidRDefault="009F0730" w:rsidP="009F0730">
      <w:pPr>
        <w:spacing w:after="200" w:line="276" w:lineRule="auto"/>
        <w:jc w:val="both"/>
        <w:rPr>
          <w:i/>
          <w:sz w:val="22"/>
          <w:szCs w:val="22"/>
        </w:rPr>
      </w:pPr>
      <w:r>
        <w:rPr>
          <w:i/>
          <w:sz w:val="22"/>
          <w:szCs w:val="22"/>
        </w:rPr>
        <w:t>The Task Force believed this may be the most effective strategy in increasing the pro</w:t>
      </w:r>
      <w:r w:rsidR="00403A5B">
        <w:rPr>
          <w:i/>
          <w:sz w:val="22"/>
          <w:szCs w:val="22"/>
        </w:rPr>
        <w:t xml:space="preserve">duction of affordable housing. </w:t>
      </w:r>
      <w:r>
        <w:rPr>
          <w:i/>
          <w:sz w:val="22"/>
          <w:szCs w:val="22"/>
        </w:rPr>
        <w:t xml:space="preserve">In an era of shrinking </w:t>
      </w:r>
      <w:r w:rsidRPr="002B44E1">
        <w:rPr>
          <w:i/>
          <w:sz w:val="22"/>
          <w:szCs w:val="22"/>
        </w:rPr>
        <w:t>budgets, local agencies must encourage development practices that drive down construction and ope</w:t>
      </w:r>
      <w:r>
        <w:rPr>
          <w:i/>
          <w:sz w:val="22"/>
          <w:szCs w:val="22"/>
        </w:rPr>
        <w:t>rating costs</w:t>
      </w:r>
      <w:r w:rsidRPr="002B44E1">
        <w:rPr>
          <w:i/>
          <w:sz w:val="22"/>
          <w:szCs w:val="22"/>
        </w:rPr>
        <w:t xml:space="preserve"> to maximize the number of affordable housing units produc</w:t>
      </w:r>
      <w:r>
        <w:rPr>
          <w:i/>
          <w:sz w:val="22"/>
          <w:szCs w:val="22"/>
        </w:rPr>
        <w:t xml:space="preserve">ed. Identifying cost saving practices is another form of local investment. </w:t>
      </w:r>
    </w:p>
    <w:p w:rsidR="009F0730" w:rsidRDefault="009F0730" w:rsidP="009F0730">
      <w:pPr>
        <w:jc w:val="both"/>
        <w:rPr>
          <w:sz w:val="22"/>
          <w:szCs w:val="22"/>
        </w:rPr>
      </w:pPr>
      <w:r w:rsidRPr="00C66291">
        <w:rPr>
          <w:sz w:val="22"/>
          <w:szCs w:val="22"/>
        </w:rPr>
        <w:t xml:space="preserve">In its discussions on </w:t>
      </w:r>
      <w:r>
        <w:rPr>
          <w:sz w:val="22"/>
          <w:szCs w:val="22"/>
        </w:rPr>
        <w:t>promoting cost efficiencies</w:t>
      </w:r>
      <w:r w:rsidRPr="00C66291">
        <w:rPr>
          <w:sz w:val="22"/>
          <w:szCs w:val="22"/>
        </w:rPr>
        <w:t>, the Housing Task Force reached consensus on the following guiding principle:</w:t>
      </w:r>
    </w:p>
    <w:p w:rsidR="009F0730" w:rsidRDefault="009F0730" w:rsidP="009F0730">
      <w:pPr>
        <w:jc w:val="both"/>
        <w:rPr>
          <w:sz w:val="22"/>
          <w:szCs w:val="22"/>
        </w:rPr>
      </w:pPr>
    </w:p>
    <w:p w:rsidR="009F0730" w:rsidRDefault="009F0730" w:rsidP="009F0730">
      <w:pPr>
        <w:jc w:val="both"/>
        <w:rPr>
          <w:sz w:val="22"/>
          <w:szCs w:val="22"/>
        </w:rPr>
      </w:pPr>
    </w:p>
    <w:p w:rsidR="009F0730" w:rsidRDefault="001A4C46" w:rsidP="009F0730">
      <w:pPr>
        <w:jc w:val="both"/>
        <w:rPr>
          <w:sz w:val="22"/>
          <w:szCs w:val="22"/>
        </w:rPr>
      </w:pPr>
      <w:r>
        <w:rPr>
          <w:noProof/>
          <w:sz w:val="22"/>
          <w:szCs w:val="22"/>
        </w:rPr>
        <mc:AlternateContent>
          <mc:Choice Requires="wps">
            <w:drawing>
              <wp:inline distT="0" distB="0" distL="0" distR="0">
                <wp:extent cx="5943600" cy="1493520"/>
                <wp:effectExtent l="19050" t="19050" r="19050" b="11430"/>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493520"/>
                        </a:xfrm>
                        <a:prstGeom prst="rect">
                          <a:avLst/>
                        </a:prstGeom>
                        <a:solidFill>
                          <a:srgbClr val="FFFFFF"/>
                        </a:solidFill>
                        <a:ln w="38100" cmpd="dbl">
                          <a:solidFill>
                            <a:sysClr val="windowText" lastClr="000000">
                              <a:lumMod val="100000"/>
                              <a:lumOff val="0"/>
                            </a:sysClr>
                          </a:solidFill>
                          <a:miter lim="800000"/>
                          <a:headEnd/>
                          <a:tailEnd/>
                        </a:ln>
                      </wps:spPr>
                      <wps:txbx>
                        <w:txbxContent>
                          <w:p w:rsidR="00CE2A47" w:rsidRPr="00397494" w:rsidRDefault="00CE2A47" w:rsidP="009F0730">
                            <w:pPr>
                              <w:jc w:val="center"/>
                              <w:rPr>
                                <w:color w:val="00008C"/>
                              </w:rPr>
                            </w:pPr>
                          </w:p>
                          <w:p w:rsidR="00CE2A47" w:rsidRPr="00FA69D1" w:rsidRDefault="00CE2A47" w:rsidP="009F0730">
                            <w:pPr>
                              <w:spacing w:after="200" w:line="276" w:lineRule="auto"/>
                              <w:contextualSpacing/>
                              <w:jc w:val="center"/>
                              <w:rPr>
                                <w:b/>
                                <w:i/>
                                <w:sz w:val="32"/>
                                <w:szCs w:val="32"/>
                              </w:rPr>
                            </w:pPr>
                            <w:r w:rsidRPr="00FA69D1">
                              <w:rPr>
                                <w:b/>
                                <w:i/>
                                <w:sz w:val="32"/>
                                <w:szCs w:val="32"/>
                              </w:rPr>
                              <w:t>Costs should be managed to promote affordable housing development.</w:t>
                            </w:r>
                          </w:p>
                          <w:p w:rsidR="00CE2A47" w:rsidRPr="00C126B5" w:rsidRDefault="00CE2A47" w:rsidP="009F0730">
                            <w:pPr>
                              <w:spacing w:after="200" w:line="276" w:lineRule="auto"/>
                              <w:contextualSpacing/>
                              <w:jc w:val="center"/>
                              <w:rPr>
                                <w:sz w:val="22"/>
                                <w:szCs w:val="22"/>
                              </w:rPr>
                            </w:pPr>
                          </w:p>
                          <w:p w:rsidR="00CE2A47" w:rsidRPr="00C126B5" w:rsidRDefault="00CE2A47" w:rsidP="009F0730">
                            <w:pPr>
                              <w:spacing w:after="200" w:line="276" w:lineRule="auto"/>
                              <w:contextualSpacing/>
                              <w:jc w:val="center"/>
                              <w:rPr>
                                <w:sz w:val="22"/>
                                <w:szCs w:val="22"/>
                              </w:rPr>
                            </w:pPr>
                            <w:r w:rsidRPr="00C126B5">
                              <w:rPr>
                                <w:sz w:val="22"/>
                                <w:szCs w:val="22"/>
                              </w:rPr>
                              <w:t>Identify best practices to more effectively evaluate, monitor and contain development costs and better promote the supply of affordable housing.</w:t>
                            </w:r>
                          </w:p>
                        </w:txbxContent>
                      </wps:txbx>
                      <wps:bodyPr rot="0" vert="horz" wrap="square" lIns="91440" tIns="45720" rIns="91440" bIns="45720" anchor="t" anchorCtr="0" upright="1">
                        <a:noAutofit/>
                      </wps:bodyPr>
                    </wps:wsp>
                  </a:graphicData>
                </a:graphic>
              </wp:inline>
            </w:drawing>
          </mc:Choice>
          <mc:Fallback>
            <w:pict>
              <v:shape id="Text Box 17" o:spid="_x0000_s1031" type="#_x0000_t202" style="width:468pt;height:11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" strokeweight="3pt">
                <v:stroke linestyle="thinThin"/>
                <v:textbox>
                  <w:txbxContent>
                    <w:p w:rsidR="00CE2A47" w:rsidRPr="00397494" w:rsidRDefault="00CE2A47" w:rsidP="009F0730">
                      <w:pPr>
                        <w:jc w:val="center"/>
                        <w:rPr>
                          <w:color w:val="00008C"/>
                        </w:rPr>
                      </w:pPr>
                    </w:p>
                    <w:p w:rsidR="00CE2A47" w:rsidRPr="00FA69D1" w:rsidRDefault="00CE2A47" w:rsidP="009F0730">
                      <w:pPr>
                        <w:spacing w:after="200" w:line="276" w:lineRule="auto"/>
                        <w:contextualSpacing/>
                        <w:jc w:val="center"/>
                        <w:rPr>
                          <w:b/>
                          <w:i/>
                          <w:sz w:val="32"/>
                          <w:szCs w:val="32"/>
                        </w:rPr>
                      </w:pPr>
                      <w:r w:rsidRPr="00FA69D1">
                        <w:rPr>
                          <w:b/>
                          <w:i/>
                          <w:sz w:val="32"/>
                          <w:szCs w:val="32"/>
                        </w:rPr>
                        <w:t>Costs should be managed to promote affordable housing development.</w:t>
                      </w:r>
                    </w:p>
                    <w:p w:rsidR="00CE2A47" w:rsidRPr="00C126B5" w:rsidRDefault="00CE2A47" w:rsidP="009F0730">
                      <w:pPr>
                        <w:spacing w:after="200" w:line="276" w:lineRule="auto"/>
                        <w:contextualSpacing/>
                        <w:jc w:val="center"/>
                        <w:rPr>
                          <w:sz w:val="22"/>
                          <w:szCs w:val="22"/>
                        </w:rPr>
                      </w:pPr>
                    </w:p>
                    <w:p w:rsidR="00CE2A47" w:rsidRPr="00C126B5" w:rsidRDefault="00CE2A47" w:rsidP="009F0730">
                      <w:pPr>
                        <w:spacing w:after="200" w:line="276" w:lineRule="auto"/>
                        <w:contextualSpacing/>
                        <w:jc w:val="center"/>
                        <w:rPr>
                          <w:sz w:val="22"/>
                          <w:szCs w:val="22"/>
                        </w:rPr>
                      </w:pPr>
                      <w:r w:rsidRPr="00C126B5">
                        <w:rPr>
                          <w:sz w:val="22"/>
                          <w:szCs w:val="22"/>
                        </w:rPr>
                        <w:t>Identify best practices to more effectively evaluate, monitor and contain development costs and better promote the supply of affordable housing.</w:t>
                      </w:r>
                    </w:p>
                  </w:txbxContent>
                </v:textbox>
                <w10:anchorlock/>
              </v:shape>
            </w:pict>
          </mc:Fallback>
        </mc:AlternateContent>
      </w:r>
    </w:p>
    <w:p w:rsidR="009F0730" w:rsidRPr="00B45F00" w:rsidRDefault="009F0730" w:rsidP="009F0730">
      <w:pPr>
        <w:spacing w:after="200"/>
        <w:contextualSpacing/>
        <w:jc w:val="both"/>
        <w:rPr>
          <w:sz w:val="22"/>
          <w:szCs w:val="22"/>
        </w:rPr>
      </w:pPr>
    </w:p>
    <w:p w:rsidR="009F0730" w:rsidRDefault="009F0730" w:rsidP="009F0730">
      <w:pPr>
        <w:jc w:val="both"/>
        <w:rPr>
          <w:sz w:val="22"/>
          <w:szCs w:val="22"/>
        </w:rPr>
      </w:pPr>
    </w:p>
    <w:p w:rsidR="009F0730" w:rsidRPr="007E545D" w:rsidRDefault="00CB322F" w:rsidP="009F0730">
      <w:pPr>
        <w:pStyle w:val="TOC30"/>
      </w:pPr>
      <w:hyperlink w:anchor="Table_of_Contents" w:history="1">
        <w:bookmarkStart w:id="28" w:name="_Toc352584361"/>
        <w:bookmarkStart w:id="29" w:name="_Toc359933696"/>
        <w:r w:rsidR="009F0730" w:rsidRPr="007E545D">
          <w:rPr>
            <w:rStyle w:val="Hyperlink"/>
            <w:color w:val="auto"/>
          </w:rPr>
          <w:t>Action Step #1:</w:t>
        </w:r>
        <w:r w:rsidR="009F0730" w:rsidRPr="007E545D">
          <w:rPr>
            <w:rStyle w:val="Hyperlink"/>
            <w:color w:val="auto"/>
          </w:rPr>
          <w:tab/>
          <w:t>Study Alternate Ways to Lower Costs</w:t>
        </w:r>
        <w:bookmarkEnd w:id="28"/>
        <w:bookmarkEnd w:id="29"/>
      </w:hyperlink>
    </w:p>
    <w:p w:rsidR="009F0730" w:rsidRPr="00C43FAF" w:rsidRDefault="009F0730" w:rsidP="009F0730">
      <w:pPr>
        <w:rPr>
          <w:b/>
          <w:sz w:val="22"/>
          <w:szCs w:val="22"/>
          <w:u w:val="single"/>
        </w:rPr>
      </w:pPr>
    </w:p>
    <w:p w:rsidR="009F0730" w:rsidRPr="00B45F00" w:rsidRDefault="009F0730" w:rsidP="009F0730">
      <w:pPr>
        <w:spacing w:after="200" w:line="276" w:lineRule="auto"/>
        <w:contextualSpacing/>
        <w:jc w:val="both"/>
        <w:rPr>
          <w:sz w:val="22"/>
          <w:szCs w:val="22"/>
        </w:rPr>
      </w:pPr>
      <w:r w:rsidRPr="00B45F00">
        <w:rPr>
          <w:sz w:val="22"/>
          <w:szCs w:val="22"/>
        </w:rPr>
        <w:t>To achieve project feasibility, development and operating budgets must be scrutinized. There is a growing effort within the affordable housing industry to examine the cost side of the</w:t>
      </w:r>
      <w:r>
        <w:rPr>
          <w:sz w:val="22"/>
          <w:szCs w:val="22"/>
        </w:rPr>
        <w:t xml:space="preserve"> housing development budget</w:t>
      </w:r>
      <w:r w:rsidRPr="00B45F00">
        <w:rPr>
          <w:sz w:val="22"/>
          <w:szCs w:val="22"/>
        </w:rPr>
        <w:t>. The California Tax Credit Allocation Committee, along with the California Housing Finance Agency, the California Department of Housing and Community Development, and the California Debt Limit Allocation Committee, are jointly undertaking an intensive affordable housing development cost study</w:t>
      </w:r>
      <w:r w:rsidRPr="00B45F00">
        <w:rPr>
          <w:rStyle w:val="FootnoteReference"/>
          <w:sz w:val="22"/>
          <w:szCs w:val="22"/>
        </w:rPr>
        <w:footnoteReference w:id="4"/>
      </w:r>
      <w:r w:rsidRPr="00B45F00">
        <w:rPr>
          <w:sz w:val="22"/>
          <w:szCs w:val="22"/>
        </w:rPr>
        <w:t xml:space="preserve">. This study will analyze cost data and identify cost trends in order to more effectively evaluate, monitor and contain development costs to better promote the supply of affordable housing. </w:t>
      </w:r>
    </w:p>
    <w:p w:rsidR="009F0730" w:rsidRPr="00B45F00" w:rsidRDefault="009F0730" w:rsidP="009F0730">
      <w:pPr>
        <w:spacing w:after="200"/>
        <w:contextualSpacing/>
        <w:jc w:val="both"/>
        <w:rPr>
          <w:sz w:val="22"/>
          <w:szCs w:val="22"/>
        </w:rPr>
      </w:pPr>
    </w:p>
    <w:p w:rsidR="009F0730" w:rsidRDefault="009F0730" w:rsidP="009F0730">
      <w:pPr>
        <w:spacing w:after="200" w:line="276" w:lineRule="auto"/>
        <w:contextualSpacing/>
        <w:jc w:val="both"/>
        <w:rPr>
          <w:sz w:val="22"/>
          <w:szCs w:val="22"/>
        </w:rPr>
      </w:pPr>
      <w:r w:rsidRPr="00B45F00">
        <w:rPr>
          <w:sz w:val="22"/>
          <w:szCs w:val="22"/>
        </w:rPr>
        <w:t xml:space="preserve">This statewide cost study is just one example of identifying best practices adopted by other public agencies. Utilizing proven strategies will save local jurisdictions both time and money, with positive outcomes realized upon adoption and implementation of recommendations. For example, there is a growing body of </w:t>
      </w:r>
      <w:r w:rsidRPr="00C66291">
        <w:rPr>
          <w:sz w:val="22"/>
          <w:szCs w:val="22"/>
        </w:rPr>
        <w:t>research</w:t>
      </w:r>
      <w:r w:rsidRPr="00B45F00">
        <w:rPr>
          <w:sz w:val="22"/>
          <w:szCs w:val="22"/>
        </w:rPr>
        <w:t xml:space="preserve"> about off-site, pre-fabricated, modular construction. Innovative construction types may serve to reduce hard costs and shrink the construction time period, providing downward pressure on total development costs. Modular construction types also offer economies of scale and durability throughout the building’s lifecycle.</w:t>
      </w:r>
    </w:p>
    <w:p w:rsidR="009F0730" w:rsidRDefault="009F0730" w:rsidP="009F0730">
      <w:pPr>
        <w:contextualSpacing/>
        <w:jc w:val="both"/>
        <w:rPr>
          <w:sz w:val="22"/>
          <w:szCs w:val="22"/>
        </w:rPr>
      </w:pPr>
    </w:p>
    <w:p w:rsidR="009F0730" w:rsidRPr="00580747" w:rsidRDefault="00CB322F" w:rsidP="009F0730">
      <w:pPr>
        <w:pStyle w:val="TOC30"/>
        <w:contextualSpacing/>
      </w:pPr>
      <w:hyperlink w:anchor="Table_of_Contents" w:history="1">
        <w:bookmarkStart w:id="30" w:name="_Toc352584362"/>
        <w:bookmarkStart w:id="31" w:name="_Toc359933697"/>
        <w:r w:rsidR="009F0730" w:rsidRPr="00580747">
          <w:rPr>
            <w:rStyle w:val="Hyperlink"/>
            <w:color w:val="auto"/>
          </w:rPr>
          <w:t>Action Step #2:</w:t>
        </w:r>
        <w:r w:rsidR="009F0730" w:rsidRPr="00580747">
          <w:rPr>
            <w:rStyle w:val="Hyperlink"/>
            <w:color w:val="auto"/>
          </w:rPr>
          <w:tab/>
          <w:t>Tie Fees to Actual Costs for Affordable Units</w:t>
        </w:r>
        <w:bookmarkEnd w:id="30"/>
        <w:bookmarkEnd w:id="31"/>
      </w:hyperlink>
    </w:p>
    <w:p w:rsidR="009F0730" w:rsidRPr="00C43FAF" w:rsidRDefault="009F0730" w:rsidP="009F0730">
      <w:pPr>
        <w:contextualSpacing/>
        <w:rPr>
          <w:sz w:val="22"/>
          <w:szCs w:val="22"/>
        </w:rPr>
      </w:pPr>
    </w:p>
    <w:p w:rsidR="009F0730" w:rsidRPr="00580747" w:rsidRDefault="009F0730" w:rsidP="009F0730">
      <w:pPr>
        <w:spacing w:after="200" w:line="276" w:lineRule="auto"/>
        <w:contextualSpacing/>
        <w:jc w:val="both"/>
        <w:rPr>
          <w:sz w:val="22"/>
          <w:szCs w:val="22"/>
        </w:rPr>
      </w:pPr>
      <w:r w:rsidRPr="00580747">
        <w:rPr>
          <w:sz w:val="22"/>
          <w:szCs w:val="22"/>
        </w:rPr>
        <w:t>An important action step to maximize cost efficiencies is to tie fees to actual costs for affordable units. The Task Force recommends that each of the local jurisdictions review and amend fee structures to ensure affordable units pay lower or deferred fees</w:t>
      </w:r>
      <w:r w:rsidR="009B0C1E">
        <w:rPr>
          <w:sz w:val="22"/>
          <w:szCs w:val="22"/>
        </w:rPr>
        <w:t xml:space="preserve"> if justified by actual costs</w:t>
      </w:r>
      <w:r w:rsidRPr="00580747">
        <w:rPr>
          <w:sz w:val="22"/>
          <w:szCs w:val="22"/>
        </w:rPr>
        <w:t>. For instance, by lowering sewer and water fees overall affordable housing development costs will be reduced. The Task Force also recommends that local jurisdictions address and eliminate, where possible, government fe</w:t>
      </w:r>
      <w:r w:rsidR="00403A5B" w:rsidRPr="00580747">
        <w:rPr>
          <w:sz w:val="22"/>
          <w:szCs w:val="22"/>
        </w:rPr>
        <w:t>es on affordable housing units.</w:t>
      </w:r>
    </w:p>
    <w:p w:rsidR="009F0730" w:rsidRPr="007E545D" w:rsidRDefault="00CB322F" w:rsidP="009F0730">
      <w:pPr>
        <w:pStyle w:val="TOC30"/>
        <w:contextualSpacing/>
      </w:pPr>
      <w:hyperlink w:anchor="Table_of_Contents" w:history="1">
        <w:bookmarkStart w:id="32" w:name="_Toc352584363"/>
        <w:bookmarkStart w:id="33" w:name="_Toc359933698"/>
        <w:r w:rsidR="009F0730" w:rsidRPr="007E545D">
          <w:rPr>
            <w:rStyle w:val="Hyperlink"/>
            <w:color w:val="auto"/>
          </w:rPr>
          <w:t>Action Step #3:</w:t>
        </w:r>
        <w:r w:rsidR="009F0730" w:rsidRPr="007E545D">
          <w:rPr>
            <w:rStyle w:val="Hyperlink"/>
            <w:color w:val="auto"/>
          </w:rPr>
          <w:tab/>
          <w:t>Facilitate Legalization of Second Units</w:t>
        </w:r>
        <w:bookmarkEnd w:id="32"/>
        <w:bookmarkEnd w:id="33"/>
      </w:hyperlink>
    </w:p>
    <w:p w:rsidR="009F0730" w:rsidRDefault="009F0730" w:rsidP="009F0730">
      <w:pPr>
        <w:spacing w:after="200"/>
        <w:contextualSpacing/>
        <w:jc w:val="both"/>
        <w:rPr>
          <w:sz w:val="22"/>
          <w:szCs w:val="22"/>
        </w:rPr>
      </w:pPr>
    </w:p>
    <w:p w:rsidR="009F0730" w:rsidRPr="00403A5B" w:rsidRDefault="009F0730" w:rsidP="009F0730">
      <w:pPr>
        <w:spacing w:after="200" w:line="276" w:lineRule="auto"/>
        <w:jc w:val="both"/>
        <w:rPr>
          <w:sz w:val="22"/>
          <w:szCs w:val="22"/>
        </w:rPr>
      </w:pPr>
      <w:r w:rsidRPr="00403A5B">
        <w:rPr>
          <w:sz w:val="22"/>
          <w:szCs w:val="22"/>
        </w:rPr>
        <w:t xml:space="preserve">The third action step recommended by the Task Force is to facilitate the construction of additional second units and adopt second unit policies and programs to support this goal. One recommended method is to explore incentives for encouraging second unit development that will contribute to increasing the housing supply. For example, local jurisdictions can allow second units by right in </w:t>
      </w:r>
      <w:r w:rsidRPr="00403A5B">
        <w:rPr>
          <w:sz w:val="22"/>
          <w:szCs w:val="22"/>
          <w:u w:val="single"/>
        </w:rPr>
        <w:t>all</w:t>
      </w:r>
      <w:r w:rsidRPr="00403A5B">
        <w:rPr>
          <w:sz w:val="22"/>
          <w:szCs w:val="22"/>
        </w:rPr>
        <w:t xml:space="preserve"> residential zones</w:t>
      </w:r>
      <w:r w:rsidR="00403A5B" w:rsidRPr="00403A5B">
        <w:rPr>
          <w:sz w:val="22"/>
          <w:szCs w:val="22"/>
        </w:rPr>
        <w:t>.</w:t>
      </w:r>
      <w:r w:rsidRPr="00403A5B">
        <w:rPr>
          <w:sz w:val="22"/>
          <w:szCs w:val="22"/>
        </w:rPr>
        <w:t xml:space="preserve"> A second strategy would be to reform the fee structure for second units. Finally, local jurisdictions can ease owner-occupancy requirements on properties with a second unit. Together, these methods will contribute to cost savings while also increasing the housing supply.</w:t>
      </w:r>
    </w:p>
    <w:p w:rsidR="009F0730" w:rsidRPr="00403A5B" w:rsidRDefault="009F0730" w:rsidP="009F0730">
      <w:pPr>
        <w:spacing w:after="200" w:line="276" w:lineRule="auto"/>
        <w:jc w:val="both"/>
        <w:rPr>
          <w:sz w:val="22"/>
          <w:szCs w:val="22"/>
        </w:rPr>
      </w:pPr>
      <w:r w:rsidRPr="00403A5B">
        <w:rPr>
          <w:sz w:val="22"/>
          <w:szCs w:val="22"/>
        </w:rPr>
        <w:t xml:space="preserve">An example of this approach occurred in Santa Cruz where an increased number of second units were built after the City </w:t>
      </w:r>
      <w:r w:rsidRPr="00403A5B">
        <w:rPr>
          <w:bCs/>
          <w:sz w:val="22"/>
          <w:szCs w:val="22"/>
        </w:rPr>
        <w:t xml:space="preserve">issued an </w:t>
      </w:r>
      <w:r w:rsidRPr="00403A5B">
        <w:rPr>
          <w:sz w:val="22"/>
          <w:szCs w:val="22"/>
          <w:shd w:val="clear" w:color="auto" w:fill="FFFFFF"/>
        </w:rPr>
        <w:t>Accessory Dwelling Unit Manual that proactively manages the issue of second units and provides a design template from which property owners seeking to build a second unit can choose from and avoid the cost of structural design and plan check for a building permit. The Santa Cruz secondary dwelling strategy also seeks to equitably increase density across an entire community while protecting the integrity, scale and streetscape of neighborhood. The same Santa Cruz program offers technical assistance to homeowners, including low-interest loans to homeowners who agree to rent their second units at affordable rates.</w:t>
      </w:r>
    </w:p>
    <w:p w:rsidR="009F0730" w:rsidRPr="007E545D" w:rsidRDefault="00CB322F" w:rsidP="009F0730">
      <w:pPr>
        <w:pStyle w:val="TOC30"/>
      </w:pPr>
      <w:hyperlink w:anchor="Table_of_Contents" w:history="1">
        <w:bookmarkStart w:id="34" w:name="_Toc352584364"/>
        <w:bookmarkStart w:id="35" w:name="_Toc359933699"/>
        <w:r w:rsidR="009F0730">
          <w:rPr>
            <w:rStyle w:val="Hyperlink"/>
            <w:color w:val="auto"/>
          </w:rPr>
          <w:t>Action Step #4</w:t>
        </w:r>
        <w:r w:rsidR="009F0730" w:rsidRPr="007E545D">
          <w:rPr>
            <w:rStyle w:val="Hyperlink"/>
            <w:color w:val="auto"/>
          </w:rPr>
          <w:t>:</w:t>
        </w:r>
        <w:r w:rsidR="009F0730" w:rsidRPr="007E545D">
          <w:rPr>
            <w:rStyle w:val="Hyperlink"/>
            <w:color w:val="auto"/>
          </w:rPr>
          <w:tab/>
          <w:t>Establish a Countywide Green Ordinance</w:t>
        </w:r>
        <w:bookmarkEnd w:id="34"/>
        <w:bookmarkEnd w:id="35"/>
      </w:hyperlink>
    </w:p>
    <w:p w:rsidR="009F0730" w:rsidRPr="00C43FAF" w:rsidRDefault="009F0730" w:rsidP="009F0730">
      <w:pPr>
        <w:rPr>
          <w:sz w:val="22"/>
          <w:szCs w:val="22"/>
        </w:rPr>
      </w:pPr>
    </w:p>
    <w:p w:rsidR="009F0730" w:rsidRPr="00B101F6" w:rsidRDefault="009F0730" w:rsidP="009F0730">
      <w:pPr>
        <w:spacing w:after="200" w:line="276" w:lineRule="auto"/>
        <w:jc w:val="both"/>
        <w:rPr>
          <w:b/>
          <w:sz w:val="22"/>
          <w:szCs w:val="22"/>
        </w:rPr>
      </w:pPr>
      <w:r w:rsidRPr="00C43FAF">
        <w:rPr>
          <w:sz w:val="22"/>
          <w:szCs w:val="22"/>
        </w:rPr>
        <w:t>Adopting a countywide green</w:t>
      </w:r>
      <w:r>
        <w:rPr>
          <w:sz w:val="22"/>
          <w:szCs w:val="22"/>
        </w:rPr>
        <w:t xml:space="preserve"> ordinance will greatly contribute to budget and schedule</w:t>
      </w:r>
      <w:r w:rsidRPr="00C43FAF">
        <w:rPr>
          <w:sz w:val="22"/>
          <w:szCs w:val="22"/>
        </w:rPr>
        <w:t xml:space="preserve"> efficiencies. A countywide </w:t>
      </w:r>
      <w:r>
        <w:rPr>
          <w:sz w:val="22"/>
          <w:szCs w:val="22"/>
        </w:rPr>
        <w:t xml:space="preserve">green </w:t>
      </w:r>
      <w:r w:rsidRPr="00C43FAF">
        <w:rPr>
          <w:sz w:val="22"/>
          <w:szCs w:val="22"/>
        </w:rPr>
        <w:t>ordinance provides for a consistent and standardized design process, which serves not only to reduce costs but also to fast track and streamline the development process. By drafting green guidelines t</w:t>
      </w:r>
      <w:r>
        <w:rPr>
          <w:sz w:val="22"/>
          <w:szCs w:val="22"/>
        </w:rPr>
        <w:t>hat outline acceptable sustainable design standards</w:t>
      </w:r>
      <w:r w:rsidRPr="00C43FAF">
        <w:rPr>
          <w:sz w:val="22"/>
          <w:szCs w:val="22"/>
        </w:rPr>
        <w:t xml:space="preserve">, </w:t>
      </w:r>
      <w:r>
        <w:rPr>
          <w:sz w:val="22"/>
          <w:szCs w:val="22"/>
        </w:rPr>
        <w:t>architects and contractors can prepare drawings that will help reduce operating costs and produce</w:t>
      </w:r>
      <w:r w:rsidRPr="00C43FAF">
        <w:rPr>
          <w:sz w:val="22"/>
          <w:szCs w:val="22"/>
        </w:rPr>
        <w:t xml:space="preserve"> a healthy and safe home for future community residents. </w:t>
      </w:r>
      <w:r>
        <w:rPr>
          <w:sz w:val="22"/>
          <w:szCs w:val="22"/>
        </w:rPr>
        <w:t xml:space="preserve">Lowering operating costs enables the developer to qualify for larger conventional, private loans, thereby alleviating the burden of local public dollars. Finally, the </w:t>
      </w:r>
      <w:r w:rsidRPr="00C43FAF">
        <w:rPr>
          <w:sz w:val="22"/>
          <w:szCs w:val="22"/>
        </w:rPr>
        <w:t>Task Force recommends that the local jurisdiction provide expedited review and approvals for green buildings. Expedited approvals shorten development timelines, once again reducing costs and fast tracking the affordable housing development process.</w:t>
      </w:r>
    </w:p>
    <w:p w:rsidR="009F0730" w:rsidRPr="007E545D" w:rsidRDefault="00CB322F" w:rsidP="009F0730">
      <w:pPr>
        <w:pStyle w:val="TOC30"/>
      </w:pPr>
      <w:hyperlink w:anchor="Table_of_Contents" w:history="1">
        <w:bookmarkStart w:id="36" w:name="_Toc352584365"/>
        <w:bookmarkStart w:id="37" w:name="_Toc359933700"/>
        <w:r w:rsidR="009F0730">
          <w:rPr>
            <w:rStyle w:val="Hyperlink"/>
            <w:color w:val="auto"/>
          </w:rPr>
          <w:t>Action Step #5</w:t>
        </w:r>
        <w:r w:rsidR="009F0730" w:rsidRPr="007E545D">
          <w:rPr>
            <w:rStyle w:val="Hyperlink"/>
            <w:color w:val="auto"/>
          </w:rPr>
          <w:t>:</w:t>
        </w:r>
        <w:r w:rsidR="009F0730" w:rsidRPr="007E545D">
          <w:rPr>
            <w:rStyle w:val="Hyperlink"/>
            <w:color w:val="auto"/>
          </w:rPr>
          <w:tab/>
          <w:t>Promote Unit Size Appropriateness</w:t>
        </w:r>
        <w:bookmarkEnd w:id="36"/>
        <w:bookmarkEnd w:id="37"/>
      </w:hyperlink>
    </w:p>
    <w:p w:rsidR="009F0730" w:rsidRPr="00C43FAF" w:rsidRDefault="009F0730" w:rsidP="009F0730">
      <w:pPr>
        <w:rPr>
          <w:sz w:val="22"/>
          <w:szCs w:val="22"/>
        </w:rPr>
      </w:pPr>
    </w:p>
    <w:p w:rsidR="009F0730" w:rsidRDefault="009F0730" w:rsidP="009F0730">
      <w:pPr>
        <w:spacing w:after="200" w:line="276" w:lineRule="auto"/>
        <w:jc w:val="both"/>
        <w:rPr>
          <w:sz w:val="22"/>
          <w:szCs w:val="22"/>
        </w:rPr>
      </w:pPr>
      <w:r>
        <w:rPr>
          <w:sz w:val="22"/>
          <w:szCs w:val="22"/>
        </w:rPr>
        <w:t>In order to promote further cost efficiencies, the Task Force recommends encouraging appropriate unit sizes. The best strategy is to modify City and C</w:t>
      </w:r>
      <w:r w:rsidRPr="00C43FAF">
        <w:rPr>
          <w:sz w:val="22"/>
          <w:szCs w:val="22"/>
        </w:rPr>
        <w:t xml:space="preserve">ounty underwriting guidelines to set </w:t>
      </w:r>
      <w:r>
        <w:rPr>
          <w:sz w:val="22"/>
          <w:szCs w:val="22"/>
        </w:rPr>
        <w:t>appropriate unit sizes, whereby a deviation from these sizes would need to be justified. This</w:t>
      </w:r>
      <w:r w:rsidRPr="00C43FAF">
        <w:rPr>
          <w:sz w:val="22"/>
          <w:szCs w:val="22"/>
        </w:rPr>
        <w:t xml:space="preserve"> </w:t>
      </w:r>
      <w:r>
        <w:rPr>
          <w:sz w:val="22"/>
          <w:szCs w:val="22"/>
        </w:rPr>
        <w:t xml:space="preserve">will reduce costs by </w:t>
      </w:r>
      <w:r w:rsidRPr="00C43FAF">
        <w:rPr>
          <w:sz w:val="22"/>
          <w:szCs w:val="22"/>
        </w:rPr>
        <w:t>control</w:t>
      </w:r>
      <w:r>
        <w:rPr>
          <w:sz w:val="22"/>
          <w:szCs w:val="22"/>
        </w:rPr>
        <w:t>ling</w:t>
      </w:r>
      <w:r w:rsidRPr="00C43FAF">
        <w:rPr>
          <w:sz w:val="22"/>
          <w:szCs w:val="22"/>
        </w:rPr>
        <w:t xml:space="preserve"> construction and operating costs</w:t>
      </w:r>
      <w:r>
        <w:rPr>
          <w:sz w:val="22"/>
          <w:szCs w:val="22"/>
        </w:rPr>
        <w:t xml:space="preserve"> while also curbing overcrowding. In addition, this strategy will serve to i</w:t>
      </w:r>
      <w:r w:rsidRPr="00C43FAF">
        <w:rPr>
          <w:sz w:val="22"/>
          <w:szCs w:val="22"/>
        </w:rPr>
        <w:t>ncrease density</w:t>
      </w:r>
      <w:r>
        <w:rPr>
          <w:sz w:val="22"/>
          <w:szCs w:val="22"/>
        </w:rPr>
        <w:t xml:space="preserve"> and therefore increase housing supply. Future </w:t>
      </w:r>
      <w:r w:rsidRPr="0078238F">
        <w:rPr>
          <w:sz w:val="22"/>
          <w:szCs w:val="22"/>
        </w:rPr>
        <w:t>NOFA</w:t>
      </w:r>
      <w:r>
        <w:rPr>
          <w:sz w:val="22"/>
          <w:szCs w:val="22"/>
        </w:rPr>
        <w:t xml:space="preserve"> underwriting guidelines in the City and County can be updated to include minimum and maximum unit sizes appropriate for the particular projects.</w:t>
      </w:r>
    </w:p>
    <w:p w:rsidR="009F0730" w:rsidRDefault="009F0730" w:rsidP="009F0730">
      <w:pPr>
        <w:spacing w:after="200" w:line="276" w:lineRule="auto"/>
        <w:jc w:val="both"/>
        <w:rPr>
          <w:sz w:val="22"/>
          <w:szCs w:val="22"/>
        </w:rPr>
      </w:pPr>
    </w:p>
    <w:p w:rsidR="009F0730" w:rsidRDefault="009F0730" w:rsidP="009F0730">
      <w:pPr>
        <w:spacing w:after="200" w:line="276" w:lineRule="auto"/>
        <w:jc w:val="both"/>
        <w:rPr>
          <w:b/>
          <w:bCs/>
          <w:sz w:val="22"/>
          <w:szCs w:val="22"/>
        </w:rPr>
      </w:pPr>
      <w:r w:rsidRPr="009F0730">
        <w:rPr>
          <w:b/>
          <w:bCs/>
          <w:sz w:val="22"/>
          <w:szCs w:val="22"/>
        </w:rPr>
        <w:t>Action Step #6:  Adopt Parking Overlays</w:t>
      </w:r>
    </w:p>
    <w:p w:rsidR="009F0730" w:rsidRDefault="009F0730" w:rsidP="009F0730">
      <w:pPr>
        <w:spacing w:after="200" w:line="276" w:lineRule="auto"/>
        <w:jc w:val="both"/>
        <w:rPr>
          <w:b/>
          <w:bCs/>
          <w:sz w:val="22"/>
          <w:szCs w:val="22"/>
        </w:rPr>
      </w:pPr>
    </w:p>
    <w:p w:rsidR="009F0730" w:rsidRDefault="009F0730" w:rsidP="009F0730">
      <w:pPr>
        <w:spacing w:after="200" w:line="276" w:lineRule="auto"/>
        <w:jc w:val="both"/>
        <w:rPr>
          <w:sz w:val="22"/>
          <w:szCs w:val="22"/>
        </w:rPr>
      </w:pPr>
      <w:r>
        <w:rPr>
          <w:sz w:val="22"/>
          <w:szCs w:val="22"/>
        </w:rPr>
        <w:t>The Task Force recommends jurisdictions adopt parking overlays to allow housing developments built adjacent to public transportation to have a lower parking requirement. This will allow for more units to be built as less of a site is needed for parking.</w:t>
      </w:r>
    </w:p>
    <w:p w:rsidR="009F0730" w:rsidRDefault="009F0730" w:rsidP="009F0730">
      <w:pPr>
        <w:spacing w:after="200" w:line="276" w:lineRule="auto"/>
        <w:jc w:val="both"/>
        <w:rPr>
          <w:sz w:val="22"/>
          <w:szCs w:val="22"/>
        </w:rPr>
      </w:pPr>
    </w:p>
    <w:p w:rsidR="009F0730" w:rsidRPr="00044400" w:rsidRDefault="009F0730" w:rsidP="009F0730">
      <w:pPr>
        <w:spacing w:after="200" w:line="276" w:lineRule="auto"/>
        <w:jc w:val="both"/>
        <w:rPr>
          <w:b/>
          <w:sz w:val="22"/>
          <w:szCs w:val="22"/>
        </w:rPr>
      </w:pPr>
      <w:r w:rsidRPr="00044400">
        <w:rPr>
          <w:b/>
          <w:sz w:val="22"/>
          <w:szCs w:val="22"/>
        </w:rPr>
        <w:t>Action Step #7:  Adopt Utility Allowances for Green Buildings</w:t>
      </w:r>
    </w:p>
    <w:p w:rsidR="009F0730" w:rsidRDefault="009F0730" w:rsidP="009F0730">
      <w:pPr>
        <w:spacing w:after="200" w:line="276" w:lineRule="auto"/>
        <w:jc w:val="both"/>
        <w:rPr>
          <w:sz w:val="22"/>
          <w:szCs w:val="22"/>
        </w:rPr>
      </w:pPr>
    </w:p>
    <w:p w:rsidR="009F0730" w:rsidRPr="009F0730" w:rsidRDefault="009F0730" w:rsidP="009F0730">
      <w:pPr>
        <w:spacing w:after="200" w:line="276" w:lineRule="auto"/>
        <w:jc w:val="both"/>
        <w:rPr>
          <w:sz w:val="22"/>
          <w:szCs w:val="22"/>
        </w:rPr>
      </w:pPr>
      <w:r>
        <w:rPr>
          <w:sz w:val="22"/>
          <w:szCs w:val="22"/>
        </w:rPr>
        <w:t>The Task Force recommended the adoption of lower utility allowances for green housing units.  Affordable rent is calculated by subtracting an allowance for tenant-paid utilities.  Currently, the utility allowance is the same whether a unit is green or inefficient. By adopting a lower allowance for green housing</w:t>
      </w:r>
      <w:r w:rsidR="000628DF">
        <w:rPr>
          <w:sz w:val="22"/>
          <w:szCs w:val="22"/>
        </w:rPr>
        <w:t xml:space="preserve"> which more accurately reflects the tenant-paid utility costs</w:t>
      </w:r>
      <w:r>
        <w:rPr>
          <w:sz w:val="22"/>
          <w:szCs w:val="22"/>
        </w:rPr>
        <w:t xml:space="preserve">, a developer can charge more in rent.  This increases the project’s revenue, which in turn allows the project to support higher conventional debt.  This results in a decrease in </w:t>
      </w:r>
      <w:r w:rsidR="000628DF">
        <w:rPr>
          <w:sz w:val="22"/>
          <w:szCs w:val="22"/>
        </w:rPr>
        <w:t>public subsidy required for the project.</w:t>
      </w:r>
    </w:p>
    <w:p w:rsidR="00A23B69" w:rsidRPr="00F5461E" w:rsidRDefault="00CB322F" w:rsidP="00F5461E">
      <w:pPr>
        <w:pStyle w:val="TOC20"/>
      </w:pPr>
      <w:hyperlink w:anchor="Table_of_Contents" w:history="1">
        <w:bookmarkStart w:id="38" w:name="_Toc352584366"/>
        <w:bookmarkStart w:id="39" w:name="_Toc359933701"/>
        <w:r w:rsidR="00A23B69" w:rsidRPr="00AF0984">
          <w:rPr>
            <w:rStyle w:val="Hyperlink"/>
          </w:rPr>
          <w:t xml:space="preserve">Strategy </w:t>
        </w:r>
        <w:r w:rsidR="00E77E4E">
          <w:rPr>
            <w:rStyle w:val="Hyperlink"/>
          </w:rPr>
          <w:t>2</w:t>
        </w:r>
        <w:r w:rsidR="00A23B69" w:rsidRPr="00AF0984">
          <w:rPr>
            <w:rStyle w:val="Hyperlink"/>
          </w:rPr>
          <w:t xml:space="preserve">:  Determine </w:t>
        </w:r>
        <w:r w:rsidR="0013729E">
          <w:rPr>
            <w:rStyle w:val="Hyperlink"/>
          </w:rPr>
          <w:t xml:space="preserve">the </w:t>
        </w:r>
        <w:r w:rsidR="00A23B69" w:rsidRPr="00AF0984">
          <w:rPr>
            <w:rStyle w:val="Hyperlink"/>
          </w:rPr>
          <w:t>Optimal Mix of Housing Types</w:t>
        </w:r>
        <w:bookmarkEnd w:id="38"/>
        <w:bookmarkEnd w:id="39"/>
      </w:hyperlink>
    </w:p>
    <w:p w:rsidR="00BE7941" w:rsidRDefault="00BE7941">
      <w:pPr>
        <w:rPr>
          <w:sz w:val="22"/>
          <w:szCs w:val="22"/>
        </w:rPr>
      </w:pPr>
    </w:p>
    <w:p w:rsidR="000C4DD2" w:rsidRPr="00C43FAF" w:rsidRDefault="000C4DD2" w:rsidP="000C4DD2">
      <w:pPr>
        <w:rPr>
          <w:b/>
          <w:sz w:val="22"/>
          <w:szCs w:val="22"/>
          <w:u w:val="single"/>
        </w:rPr>
      </w:pPr>
      <w:r w:rsidRPr="007036D1">
        <w:rPr>
          <w:b/>
          <w:bCs/>
          <w:sz w:val="22"/>
          <w:szCs w:val="22"/>
        </w:rPr>
        <w:t>Why this Strategy is Important</w:t>
      </w:r>
    </w:p>
    <w:p w:rsidR="00372AFF" w:rsidRDefault="00372AFF" w:rsidP="00BE7941">
      <w:pPr>
        <w:pStyle w:val="Table"/>
        <w:spacing w:line="240" w:lineRule="auto"/>
        <w:rPr>
          <w:bCs/>
          <w:color w:val="auto"/>
          <w:sz w:val="22"/>
          <w:szCs w:val="22"/>
        </w:rPr>
      </w:pPr>
    </w:p>
    <w:p w:rsidR="00BE7941" w:rsidRPr="00B37E93" w:rsidRDefault="000336A9" w:rsidP="00830911">
      <w:pPr>
        <w:pStyle w:val="Table"/>
        <w:spacing w:line="240" w:lineRule="auto"/>
        <w:jc w:val="both"/>
        <w:rPr>
          <w:bCs/>
          <w:i/>
          <w:color w:val="auto"/>
          <w:sz w:val="22"/>
          <w:szCs w:val="22"/>
        </w:rPr>
      </w:pPr>
      <w:r>
        <w:rPr>
          <w:bCs/>
          <w:i/>
          <w:color w:val="auto"/>
          <w:sz w:val="22"/>
          <w:szCs w:val="22"/>
        </w:rPr>
        <w:t xml:space="preserve">Selection of </w:t>
      </w:r>
      <w:r w:rsidR="00BE7941" w:rsidRPr="00B37E93">
        <w:rPr>
          <w:bCs/>
          <w:i/>
          <w:color w:val="auto"/>
          <w:sz w:val="22"/>
          <w:szCs w:val="22"/>
        </w:rPr>
        <w:t>housing production</w:t>
      </w:r>
      <w:r>
        <w:rPr>
          <w:bCs/>
          <w:i/>
          <w:color w:val="auto"/>
          <w:sz w:val="22"/>
          <w:szCs w:val="22"/>
        </w:rPr>
        <w:t xml:space="preserve"> types offers a clear communication of goals and priorities.</w:t>
      </w:r>
    </w:p>
    <w:p w:rsidR="00BE7941" w:rsidRDefault="00BE7941" w:rsidP="00830911">
      <w:pPr>
        <w:jc w:val="both"/>
        <w:rPr>
          <w:sz w:val="22"/>
          <w:szCs w:val="22"/>
        </w:rPr>
      </w:pPr>
    </w:p>
    <w:p w:rsidR="00AC6F89" w:rsidRDefault="00E77E4E" w:rsidP="00AA385C">
      <w:pPr>
        <w:spacing w:after="200" w:line="276" w:lineRule="auto"/>
        <w:jc w:val="both"/>
        <w:rPr>
          <w:sz w:val="22"/>
          <w:szCs w:val="22"/>
        </w:rPr>
      </w:pPr>
      <w:r>
        <w:rPr>
          <w:sz w:val="22"/>
          <w:szCs w:val="22"/>
        </w:rPr>
        <w:t xml:space="preserve">Each of the </w:t>
      </w:r>
      <w:r w:rsidR="00BE7941">
        <w:rPr>
          <w:sz w:val="22"/>
          <w:szCs w:val="22"/>
        </w:rPr>
        <w:t>other strategies are shaped by the choices made between</w:t>
      </w:r>
      <w:r w:rsidR="00B00BAE">
        <w:rPr>
          <w:sz w:val="22"/>
          <w:szCs w:val="22"/>
        </w:rPr>
        <w:t xml:space="preserve"> rental and homeownership developments,</w:t>
      </w:r>
      <w:r w:rsidR="00BE7941">
        <w:rPr>
          <w:sz w:val="22"/>
          <w:szCs w:val="22"/>
        </w:rPr>
        <w:t xml:space="preserve"> new construction and </w:t>
      </w:r>
      <w:r w:rsidR="00507907">
        <w:rPr>
          <w:sz w:val="22"/>
          <w:szCs w:val="22"/>
        </w:rPr>
        <w:t>rehabilitation</w:t>
      </w:r>
      <w:r w:rsidR="00B24EFB">
        <w:rPr>
          <w:sz w:val="22"/>
          <w:szCs w:val="22"/>
        </w:rPr>
        <w:t>,</w:t>
      </w:r>
      <w:r w:rsidR="00BE7941">
        <w:rPr>
          <w:sz w:val="22"/>
          <w:szCs w:val="22"/>
        </w:rPr>
        <w:t xml:space="preserve"> and between large families, seniors, agricultural workers and special needs</w:t>
      </w:r>
      <w:r w:rsidR="000336A9">
        <w:rPr>
          <w:sz w:val="22"/>
          <w:szCs w:val="22"/>
        </w:rPr>
        <w:t xml:space="preserve"> populations</w:t>
      </w:r>
      <w:r w:rsidR="00BE7941">
        <w:rPr>
          <w:sz w:val="22"/>
          <w:szCs w:val="22"/>
        </w:rPr>
        <w:t xml:space="preserve">. For example, </w:t>
      </w:r>
      <w:r w:rsidR="0049304C">
        <w:rPr>
          <w:sz w:val="22"/>
          <w:szCs w:val="22"/>
        </w:rPr>
        <w:t>focus</w:t>
      </w:r>
      <w:r w:rsidR="00C20FCB">
        <w:rPr>
          <w:sz w:val="22"/>
          <w:szCs w:val="22"/>
        </w:rPr>
        <w:t>ing</w:t>
      </w:r>
      <w:r w:rsidR="0049304C">
        <w:rPr>
          <w:sz w:val="22"/>
          <w:szCs w:val="22"/>
        </w:rPr>
        <w:t xml:space="preserve"> resources on </w:t>
      </w:r>
      <w:r w:rsidR="00507907">
        <w:rPr>
          <w:sz w:val="22"/>
          <w:szCs w:val="22"/>
        </w:rPr>
        <w:t>rehabilitation</w:t>
      </w:r>
      <w:r w:rsidR="00BE7941">
        <w:rPr>
          <w:sz w:val="22"/>
          <w:szCs w:val="22"/>
        </w:rPr>
        <w:t xml:space="preserve">s over new construction has implications for whether future affordable housing will rely on 9% or 4% </w:t>
      </w:r>
      <w:r w:rsidR="00A65469">
        <w:rPr>
          <w:sz w:val="22"/>
          <w:szCs w:val="22"/>
        </w:rPr>
        <w:t xml:space="preserve">federal </w:t>
      </w:r>
      <w:r w:rsidR="00BE7941">
        <w:rPr>
          <w:sz w:val="22"/>
          <w:szCs w:val="22"/>
        </w:rPr>
        <w:t>tax credits</w:t>
      </w:r>
      <w:r w:rsidR="00AC6F89">
        <w:rPr>
          <w:sz w:val="22"/>
          <w:szCs w:val="22"/>
        </w:rPr>
        <w:t xml:space="preserve">. A preference for </w:t>
      </w:r>
      <w:r w:rsidR="00507907">
        <w:rPr>
          <w:sz w:val="22"/>
          <w:szCs w:val="22"/>
        </w:rPr>
        <w:t>rehabilitation</w:t>
      </w:r>
      <w:r w:rsidR="00AC6F89">
        <w:rPr>
          <w:sz w:val="22"/>
          <w:szCs w:val="22"/>
        </w:rPr>
        <w:t>s might also shift emphases on certain nonmonetary ideas such as designating affordable housing zones.</w:t>
      </w:r>
    </w:p>
    <w:p w:rsidR="00B00BAE" w:rsidRPr="001E2D3F" w:rsidRDefault="000336A9" w:rsidP="00F436FD">
      <w:pPr>
        <w:spacing w:after="200" w:line="276" w:lineRule="auto"/>
        <w:ind w:left="360" w:right="533"/>
        <w:jc w:val="both"/>
        <w:rPr>
          <w:sz w:val="22"/>
          <w:szCs w:val="22"/>
          <w:u w:val="single"/>
        </w:rPr>
      </w:pPr>
      <w:r>
        <w:rPr>
          <w:sz w:val="22"/>
          <w:szCs w:val="22"/>
          <w:u w:val="single"/>
        </w:rPr>
        <w:t>Rental versus</w:t>
      </w:r>
      <w:r w:rsidR="00B00BAE" w:rsidRPr="00372AFF">
        <w:rPr>
          <w:sz w:val="22"/>
          <w:szCs w:val="22"/>
          <w:u w:val="single"/>
        </w:rPr>
        <w:t xml:space="preserve"> Home</w:t>
      </w:r>
      <w:r w:rsidR="005641DC">
        <w:rPr>
          <w:sz w:val="22"/>
          <w:szCs w:val="22"/>
          <w:u w:val="single"/>
        </w:rPr>
        <w:t>o</w:t>
      </w:r>
      <w:r w:rsidR="00B00BAE" w:rsidRPr="00372AFF">
        <w:rPr>
          <w:sz w:val="22"/>
          <w:szCs w:val="22"/>
          <w:u w:val="single"/>
        </w:rPr>
        <w:t>wnership</w:t>
      </w:r>
    </w:p>
    <w:p w:rsidR="00372AFF" w:rsidRPr="000336A9" w:rsidRDefault="000B021C" w:rsidP="00F436FD">
      <w:pPr>
        <w:spacing w:after="200" w:line="276" w:lineRule="auto"/>
        <w:ind w:left="360" w:right="533"/>
        <w:jc w:val="both"/>
        <w:rPr>
          <w:sz w:val="22"/>
          <w:szCs w:val="22"/>
        </w:rPr>
      </w:pPr>
      <w:r>
        <w:rPr>
          <w:sz w:val="22"/>
          <w:szCs w:val="22"/>
        </w:rPr>
        <w:t>Most public and private affordable housing finance programs are geared towards the production of both rental and homeownership product</w:t>
      </w:r>
      <w:r w:rsidR="0049304C">
        <w:rPr>
          <w:sz w:val="22"/>
          <w:szCs w:val="22"/>
        </w:rPr>
        <w:t>s</w:t>
      </w:r>
      <w:r w:rsidR="005067F1">
        <w:rPr>
          <w:sz w:val="22"/>
          <w:szCs w:val="22"/>
        </w:rPr>
        <w:t>, with rental housing receiving the greater allocation</w:t>
      </w:r>
      <w:r>
        <w:rPr>
          <w:sz w:val="22"/>
          <w:szCs w:val="22"/>
        </w:rPr>
        <w:t xml:space="preserve">. </w:t>
      </w:r>
      <w:r w:rsidR="00D31B2A">
        <w:rPr>
          <w:sz w:val="22"/>
          <w:szCs w:val="22"/>
        </w:rPr>
        <w:t>O</w:t>
      </w:r>
      <w:r w:rsidR="005067F1">
        <w:rPr>
          <w:sz w:val="22"/>
          <w:szCs w:val="22"/>
        </w:rPr>
        <w:t xml:space="preserve">nly rental projects are eligible for tax credits </w:t>
      </w:r>
      <w:r w:rsidR="00D31B2A">
        <w:rPr>
          <w:sz w:val="22"/>
          <w:szCs w:val="22"/>
        </w:rPr>
        <w:t>under</w:t>
      </w:r>
      <w:r w:rsidR="005067F1">
        <w:rPr>
          <w:sz w:val="22"/>
          <w:szCs w:val="22"/>
        </w:rPr>
        <w:t xml:space="preserve"> federal and state programs. Since its inception under the Tax Reform Act of </w:t>
      </w:r>
      <w:r w:rsidR="001875F2">
        <w:rPr>
          <w:sz w:val="22"/>
          <w:szCs w:val="22"/>
        </w:rPr>
        <w:t xml:space="preserve">1986, the federal </w:t>
      </w:r>
      <w:r w:rsidR="005067F1">
        <w:rPr>
          <w:sz w:val="22"/>
          <w:szCs w:val="22"/>
        </w:rPr>
        <w:t>Low Income Housing Tax Credit has stimula</w:t>
      </w:r>
      <w:r w:rsidR="000336A9">
        <w:rPr>
          <w:sz w:val="22"/>
          <w:szCs w:val="22"/>
        </w:rPr>
        <w:t>ted the production of more rental homes than any other government program in our nation’s history</w:t>
      </w:r>
      <w:r w:rsidR="005067F1">
        <w:rPr>
          <w:sz w:val="22"/>
          <w:szCs w:val="22"/>
        </w:rPr>
        <w:t xml:space="preserve">. In </w:t>
      </w:r>
      <w:r w:rsidR="001875F2">
        <w:rPr>
          <w:sz w:val="22"/>
          <w:szCs w:val="22"/>
        </w:rPr>
        <w:t xml:space="preserve">2012, the California Tax Credit </w:t>
      </w:r>
      <w:r w:rsidR="001875F2" w:rsidRPr="000336A9">
        <w:rPr>
          <w:sz w:val="22"/>
          <w:szCs w:val="22"/>
        </w:rPr>
        <w:t xml:space="preserve">Allocation Committee allocated over $87 million of annual federal credits and over $85.5 million of </w:t>
      </w:r>
      <w:r w:rsidR="005E136E">
        <w:rPr>
          <w:sz w:val="22"/>
          <w:szCs w:val="22"/>
        </w:rPr>
        <w:t>State</w:t>
      </w:r>
      <w:r w:rsidR="001875F2" w:rsidRPr="000336A9">
        <w:rPr>
          <w:sz w:val="22"/>
          <w:szCs w:val="22"/>
        </w:rPr>
        <w:t xml:space="preserve"> credits to 102 projects comprising 6,248 low-income rental units</w:t>
      </w:r>
      <w:r w:rsidR="00EF6C8A" w:rsidRPr="000336A9">
        <w:rPr>
          <w:sz w:val="22"/>
          <w:szCs w:val="22"/>
        </w:rPr>
        <w:t xml:space="preserve"> under the 9% program alone</w:t>
      </w:r>
      <w:r w:rsidR="001875F2" w:rsidRPr="000336A9">
        <w:rPr>
          <w:sz w:val="22"/>
          <w:szCs w:val="22"/>
        </w:rPr>
        <w:t>.</w:t>
      </w:r>
    </w:p>
    <w:p w:rsidR="00B00BAE" w:rsidRPr="000336A9" w:rsidRDefault="00044400" w:rsidP="00A65469">
      <w:pPr>
        <w:spacing w:after="200" w:line="276" w:lineRule="auto"/>
        <w:ind w:left="360" w:right="533"/>
        <w:jc w:val="both"/>
        <w:rPr>
          <w:sz w:val="22"/>
          <w:szCs w:val="22"/>
        </w:rPr>
      </w:pPr>
      <w:r w:rsidRPr="00044400">
        <w:rPr>
          <w:sz w:val="22"/>
          <w:szCs w:val="22"/>
        </w:rPr>
        <w:t xml:space="preserve">The Task Force </w:t>
      </w:r>
      <w:r w:rsidR="002105DD" w:rsidRPr="00044400">
        <w:rPr>
          <w:sz w:val="22"/>
          <w:szCs w:val="22"/>
        </w:rPr>
        <w:t>analyzed</w:t>
      </w:r>
      <w:r w:rsidR="00372AFF" w:rsidRPr="00044400">
        <w:rPr>
          <w:sz w:val="22"/>
          <w:szCs w:val="22"/>
        </w:rPr>
        <w:t xml:space="preserve"> this strategy reached consensus that public agency financial and non-monetary </w:t>
      </w:r>
      <w:r w:rsidR="0049304C" w:rsidRPr="00044400">
        <w:rPr>
          <w:sz w:val="22"/>
          <w:szCs w:val="22"/>
        </w:rPr>
        <w:t xml:space="preserve">resources </w:t>
      </w:r>
      <w:r w:rsidR="00372AFF" w:rsidRPr="00044400">
        <w:rPr>
          <w:sz w:val="22"/>
          <w:szCs w:val="22"/>
        </w:rPr>
        <w:t xml:space="preserve">should be directed so that </w:t>
      </w:r>
      <w:r w:rsidRPr="00044400">
        <w:rPr>
          <w:sz w:val="22"/>
          <w:szCs w:val="22"/>
        </w:rPr>
        <w:t xml:space="preserve">the majority </w:t>
      </w:r>
      <w:r w:rsidR="00372AFF" w:rsidRPr="00044400">
        <w:rPr>
          <w:sz w:val="22"/>
          <w:szCs w:val="22"/>
        </w:rPr>
        <w:t xml:space="preserve">of future units financed with local public agency funds (“assisted units”) </w:t>
      </w:r>
      <w:r w:rsidR="00EF6C8A" w:rsidRPr="00044400">
        <w:rPr>
          <w:sz w:val="22"/>
          <w:szCs w:val="22"/>
        </w:rPr>
        <w:t>are</w:t>
      </w:r>
      <w:r w:rsidR="004D2E22" w:rsidRPr="00044400">
        <w:rPr>
          <w:sz w:val="22"/>
          <w:szCs w:val="22"/>
        </w:rPr>
        <w:t xml:space="preserve"> rental</w:t>
      </w:r>
      <w:r w:rsidR="002105DD" w:rsidRPr="00044400">
        <w:rPr>
          <w:sz w:val="22"/>
          <w:szCs w:val="22"/>
        </w:rPr>
        <w:t xml:space="preserve">. The </w:t>
      </w:r>
      <w:r w:rsidRPr="00044400">
        <w:rPr>
          <w:sz w:val="22"/>
          <w:szCs w:val="22"/>
        </w:rPr>
        <w:t xml:space="preserve">Task Force </w:t>
      </w:r>
      <w:r w:rsidR="00A65469" w:rsidRPr="00044400">
        <w:rPr>
          <w:sz w:val="22"/>
          <w:szCs w:val="22"/>
        </w:rPr>
        <w:t xml:space="preserve">was attuned to </w:t>
      </w:r>
      <w:r w:rsidR="00EF6C8A" w:rsidRPr="00044400">
        <w:rPr>
          <w:sz w:val="22"/>
          <w:szCs w:val="22"/>
        </w:rPr>
        <w:t>the need to leverage local public funds with the state and federal programs that give preference to multifamily</w:t>
      </w:r>
      <w:r w:rsidR="0049304C" w:rsidRPr="00044400">
        <w:rPr>
          <w:sz w:val="22"/>
          <w:szCs w:val="22"/>
        </w:rPr>
        <w:t xml:space="preserve"> rental housing</w:t>
      </w:r>
      <w:r w:rsidR="00EF6C8A" w:rsidRPr="00044400">
        <w:rPr>
          <w:sz w:val="22"/>
          <w:szCs w:val="22"/>
        </w:rPr>
        <w:t xml:space="preserve"> </w:t>
      </w:r>
      <w:r w:rsidR="000336A9" w:rsidRPr="00044400">
        <w:rPr>
          <w:sz w:val="22"/>
          <w:szCs w:val="22"/>
        </w:rPr>
        <w:t xml:space="preserve">over </w:t>
      </w:r>
      <w:r w:rsidR="0049304C" w:rsidRPr="00044400">
        <w:rPr>
          <w:sz w:val="22"/>
          <w:szCs w:val="22"/>
        </w:rPr>
        <w:t xml:space="preserve">single family </w:t>
      </w:r>
      <w:r w:rsidR="000336A9" w:rsidRPr="00044400">
        <w:rPr>
          <w:sz w:val="22"/>
          <w:szCs w:val="22"/>
        </w:rPr>
        <w:t>homeownership.</w:t>
      </w:r>
      <w:r w:rsidR="00E77E4E" w:rsidRPr="00044400">
        <w:rPr>
          <w:sz w:val="22"/>
          <w:szCs w:val="22"/>
        </w:rPr>
        <w:t xml:space="preserve"> </w:t>
      </w:r>
    </w:p>
    <w:p w:rsidR="00AC6F89" w:rsidRPr="000336A9" w:rsidRDefault="00AC6F89" w:rsidP="00F436FD">
      <w:pPr>
        <w:spacing w:after="200" w:line="276" w:lineRule="auto"/>
        <w:ind w:left="360" w:right="533"/>
        <w:jc w:val="both"/>
        <w:rPr>
          <w:sz w:val="22"/>
          <w:szCs w:val="22"/>
          <w:u w:val="single"/>
        </w:rPr>
      </w:pPr>
      <w:r w:rsidRPr="000336A9">
        <w:rPr>
          <w:sz w:val="22"/>
          <w:szCs w:val="22"/>
          <w:u w:val="single"/>
        </w:rPr>
        <w:t xml:space="preserve">New </w:t>
      </w:r>
      <w:r w:rsidR="000336A9">
        <w:rPr>
          <w:sz w:val="22"/>
          <w:szCs w:val="22"/>
          <w:u w:val="single"/>
        </w:rPr>
        <w:t>Construction versus</w:t>
      </w:r>
      <w:r w:rsidRPr="000336A9">
        <w:rPr>
          <w:sz w:val="22"/>
          <w:szCs w:val="22"/>
          <w:u w:val="single"/>
        </w:rPr>
        <w:t xml:space="preserve"> </w:t>
      </w:r>
      <w:r w:rsidR="00507907">
        <w:rPr>
          <w:sz w:val="22"/>
          <w:szCs w:val="22"/>
          <w:u w:val="single"/>
        </w:rPr>
        <w:t>Rehabilitation</w:t>
      </w:r>
    </w:p>
    <w:p w:rsidR="00AA385C" w:rsidRDefault="00237A22" w:rsidP="00A65469">
      <w:pPr>
        <w:spacing w:after="200" w:line="276" w:lineRule="auto"/>
        <w:ind w:left="360" w:right="533"/>
        <w:jc w:val="both"/>
        <w:rPr>
          <w:sz w:val="22"/>
          <w:szCs w:val="22"/>
        </w:rPr>
      </w:pPr>
      <w:r w:rsidRPr="000336A9">
        <w:rPr>
          <w:sz w:val="22"/>
          <w:szCs w:val="22"/>
        </w:rPr>
        <w:t>The topic of prioritizing new constr</w:t>
      </w:r>
      <w:r w:rsidR="003C5BC0" w:rsidRPr="000336A9">
        <w:rPr>
          <w:sz w:val="22"/>
          <w:szCs w:val="22"/>
        </w:rPr>
        <w:t xml:space="preserve">uction versus </w:t>
      </w:r>
      <w:r w:rsidR="00507907">
        <w:rPr>
          <w:sz w:val="22"/>
          <w:szCs w:val="22"/>
        </w:rPr>
        <w:t>rehabilitation</w:t>
      </w:r>
      <w:r w:rsidR="003C5BC0" w:rsidRPr="000336A9">
        <w:rPr>
          <w:sz w:val="22"/>
          <w:szCs w:val="22"/>
        </w:rPr>
        <w:t>s generated</w:t>
      </w:r>
      <w:r w:rsidR="00D31B2A" w:rsidRPr="000336A9">
        <w:rPr>
          <w:sz w:val="22"/>
          <w:szCs w:val="22"/>
        </w:rPr>
        <w:t xml:space="preserve"> strong viewpoints </w:t>
      </w:r>
      <w:r w:rsidR="001E2D3F" w:rsidRPr="000336A9">
        <w:rPr>
          <w:sz w:val="22"/>
          <w:szCs w:val="22"/>
        </w:rPr>
        <w:t>during the</w:t>
      </w:r>
      <w:r w:rsidRPr="000336A9">
        <w:rPr>
          <w:sz w:val="22"/>
          <w:szCs w:val="22"/>
        </w:rPr>
        <w:t xml:space="preserve"> study period. </w:t>
      </w:r>
      <w:r w:rsidR="00AC6F89" w:rsidRPr="000336A9">
        <w:rPr>
          <w:sz w:val="22"/>
          <w:szCs w:val="22"/>
        </w:rPr>
        <w:t xml:space="preserve">Prior to deliberating the merits of new construction and </w:t>
      </w:r>
      <w:r w:rsidR="00507907">
        <w:rPr>
          <w:sz w:val="22"/>
          <w:szCs w:val="22"/>
        </w:rPr>
        <w:t>rehabilitation</w:t>
      </w:r>
      <w:r w:rsidR="00AC6F89" w:rsidRPr="000336A9">
        <w:rPr>
          <w:sz w:val="22"/>
          <w:szCs w:val="22"/>
        </w:rPr>
        <w:t xml:space="preserve"> deals, the </w:t>
      </w:r>
      <w:r w:rsidR="001E2D3F" w:rsidRPr="000336A9">
        <w:rPr>
          <w:sz w:val="22"/>
          <w:szCs w:val="22"/>
        </w:rPr>
        <w:t>Task Force reviewed materials on affordable housing budgets and the development history in Napa County</w:t>
      </w:r>
      <w:r w:rsidR="00902F41" w:rsidRPr="000336A9">
        <w:rPr>
          <w:sz w:val="22"/>
          <w:szCs w:val="22"/>
        </w:rPr>
        <w:t xml:space="preserve">. </w:t>
      </w:r>
      <w:r w:rsidR="00902F41" w:rsidRPr="0049304C">
        <w:rPr>
          <w:sz w:val="22"/>
          <w:szCs w:val="22"/>
        </w:rPr>
        <w:t xml:space="preserve">The Task Force considered </w:t>
      </w:r>
      <w:r w:rsidR="001E2D3F" w:rsidRPr="0049304C">
        <w:rPr>
          <w:sz w:val="22"/>
          <w:szCs w:val="22"/>
        </w:rPr>
        <w:t xml:space="preserve">factors such as </w:t>
      </w:r>
      <w:r w:rsidR="00902F41" w:rsidRPr="0049304C">
        <w:rPr>
          <w:sz w:val="22"/>
          <w:szCs w:val="22"/>
        </w:rPr>
        <w:t>cost efficiency, unit production</w:t>
      </w:r>
      <w:r w:rsidR="001E2D3F" w:rsidRPr="0049304C">
        <w:rPr>
          <w:sz w:val="22"/>
          <w:szCs w:val="22"/>
        </w:rPr>
        <w:t xml:space="preserve"> and preservation</w:t>
      </w:r>
      <w:r w:rsidR="00902F41" w:rsidRPr="0049304C">
        <w:rPr>
          <w:sz w:val="22"/>
          <w:szCs w:val="22"/>
        </w:rPr>
        <w:t>, community impact</w:t>
      </w:r>
      <w:r w:rsidR="001E2D3F" w:rsidRPr="0049304C">
        <w:rPr>
          <w:sz w:val="22"/>
          <w:szCs w:val="22"/>
        </w:rPr>
        <w:t xml:space="preserve"> of new construction, </w:t>
      </w:r>
      <w:r w:rsidR="00902F41" w:rsidRPr="0049304C">
        <w:rPr>
          <w:sz w:val="22"/>
          <w:szCs w:val="22"/>
        </w:rPr>
        <w:t xml:space="preserve">and </w:t>
      </w:r>
      <w:r w:rsidR="001E2D3F" w:rsidRPr="0049304C">
        <w:rPr>
          <w:sz w:val="22"/>
          <w:szCs w:val="22"/>
        </w:rPr>
        <w:t xml:space="preserve">the best means to achieve </w:t>
      </w:r>
      <w:r w:rsidR="00902F41" w:rsidRPr="0049304C">
        <w:rPr>
          <w:sz w:val="22"/>
          <w:szCs w:val="22"/>
        </w:rPr>
        <w:t>energy efficiency</w:t>
      </w:r>
      <w:r w:rsidR="001E2D3F" w:rsidRPr="0049304C">
        <w:rPr>
          <w:sz w:val="22"/>
          <w:szCs w:val="22"/>
        </w:rPr>
        <w:t xml:space="preserve"> goals</w:t>
      </w:r>
      <w:r w:rsidR="00065929" w:rsidRPr="0049304C">
        <w:rPr>
          <w:sz w:val="22"/>
          <w:szCs w:val="22"/>
        </w:rPr>
        <w:t>.</w:t>
      </w:r>
      <w:r w:rsidR="00071080">
        <w:rPr>
          <w:sz w:val="22"/>
          <w:szCs w:val="22"/>
        </w:rPr>
        <w:t xml:space="preserve">  Ultimately the Task Force recommended a policy of evaluating whether new construction or rehabilitation made sense at the time funding is available.  Under this policy, potential projects would be </w:t>
      </w:r>
      <w:r w:rsidR="00071080" w:rsidRPr="003E1644">
        <w:rPr>
          <w:bCs/>
          <w:sz w:val="22"/>
          <w:szCs w:val="22"/>
        </w:rPr>
        <w:t>evaluate</w:t>
      </w:r>
      <w:r w:rsidR="00071080">
        <w:rPr>
          <w:bCs/>
          <w:sz w:val="22"/>
          <w:szCs w:val="22"/>
        </w:rPr>
        <w:t>d</w:t>
      </w:r>
      <w:r w:rsidR="00071080" w:rsidRPr="003E1644">
        <w:rPr>
          <w:bCs/>
          <w:sz w:val="22"/>
          <w:szCs w:val="22"/>
        </w:rPr>
        <w:t xml:space="preserve"> based on the full array of Task Force priorities </w:t>
      </w:r>
      <w:r w:rsidR="00071080">
        <w:rPr>
          <w:bCs/>
          <w:sz w:val="22"/>
          <w:szCs w:val="22"/>
        </w:rPr>
        <w:t xml:space="preserve">for </w:t>
      </w:r>
      <w:r w:rsidR="00071080" w:rsidRPr="003E1644">
        <w:rPr>
          <w:bCs/>
          <w:sz w:val="22"/>
          <w:szCs w:val="22"/>
        </w:rPr>
        <w:t xml:space="preserve">sustainable building, proximity to employment, transit-oriented development, social service amenities, </w:t>
      </w:r>
      <w:r w:rsidR="00071080">
        <w:rPr>
          <w:bCs/>
          <w:sz w:val="22"/>
          <w:szCs w:val="22"/>
        </w:rPr>
        <w:t xml:space="preserve">vacancy rates, </w:t>
      </w:r>
      <w:r w:rsidR="00071080" w:rsidRPr="003E1644">
        <w:rPr>
          <w:bCs/>
          <w:sz w:val="22"/>
          <w:szCs w:val="22"/>
        </w:rPr>
        <w:t>and cost efficiencies</w:t>
      </w:r>
      <w:r w:rsidR="00071080">
        <w:rPr>
          <w:sz w:val="22"/>
          <w:szCs w:val="22"/>
        </w:rPr>
        <w:t>.</w:t>
      </w:r>
    </w:p>
    <w:p w:rsidR="00276DF6" w:rsidRPr="000336A9" w:rsidRDefault="00276DF6" w:rsidP="00A65469">
      <w:pPr>
        <w:spacing w:after="200" w:line="276" w:lineRule="auto"/>
        <w:ind w:left="360" w:right="533"/>
        <w:jc w:val="both"/>
        <w:rPr>
          <w:sz w:val="22"/>
          <w:szCs w:val="22"/>
        </w:rPr>
      </w:pPr>
    </w:p>
    <w:p w:rsidR="001E2D3F" w:rsidRPr="000336A9" w:rsidRDefault="001E2D3F" w:rsidP="00F436FD">
      <w:pPr>
        <w:spacing w:after="200" w:line="276" w:lineRule="auto"/>
        <w:ind w:left="360" w:right="533"/>
        <w:jc w:val="both"/>
        <w:rPr>
          <w:sz w:val="22"/>
          <w:szCs w:val="22"/>
          <w:u w:val="single"/>
        </w:rPr>
      </w:pPr>
      <w:r w:rsidRPr="000336A9">
        <w:rPr>
          <w:sz w:val="22"/>
          <w:szCs w:val="22"/>
          <w:u w:val="single"/>
        </w:rPr>
        <w:t>Tenant Populations</w:t>
      </w:r>
    </w:p>
    <w:p w:rsidR="000336A9" w:rsidRDefault="001E2D3F" w:rsidP="00A65469">
      <w:pPr>
        <w:spacing w:after="200" w:line="276" w:lineRule="auto"/>
        <w:ind w:left="360" w:right="533"/>
        <w:jc w:val="both"/>
        <w:rPr>
          <w:sz w:val="22"/>
          <w:szCs w:val="22"/>
        </w:rPr>
      </w:pPr>
      <w:r w:rsidRPr="000336A9">
        <w:rPr>
          <w:sz w:val="22"/>
          <w:szCs w:val="22"/>
        </w:rPr>
        <w:t>The Task Force also reviewed the merits of targeting potential tenant populations. The working group supported expanding opportunities for seniors, large families and special needs households. The group also stated a goal to promote workforce housing. Because the documented need for affordable housing across these tenant populations is so great, the Task Force decided to not pursue a preference for any one group</w:t>
      </w:r>
      <w:r w:rsidR="0049304C">
        <w:rPr>
          <w:sz w:val="22"/>
          <w:szCs w:val="22"/>
        </w:rPr>
        <w:t>, but rather to address need on a case-by-case basis as funding becomes available for development</w:t>
      </w:r>
      <w:r w:rsidRPr="000336A9">
        <w:rPr>
          <w:sz w:val="22"/>
          <w:szCs w:val="22"/>
        </w:rPr>
        <w:t>.</w:t>
      </w:r>
    </w:p>
    <w:p w:rsidR="00065929" w:rsidRDefault="00065929" w:rsidP="00F436FD">
      <w:pPr>
        <w:spacing w:after="200" w:line="276" w:lineRule="auto"/>
        <w:jc w:val="both"/>
        <w:rPr>
          <w:sz w:val="22"/>
          <w:szCs w:val="22"/>
        </w:rPr>
      </w:pPr>
      <w:r>
        <w:rPr>
          <w:sz w:val="22"/>
          <w:szCs w:val="22"/>
        </w:rPr>
        <w:t>In its discussi</w:t>
      </w:r>
      <w:r w:rsidR="000336A9">
        <w:rPr>
          <w:sz w:val="22"/>
          <w:szCs w:val="22"/>
        </w:rPr>
        <w:t>ons on new construction versus</w:t>
      </w:r>
      <w:r>
        <w:rPr>
          <w:sz w:val="22"/>
          <w:szCs w:val="22"/>
        </w:rPr>
        <w:t xml:space="preserve"> </w:t>
      </w:r>
      <w:r w:rsidR="00507907">
        <w:rPr>
          <w:sz w:val="22"/>
          <w:szCs w:val="22"/>
        </w:rPr>
        <w:t>rehabilitation</w:t>
      </w:r>
      <w:r>
        <w:rPr>
          <w:sz w:val="22"/>
          <w:szCs w:val="22"/>
        </w:rPr>
        <w:t xml:space="preserve"> and on targeting household types, the Task Force reached consensus on the following guiding principle:</w:t>
      </w:r>
    </w:p>
    <w:p w:rsidR="001E2D3F" w:rsidRPr="00963617" w:rsidRDefault="001E2D3F" w:rsidP="001E2D3F">
      <w:pPr>
        <w:ind w:left="360"/>
        <w:rPr>
          <w:sz w:val="22"/>
          <w:szCs w:val="22"/>
        </w:rPr>
      </w:pPr>
    </w:p>
    <w:p w:rsidR="00065929" w:rsidRPr="00963617" w:rsidRDefault="001A4C46" w:rsidP="00065929">
      <w:pPr>
        <w:rPr>
          <w:sz w:val="22"/>
          <w:szCs w:val="22"/>
        </w:rPr>
      </w:pPr>
      <w:r>
        <w:rPr>
          <w:noProof/>
          <w:sz w:val="22"/>
          <w:szCs w:val="22"/>
        </w:rPr>
        <mc:AlternateContent>
          <mc:Choice Requires="wps">
            <w:drawing>
              <wp:inline distT="0" distB="0" distL="0" distR="0">
                <wp:extent cx="5943600" cy="1390650"/>
                <wp:effectExtent l="19050" t="19050" r="19050" b="19050"/>
                <wp:docPr id="1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390650"/>
                        </a:xfrm>
                        <a:prstGeom prst="rect">
                          <a:avLst/>
                        </a:prstGeom>
                        <a:solidFill>
                          <a:srgbClr val="FFFFFF"/>
                        </a:solidFill>
                        <a:ln w="38100" cmpd="dbl">
                          <a:solidFill>
                            <a:schemeClr val="tx1">
                              <a:lumMod val="100000"/>
                              <a:lumOff val="0"/>
                            </a:schemeClr>
                          </a:solidFill>
                          <a:miter lim="800000"/>
                          <a:headEnd/>
                          <a:tailEnd/>
                        </a:ln>
                      </wps:spPr>
                      <wps:txbx>
                        <w:txbxContent>
                          <w:p w:rsidR="00CE2A47" w:rsidRPr="00397494" w:rsidRDefault="00CE2A47" w:rsidP="00065929">
                            <w:pPr>
                              <w:jc w:val="center"/>
                              <w:rPr>
                                <w:color w:val="00008C"/>
                              </w:rPr>
                            </w:pPr>
                          </w:p>
                          <w:p w:rsidR="00CE2A47" w:rsidRPr="00963617" w:rsidRDefault="00CE2A47" w:rsidP="00065929">
                            <w:pPr>
                              <w:jc w:val="center"/>
                              <w:rPr>
                                <w:b/>
                                <w:i/>
                                <w:sz w:val="32"/>
                                <w:szCs w:val="32"/>
                              </w:rPr>
                            </w:pPr>
                            <w:r w:rsidRPr="00963617">
                              <w:rPr>
                                <w:b/>
                                <w:i/>
                                <w:sz w:val="32"/>
                                <w:szCs w:val="32"/>
                              </w:rPr>
                              <w:t>Create flexibility to undertake opportunities as they arise.</w:t>
                            </w:r>
                          </w:p>
                          <w:p w:rsidR="00CE2A47" w:rsidRPr="00963617" w:rsidRDefault="00CE2A47" w:rsidP="00065929">
                            <w:pPr>
                              <w:jc w:val="center"/>
                              <w:rPr>
                                <w:sz w:val="22"/>
                                <w:szCs w:val="22"/>
                              </w:rPr>
                            </w:pPr>
                          </w:p>
                          <w:p w:rsidR="00CE2A47" w:rsidRPr="00963617" w:rsidRDefault="00CE2A47" w:rsidP="00F436FD">
                            <w:pPr>
                              <w:spacing w:after="200" w:line="276" w:lineRule="auto"/>
                              <w:contextualSpacing/>
                              <w:jc w:val="center"/>
                              <w:rPr>
                                <w:sz w:val="22"/>
                                <w:szCs w:val="22"/>
                              </w:rPr>
                            </w:pPr>
                            <w:r w:rsidRPr="00963617">
                              <w:rPr>
                                <w:sz w:val="22"/>
                                <w:szCs w:val="22"/>
                              </w:rPr>
                              <w:t>On a case-by-case basis, proposed developments will be evaluated for their efforts to meet Task Force objectives of cost efficiency, access to transit, green building techniques, proximity to employment centers, and housing prioritized tenant populations.</w:t>
                            </w:r>
                          </w:p>
                        </w:txbxContent>
                      </wps:txbx>
                      <wps:bodyPr rot="0" vert="horz" wrap="square" lIns="91440" tIns="45720" rIns="91440" bIns="45720" anchor="t" anchorCtr="0" upright="1">
                        <a:noAutofit/>
                      </wps:bodyPr>
                    </wps:wsp>
                  </a:graphicData>
                </a:graphic>
              </wp:inline>
            </w:drawing>
          </mc:Choice>
          <mc:Fallback>
            <w:pict>
              <v:shape id="Text Box 18" o:spid="_x0000_s1032" type="#_x0000_t202" style="width:468pt;height:10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" strokecolor="black [3213]" strokeweight="3pt">
                <v:stroke linestyle="thinThin"/>
                <v:textbox>
                  <w:txbxContent>
                    <w:p w:rsidR="00CE2A47" w:rsidRPr="00397494" w:rsidRDefault="00CE2A47" w:rsidP="00065929">
                      <w:pPr>
                        <w:jc w:val="center"/>
                        <w:rPr>
                          <w:color w:val="00008C"/>
                        </w:rPr>
                      </w:pPr>
                    </w:p>
                    <w:p w:rsidR="00CE2A47" w:rsidRPr="00963617" w:rsidRDefault="00CE2A47" w:rsidP="00065929">
                      <w:pPr>
                        <w:jc w:val="center"/>
                        <w:rPr>
                          <w:b/>
                          <w:i/>
                          <w:sz w:val="32"/>
                          <w:szCs w:val="32"/>
                        </w:rPr>
                      </w:pPr>
                      <w:r w:rsidRPr="00963617">
                        <w:rPr>
                          <w:b/>
                          <w:i/>
                          <w:sz w:val="32"/>
                          <w:szCs w:val="32"/>
                        </w:rPr>
                        <w:t>Create flexibility to undertake opportunities as they arise.</w:t>
                      </w:r>
                    </w:p>
                    <w:p w:rsidR="00CE2A47" w:rsidRPr="00963617" w:rsidRDefault="00CE2A47" w:rsidP="00065929">
                      <w:pPr>
                        <w:jc w:val="center"/>
                        <w:rPr>
                          <w:sz w:val="22"/>
                          <w:szCs w:val="22"/>
                        </w:rPr>
                      </w:pPr>
                    </w:p>
                    <w:p w:rsidR="00CE2A47" w:rsidRPr="00963617" w:rsidRDefault="00CE2A47" w:rsidP="00F436FD">
                      <w:pPr>
                        <w:spacing w:after="200" w:line="276" w:lineRule="auto"/>
                        <w:contextualSpacing/>
                        <w:jc w:val="center"/>
                        <w:rPr>
                          <w:sz w:val="22"/>
                          <w:szCs w:val="22"/>
                        </w:rPr>
                      </w:pPr>
                      <w:r w:rsidRPr="00963617">
                        <w:rPr>
                          <w:sz w:val="22"/>
                          <w:szCs w:val="22"/>
                        </w:rPr>
                        <w:t>On a case-by-case basis, proposed developments will be evaluated for their efforts to meet Task Force objectives of cost efficiency, access to transit, green building techniques, proximity to employment centers, and housing prioritized tenant populations.</w:t>
                      </w:r>
                    </w:p>
                  </w:txbxContent>
                </v:textbox>
                <w10:anchorlock/>
              </v:shape>
            </w:pict>
          </mc:Fallback>
        </mc:AlternateContent>
      </w:r>
    </w:p>
    <w:p w:rsidR="00065929" w:rsidRPr="00963617" w:rsidRDefault="00065929" w:rsidP="00065929">
      <w:pPr>
        <w:rPr>
          <w:sz w:val="22"/>
          <w:szCs w:val="22"/>
        </w:rPr>
      </w:pPr>
    </w:p>
    <w:p w:rsidR="00A0004E" w:rsidRPr="00963617" w:rsidRDefault="00A0004E" w:rsidP="001E2D3F">
      <w:pPr>
        <w:rPr>
          <w:sz w:val="22"/>
          <w:szCs w:val="22"/>
        </w:rPr>
      </w:pPr>
    </w:p>
    <w:p w:rsidR="00902F41" w:rsidRPr="00963617" w:rsidRDefault="00CB322F" w:rsidP="00F5461E">
      <w:pPr>
        <w:pStyle w:val="TOC30"/>
      </w:pPr>
      <w:hyperlink w:anchor="Table_of_Contents" w:history="1">
        <w:bookmarkStart w:id="40" w:name="_Toc352584367"/>
        <w:bookmarkStart w:id="41" w:name="_Toc359933702"/>
        <w:r w:rsidR="00902F41" w:rsidRPr="00963617">
          <w:rPr>
            <w:rStyle w:val="Hyperlink"/>
            <w:color w:val="auto"/>
          </w:rPr>
          <w:t>Action Step #1:</w:t>
        </w:r>
        <w:r w:rsidR="00902F41" w:rsidRPr="00963617">
          <w:rPr>
            <w:rStyle w:val="Hyperlink"/>
            <w:color w:val="auto"/>
          </w:rPr>
          <w:tab/>
          <w:t>Encourage Affordable Housing Site</w:t>
        </w:r>
        <w:r w:rsidR="00A37EEC" w:rsidRPr="00963617">
          <w:rPr>
            <w:rStyle w:val="Hyperlink"/>
            <w:color w:val="auto"/>
          </w:rPr>
          <w:t xml:space="preserve"> Selection</w:t>
        </w:r>
        <w:r w:rsidR="005D49EE" w:rsidRPr="00963617">
          <w:rPr>
            <w:rStyle w:val="Hyperlink"/>
            <w:color w:val="auto"/>
          </w:rPr>
          <w:t xml:space="preserve"> </w:t>
        </w:r>
        <w:r w:rsidR="000C4DE2" w:rsidRPr="00963617">
          <w:rPr>
            <w:rStyle w:val="Hyperlink"/>
            <w:color w:val="auto"/>
          </w:rPr>
          <w:t>near</w:t>
        </w:r>
        <w:r w:rsidR="00902F41" w:rsidRPr="00963617">
          <w:rPr>
            <w:rStyle w:val="Hyperlink"/>
            <w:color w:val="auto"/>
          </w:rPr>
          <w:t xml:space="preserve"> Transit and Employment Centers</w:t>
        </w:r>
        <w:bookmarkEnd w:id="40"/>
        <w:bookmarkEnd w:id="41"/>
      </w:hyperlink>
    </w:p>
    <w:p w:rsidR="00902F41" w:rsidRPr="00C43FAF" w:rsidRDefault="00902F41" w:rsidP="00902F41">
      <w:pPr>
        <w:rPr>
          <w:sz w:val="22"/>
          <w:szCs w:val="22"/>
        </w:rPr>
      </w:pPr>
    </w:p>
    <w:p w:rsidR="00902F41" w:rsidRPr="00591F6D" w:rsidRDefault="00E4227F" w:rsidP="00703C29">
      <w:pPr>
        <w:spacing w:after="200" w:line="276" w:lineRule="auto"/>
        <w:contextualSpacing/>
        <w:jc w:val="both"/>
        <w:rPr>
          <w:sz w:val="22"/>
          <w:szCs w:val="22"/>
        </w:rPr>
      </w:pPr>
      <w:r>
        <w:rPr>
          <w:sz w:val="22"/>
          <w:szCs w:val="22"/>
        </w:rPr>
        <w:t xml:space="preserve">Given the commuting challenges confronting the Napa region, workforce housing quickly rose to the </w:t>
      </w:r>
      <w:r w:rsidR="00AC7A06">
        <w:rPr>
          <w:sz w:val="22"/>
          <w:szCs w:val="22"/>
        </w:rPr>
        <w:t xml:space="preserve">top of the Task Force’s priority list. The Task Force collectively concluded that affordable housing solutions should be partially borne by </w:t>
      </w:r>
      <w:r w:rsidR="00AC7A06" w:rsidRPr="00AA385C">
        <w:rPr>
          <w:sz w:val="22"/>
          <w:szCs w:val="22"/>
        </w:rPr>
        <w:t>Napa</w:t>
      </w:r>
      <w:r w:rsidR="00AA385C">
        <w:rPr>
          <w:sz w:val="22"/>
          <w:szCs w:val="22"/>
        </w:rPr>
        <w:t>’s leading economic sectors: agriculture/wineries and hospitality/tourism.</w:t>
      </w:r>
      <w:r w:rsidR="00AC7A06">
        <w:rPr>
          <w:sz w:val="22"/>
          <w:szCs w:val="22"/>
        </w:rPr>
        <w:t xml:space="preserve"> </w:t>
      </w:r>
    </w:p>
    <w:p w:rsidR="00902F41" w:rsidRDefault="00902F41" w:rsidP="00902F41">
      <w:pPr>
        <w:rPr>
          <w:b/>
          <w:sz w:val="22"/>
          <w:szCs w:val="22"/>
        </w:rPr>
      </w:pPr>
    </w:p>
    <w:p w:rsidR="000F60A1" w:rsidRPr="00F5461E" w:rsidRDefault="00CB322F" w:rsidP="000F60A1">
      <w:pPr>
        <w:pStyle w:val="TOC30"/>
      </w:pPr>
      <w:hyperlink w:anchor="Table_of_Contents" w:history="1">
        <w:bookmarkStart w:id="42" w:name="_Toc359933703"/>
        <w:r w:rsidR="000F60A1" w:rsidRPr="00AF0984">
          <w:rPr>
            <w:rStyle w:val="Hyperlink"/>
          </w:rPr>
          <w:t>Action Step #</w:t>
        </w:r>
        <w:r w:rsidR="000F60A1">
          <w:rPr>
            <w:rStyle w:val="Hyperlink"/>
          </w:rPr>
          <w:t>2</w:t>
        </w:r>
        <w:r w:rsidR="000F60A1" w:rsidRPr="00AF0984">
          <w:rPr>
            <w:rStyle w:val="Hyperlink"/>
          </w:rPr>
          <w:t>:</w:t>
        </w:r>
        <w:r w:rsidR="000F60A1" w:rsidRPr="00AF0984">
          <w:rPr>
            <w:rStyle w:val="Hyperlink"/>
          </w:rPr>
          <w:tab/>
          <w:t xml:space="preserve">Direct Resources so that </w:t>
        </w:r>
        <w:r w:rsidR="000F60A1" w:rsidRPr="00F96A55">
          <w:rPr>
            <w:bCs/>
            <w:color w:val="000000"/>
          </w:rPr>
          <w:t>Homeownership Opportunities of All Types Are Encouraged</w:t>
        </w:r>
        <w:bookmarkEnd w:id="42"/>
        <w:r w:rsidR="000F60A1" w:rsidRPr="00F96A55">
          <w:rPr>
            <w:rStyle w:val="Hyperlink"/>
          </w:rPr>
          <w:t xml:space="preserve"> </w:t>
        </w:r>
      </w:hyperlink>
    </w:p>
    <w:p w:rsidR="000F60A1" w:rsidRPr="00C43FAF" w:rsidRDefault="000F60A1" w:rsidP="000F60A1">
      <w:pPr>
        <w:rPr>
          <w:sz w:val="22"/>
          <w:szCs w:val="22"/>
        </w:rPr>
      </w:pPr>
    </w:p>
    <w:p w:rsidR="000F60A1" w:rsidRDefault="000F60A1" w:rsidP="000F60A1">
      <w:pPr>
        <w:spacing w:after="200" w:line="276" w:lineRule="auto"/>
        <w:contextualSpacing/>
        <w:jc w:val="both"/>
        <w:rPr>
          <w:sz w:val="22"/>
          <w:szCs w:val="22"/>
        </w:rPr>
      </w:pPr>
      <w:r>
        <w:rPr>
          <w:sz w:val="22"/>
          <w:szCs w:val="22"/>
        </w:rPr>
        <w:t xml:space="preserve">The Housing Task Force recognizes the critical role that affordable homeownership programs have played in the Napa region. The Housing Task Force recommends budgets and policies be adopted that authorize local housing and community development departments to implement affordable homeownership programs, but in a more limited manner than rental housing. This preference should be reflected in the use of local public funds and in planning policy amendments. Homeownership production may be achieved through homeownership assistance (such as </w:t>
      </w:r>
      <w:r>
        <w:t xml:space="preserve">the Napa County Worker Proximity Housing loan program), </w:t>
      </w:r>
      <w:r>
        <w:rPr>
          <w:sz w:val="22"/>
          <w:szCs w:val="22"/>
        </w:rPr>
        <w:t>housing rehabilitation or new construction. The Task Force also believes higher density homeownership development, such as small lot, condominium, and multifamily housing, should be encouraged.</w:t>
      </w:r>
    </w:p>
    <w:p w:rsidR="00902F41" w:rsidRPr="00F5461E" w:rsidRDefault="00CB322F" w:rsidP="00F5461E">
      <w:pPr>
        <w:pStyle w:val="TOC30"/>
      </w:pPr>
      <w:hyperlink w:anchor="Table_of_Contents" w:history="1">
        <w:bookmarkStart w:id="43" w:name="_Toc352584368"/>
        <w:bookmarkStart w:id="44" w:name="_Toc359933704"/>
        <w:r w:rsidR="00902F41" w:rsidRPr="00AF0984">
          <w:rPr>
            <w:rStyle w:val="Hyperlink"/>
          </w:rPr>
          <w:t>Action Step #</w:t>
        </w:r>
        <w:r w:rsidR="000F60A1">
          <w:rPr>
            <w:rStyle w:val="Hyperlink"/>
          </w:rPr>
          <w:t>3</w:t>
        </w:r>
        <w:r w:rsidR="00902F41" w:rsidRPr="00AF0984">
          <w:rPr>
            <w:rStyle w:val="Hyperlink"/>
          </w:rPr>
          <w:t>:</w:t>
        </w:r>
        <w:r w:rsidR="00902F41" w:rsidRPr="00AF0984">
          <w:rPr>
            <w:rStyle w:val="Hyperlink"/>
          </w:rPr>
          <w:tab/>
          <w:t xml:space="preserve">Direct Resources so that </w:t>
        </w:r>
        <w:r w:rsidR="00BA5D15" w:rsidRPr="00BA5D15">
          <w:rPr>
            <w:rStyle w:val="Hyperlink"/>
          </w:rPr>
          <w:t xml:space="preserve">the predominate </w:t>
        </w:r>
        <w:r w:rsidR="004268D8" w:rsidRPr="00BA5D15">
          <w:rPr>
            <w:rStyle w:val="Hyperlink"/>
          </w:rPr>
          <w:t xml:space="preserve">type </w:t>
        </w:r>
        <w:r w:rsidR="004268D8" w:rsidRPr="00AF0984">
          <w:rPr>
            <w:rStyle w:val="Hyperlink"/>
          </w:rPr>
          <w:t>of</w:t>
        </w:r>
        <w:r w:rsidR="00902F41" w:rsidRPr="00AF0984">
          <w:rPr>
            <w:rStyle w:val="Hyperlink"/>
          </w:rPr>
          <w:t xml:space="preserve"> Assisted Units are Rental Housing</w:t>
        </w:r>
        <w:bookmarkEnd w:id="43"/>
      </w:hyperlink>
      <w:r w:rsidR="000F60A1">
        <w:t>.</w:t>
      </w:r>
      <w:bookmarkEnd w:id="44"/>
      <w:r w:rsidR="004268D8">
        <w:t xml:space="preserve"> </w:t>
      </w:r>
    </w:p>
    <w:p w:rsidR="00902F41" w:rsidRPr="00C43FAF" w:rsidRDefault="00902F41" w:rsidP="00902F41">
      <w:pPr>
        <w:rPr>
          <w:sz w:val="22"/>
          <w:szCs w:val="22"/>
        </w:rPr>
      </w:pPr>
    </w:p>
    <w:p w:rsidR="00902F41" w:rsidRPr="00591F6D" w:rsidRDefault="00AC7A06" w:rsidP="00F436FD">
      <w:pPr>
        <w:spacing w:after="200" w:line="276" w:lineRule="auto"/>
        <w:contextualSpacing/>
        <w:jc w:val="both"/>
        <w:rPr>
          <w:sz w:val="22"/>
          <w:szCs w:val="22"/>
        </w:rPr>
      </w:pPr>
      <w:r>
        <w:rPr>
          <w:sz w:val="22"/>
          <w:szCs w:val="22"/>
        </w:rPr>
        <w:t xml:space="preserve">The </w:t>
      </w:r>
      <w:r w:rsidR="00126C36">
        <w:rPr>
          <w:sz w:val="22"/>
          <w:szCs w:val="22"/>
        </w:rPr>
        <w:t>Housing Task Force recommends</w:t>
      </w:r>
      <w:r>
        <w:rPr>
          <w:sz w:val="22"/>
          <w:szCs w:val="22"/>
        </w:rPr>
        <w:t xml:space="preserve"> budgets and policies be adopted that authorize local housing and community development departments to </w:t>
      </w:r>
      <w:r w:rsidR="00F20B9D">
        <w:rPr>
          <w:sz w:val="22"/>
          <w:szCs w:val="22"/>
        </w:rPr>
        <w:t>take advantage of both rental and homeownership opportunities as they arise.  It is anticipated that rental housing will be the predominant type needed</w:t>
      </w:r>
      <w:r w:rsidR="00D8028A">
        <w:rPr>
          <w:sz w:val="22"/>
          <w:szCs w:val="22"/>
        </w:rPr>
        <w:t>. This preference should be reflected in the use of local public funds and in planning policy amendments.</w:t>
      </w:r>
      <w:r w:rsidR="00126C36">
        <w:rPr>
          <w:sz w:val="22"/>
          <w:szCs w:val="22"/>
        </w:rPr>
        <w:t xml:space="preserve"> </w:t>
      </w:r>
      <w:r w:rsidR="00A65469">
        <w:rPr>
          <w:sz w:val="22"/>
          <w:szCs w:val="22"/>
        </w:rPr>
        <w:t>R</w:t>
      </w:r>
      <w:r w:rsidR="00AA385C">
        <w:rPr>
          <w:sz w:val="22"/>
          <w:szCs w:val="22"/>
        </w:rPr>
        <w:t xml:space="preserve">ental housing </w:t>
      </w:r>
      <w:r w:rsidR="00B24EFB">
        <w:rPr>
          <w:sz w:val="22"/>
          <w:szCs w:val="22"/>
        </w:rPr>
        <w:t>production</w:t>
      </w:r>
      <w:r w:rsidR="00A65469">
        <w:rPr>
          <w:sz w:val="22"/>
          <w:szCs w:val="22"/>
        </w:rPr>
        <w:t xml:space="preserve"> </w:t>
      </w:r>
      <w:r w:rsidR="00AA385C">
        <w:rPr>
          <w:sz w:val="22"/>
          <w:szCs w:val="22"/>
        </w:rPr>
        <w:t xml:space="preserve">may be achieved through either building </w:t>
      </w:r>
      <w:r w:rsidR="00507907">
        <w:rPr>
          <w:sz w:val="22"/>
          <w:szCs w:val="22"/>
        </w:rPr>
        <w:t>rehabilitation</w:t>
      </w:r>
      <w:r w:rsidR="00AA385C">
        <w:rPr>
          <w:sz w:val="22"/>
          <w:szCs w:val="22"/>
        </w:rPr>
        <w:t xml:space="preserve"> or new construction.</w:t>
      </w:r>
    </w:p>
    <w:p w:rsidR="00902F41" w:rsidRDefault="00902F41" w:rsidP="00902F41">
      <w:pPr>
        <w:rPr>
          <w:b/>
          <w:sz w:val="22"/>
          <w:szCs w:val="22"/>
        </w:rPr>
      </w:pPr>
    </w:p>
    <w:p w:rsidR="00D8028A" w:rsidRPr="00591F6D" w:rsidRDefault="00D8028A" w:rsidP="00D8028A">
      <w:pPr>
        <w:rPr>
          <w:sz w:val="22"/>
          <w:szCs w:val="22"/>
        </w:rPr>
      </w:pPr>
    </w:p>
    <w:p w:rsidR="00902F41" w:rsidRPr="00F5461E" w:rsidRDefault="00CB322F" w:rsidP="00F5461E">
      <w:pPr>
        <w:pStyle w:val="TOC30"/>
      </w:pPr>
      <w:hyperlink w:anchor="Table_of_Contents" w:history="1">
        <w:bookmarkStart w:id="45" w:name="_Toc352584370"/>
        <w:bookmarkStart w:id="46" w:name="_Toc359933705"/>
        <w:r w:rsidR="00902F41" w:rsidRPr="00AF0984">
          <w:rPr>
            <w:rStyle w:val="Hyperlink"/>
          </w:rPr>
          <w:t xml:space="preserve">Action Step #4:  </w:t>
        </w:r>
        <w:r w:rsidR="00902F41" w:rsidRPr="00AF0984">
          <w:rPr>
            <w:rStyle w:val="Hyperlink"/>
          </w:rPr>
          <w:tab/>
          <w:t>Target a Mix of Households Including Workforce, Special Needs and Seniors</w:t>
        </w:r>
        <w:bookmarkEnd w:id="45"/>
        <w:bookmarkEnd w:id="46"/>
      </w:hyperlink>
    </w:p>
    <w:p w:rsidR="00902F41" w:rsidRPr="00C43FAF" w:rsidRDefault="00902F41" w:rsidP="00902F41">
      <w:pPr>
        <w:rPr>
          <w:sz w:val="22"/>
          <w:szCs w:val="22"/>
        </w:rPr>
      </w:pPr>
    </w:p>
    <w:p w:rsidR="00902F41" w:rsidRPr="00902F41" w:rsidRDefault="00D8028A" w:rsidP="00703C29">
      <w:pPr>
        <w:spacing w:after="200" w:line="276" w:lineRule="auto"/>
        <w:contextualSpacing/>
        <w:jc w:val="both"/>
        <w:rPr>
          <w:sz w:val="22"/>
          <w:szCs w:val="22"/>
        </w:rPr>
      </w:pPr>
      <w:r>
        <w:rPr>
          <w:sz w:val="22"/>
          <w:szCs w:val="22"/>
        </w:rPr>
        <w:t xml:space="preserve">Advocates of workforce </w:t>
      </w:r>
      <w:r w:rsidR="00663948">
        <w:rPr>
          <w:sz w:val="22"/>
          <w:szCs w:val="22"/>
        </w:rPr>
        <w:t xml:space="preserve">(including </w:t>
      </w:r>
      <w:r>
        <w:rPr>
          <w:sz w:val="22"/>
          <w:szCs w:val="22"/>
        </w:rPr>
        <w:t>farmworker</w:t>
      </w:r>
      <w:r w:rsidR="00663948">
        <w:rPr>
          <w:sz w:val="22"/>
          <w:szCs w:val="22"/>
        </w:rPr>
        <w:t>)</w:t>
      </w:r>
      <w:r>
        <w:rPr>
          <w:sz w:val="22"/>
          <w:szCs w:val="22"/>
        </w:rPr>
        <w:t xml:space="preserve">, senior and </w:t>
      </w:r>
      <w:r w:rsidR="00BA5D15">
        <w:rPr>
          <w:sz w:val="22"/>
          <w:szCs w:val="22"/>
        </w:rPr>
        <w:t xml:space="preserve">other </w:t>
      </w:r>
      <w:r>
        <w:rPr>
          <w:sz w:val="22"/>
          <w:szCs w:val="22"/>
        </w:rPr>
        <w:t xml:space="preserve">special needs housing were represented on the Task Force. These tenant populations were </w:t>
      </w:r>
      <w:r w:rsidR="000336A9">
        <w:rPr>
          <w:sz w:val="22"/>
          <w:szCs w:val="22"/>
        </w:rPr>
        <w:t>all designated as top priorities</w:t>
      </w:r>
      <w:r>
        <w:rPr>
          <w:sz w:val="22"/>
          <w:szCs w:val="22"/>
        </w:rPr>
        <w:t>, and the Task Force recommends no preference be stated for any particular group</w:t>
      </w:r>
      <w:r w:rsidR="00A65469">
        <w:rPr>
          <w:sz w:val="22"/>
          <w:szCs w:val="22"/>
        </w:rPr>
        <w:t>,</w:t>
      </w:r>
      <w:r>
        <w:rPr>
          <w:sz w:val="22"/>
          <w:szCs w:val="22"/>
        </w:rPr>
        <w:t xml:space="preserve"> but rather housing proposals be evaluated on a case-by-case basis </w:t>
      </w:r>
      <w:r w:rsidR="00103A00">
        <w:rPr>
          <w:sz w:val="22"/>
          <w:szCs w:val="22"/>
        </w:rPr>
        <w:t xml:space="preserve">when resources become available for development </w:t>
      </w:r>
      <w:r>
        <w:rPr>
          <w:sz w:val="22"/>
          <w:szCs w:val="22"/>
        </w:rPr>
        <w:t xml:space="preserve">for their efforts in achieving the Task Force’s goals in other areas such as environmental sustainability, proximity to transit and employment centers, and cost efficiency. </w:t>
      </w:r>
    </w:p>
    <w:p w:rsidR="00276DF6" w:rsidRPr="00FA69D1" w:rsidRDefault="00276DF6" w:rsidP="00F9576E">
      <w:pPr>
        <w:pStyle w:val="TOC20"/>
        <w:rPr>
          <w:sz w:val="22"/>
          <w:szCs w:val="22"/>
        </w:rPr>
      </w:pPr>
    </w:p>
    <w:p w:rsidR="00E00308" w:rsidRPr="00372AFF" w:rsidRDefault="00CB322F" w:rsidP="00F9576E">
      <w:pPr>
        <w:pStyle w:val="TOC20"/>
        <w:rPr>
          <w:sz w:val="22"/>
          <w:szCs w:val="22"/>
        </w:rPr>
      </w:pPr>
      <w:hyperlink w:anchor="Table_of_Contents" w:history="1">
        <w:bookmarkStart w:id="47" w:name="_Toc352584371"/>
        <w:bookmarkStart w:id="48" w:name="_Toc359933706"/>
        <w:r w:rsidR="00A23B69" w:rsidRPr="00AF0984">
          <w:rPr>
            <w:rStyle w:val="Hyperlink"/>
          </w:rPr>
          <w:t xml:space="preserve">Strategy </w:t>
        </w:r>
        <w:r w:rsidR="000628DF">
          <w:rPr>
            <w:rStyle w:val="Hyperlink"/>
          </w:rPr>
          <w:t>3</w:t>
        </w:r>
        <w:r w:rsidR="00A23B69" w:rsidRPr="00AF0984">
          <w:rPr>
            <w:rStyle w:val="Hyperlink"/>
          </w:rPr>
          <w:t xml:space="preserve">:  </w:t>
        </w:r>
        <w:r w:rsidR="00C04277" w:rsidRPr="00AF0984">
          <w:rPr>
            <w:rStyle w:val="Hyperlink"/>
          </w:rPr>
          <w:t>Maximize Financing Resources</w:t>
        </w:r>
        <w:bookmarkEnd w:id="47"/>
        <w:bookmarkEnd w:id="48"/>
      </w:hyperlink>
    </w:p>
    <w:p w:rsidR="00E00308" w:rsidRDefault="00E00308" w:rsidP="00E00308">
      <w:pPr>
        <w:rPr>
          <w:sz w:val="22"/>
          <w:szCs w:val="22"/>
        </w:rPr>
      </w:pPr>
    </w:p>
    <w:p w:rsidR="00E00308" w:rsidRPr="00A23B69" w:rsidRDefault="00A23B69" w:rsidP="00E00308">
      <w:pPr>
        <w:rPr>
          <w:b/>
          <w:sz w:val="22"/>
          <w:szCs w:val="22"/>
        </w:rPr>
      </w:pPr>
      <w:r w:rsidRPr="00A23B69">
        <w:rPr>
          <w:b/>
          <w:sz w:val="22"/>
          <w:szCs w:val="22"/>
        </w:rPr>
        <w:t>Why this strategy is important</w:t>
      </w:r>
    </w:p>
    <w:p w:rsidR="00E00308" w:rsidRDefault="00E00308" w:rsidP="00E00308">
      <w:pPr>
        <w:pStyle w:val="Table"/>
        <w:spacing w:line="240" w:lineRule="auto"/>
        <w:rPr>
          <w:bCs/>
          <w:color w:val="auto"/>
          <w:sz w:val="22"/>
          <w:szCs w:val="22"/>
        </w:rPr>
      </w:pPr>
    </w:p>
    <w:p w:rsidR="00E00308" w:rsidRPr="00B37E93" w:rsidRDefault="00C04277" w:rsidP="004D0B65">
      <w:pPr>
        <w:pStyle w:val="Table"/>
        <w:spacing w:line="276" w:lineRule="auto"/>
        <w:jc w:val="both"/>
        <w:rPr>
          <w:bCs/>
          <w:i/>
          <w:sz w:val="22"/>
          <w:szCs w:val="22"/>
        </w:rPr>
      </w:pPr>
      <w:r w:rsidRPr="00B37E93">
        <w:rPr>
          <w:bCs/>
          <w:i/>
          <w:sz w:val="22"/>
          <w:szCs w:val="22"/>
        </w:rPr>
        <w:t xml:space="preserve">In the aftermath of redevelopment agency dissolution and with continued dwindling of </w:t>
      </w:r>
      <w:r w:rsidR="000336A9">
        <w:rPr>
          <w:bCs/>
          <w:i/>
          <w:sz w:val="22"/>
          <w:szCs w:val="22"/>
        </w:rPr>
        <w:t xml:space="preserve">public </w:t>
      </w:r>
      <w:r w:rsidRPr="00B37E93">
        <w:rPr>
          <w:bCs/>
          <w:i/>
          <w:sz w:val="22"/>
          <w:szCs w:val="22"/>
        </w:rPr>
        <w:t>financial resources</w:t>
      </w:r>
      <w:r w:rsidR="00E00308" w:rsidRPr="00B37E93">
        <w:rPr>
          <w:bCs/>
          <w:i/>
          <w:sz w:val="22"/>
          <w:szCs w:val="22"/>
        </w:rPr>
        <w:t>, local agencies must choose smarter funding practices that maximize housing production w</w:t>
      </w:r>
      <w:r w:rsidRPr="00B37E93">
        <w:rPr>
          <w:bCs/>
          <w:i/>
          <w:sz w:val="22"/>
          <w:szCs w:val="22"/>
        </w:rPr>
        <w:t>hile preserving</w:t>
      </w:r>
      <w:r w:rsidR="00E00308" w:rsidRPr="00B37E93">
        <w:rPr>
          <w:bCs/>
          <w:i/>
          <w:sz w:val="22"/>
          <w:szCs w:val="22"/>
        </w:rPr>
        <w:t xml:space="preserve"> housing quality.</w:t>
      </w:r>
    </w:p>
    <w:p w:rsidR="00E00308" w:rsidRDefault="00E00308" w:rsidP="00830911">
      <w:pPr>
        <w:jc w:val="both"/>
        <w:rPr>
          <w:sz w:val="22"/>
          <w:szCs w:val="22"/>
        </w:rPr>
      </w:pPr>
    </w:p>
    <w:p w:rsidR="00A119D8" w:rsidRDefault="00103A00" w:rsidP="00A65469">
      <w:pPr>
        <w:spacing w:after="200" w:line="276" w:lineRule="auto"/>
        <w:jc w:val="both"/>
        <w:rPr>
          <w:sz w:val="22"/>
          <w:szCs w:val="22"/>
        </w:rPr>
      </w:pPr>
      <w:r>
        <w:rPr>
          <w:sz w:val="22"/>
          <w:szCs w:val="22"/>
        </w:rPr>
        <w:t>The</w:t>
      </w:r>
      <w:r w:rsidR="00BD0156">
        <w:rPr>
          <w:sz w:val="22"/>
          <w:szCs w:val="22"/>
        </w:rPr>
        <w:t xml:space="preserve"> California Tax Credit Allocation Committee prioritize</w:t>
      </w:r>
      <w:r>
        <w:rPr>
          <w:sz w:val="22"/>
          <w:szCs w:val="22"/>
        </w:rPr>
        <w:t>s</w:t>
      </w:r>
      <w:r w:rsidR="00BD0156">
        <w:rPr>
          <w:sz w:val="22"/>
          <w:szCs w:val="22"/>
        </w:rPr>
        <w:t xml:space="preserve"> those developments with greater local public financing commitments</w:t>
      </w:r>
      <w:r>
        <w:rPr>
          <w:sz w:val="22"/>
          <w:szCs w:val="22"/>
        </w:rPr>
        <w:t xml:space="preserve"> for </w:t>
      </w:r>
      <w:r w:rsidR="00FC7C82">
        <w:rPr>
          <w:sz w:val="22"/>
          <w:szCs w:val="22"/>
        </w:rPr>
        <w:t xml:space="preserve">awards of </w:t>
      </w:r>
      <w:r>
        <w:rPr>
          <w:sz w:val="22"/>
          <w:szCs w:val="22"/>
        </w:rPr>
        <w:t>9% tax credits</w:t>
      </w:r>
      <w:r w:rsidR="00BD0156">
        <w:rPr>
          <w:sz w:val="22"/>
          <w:szCs w:val="22"/>
        </w:rPr>
        <w:t xml:space="preserve">. To be competitive in TCAC’s statewide competition, public agencies must strategically dedicate larger soft loans to leverage federal and </w:t>
      </w:r>
      <w:r w:rsidR="005E136E">
        <w:rPr>
          <w:sz w:val="22"/>
          <w:szCs w:val="22"/>
        </w:rPr>
        <w:t>State</w:t>
      </w:r>
      <w:r w:rsidR="00BD0156">
        <w:rPr>
          <w:sz w:val="22"/>
          <w:szCs w:val="22"/>
        </w:rPr>
        <w:t xml:space="preserve"> tax </w:t>
      </w:r>
      <w:r w:rsidR="00B24EFB">
        <w:rPr>
          <w:sz w:val="22"/>
          <w:szCs w:val="22"/>
        </w:rPr>
        <w:t>credits that are needed for project development</w:t>
      </w:r>
      <w:r w:rsidR="00BD0156">
        <w:rPr>
          <w:sz w:val="22"/>
          <w:szCs w:val="22"/>
        </w:rPr>
        <w:t xml:space="preserve">. </w:t>
      </w:r>
      <w:r w:rsidR="00E00308">
        <w:rPr>
          <w:sz w:val="22"/>
          <w:szCs w:val="22"/>
        </w:rPr>
        <w:t xml:space="preserve">The </w:t>
      </w:r>
      <w:r w:rsidR="00126C36">
        <w:rPr>
          <w:sz w:val="22"/>
          <w:szCs w:val="22"/>
        </w:rPr>
        <w:t xml:space="preserve">Housing </w:t>
      </w:r>
      <w:r w:rsidR="00E00308">
        <w:rPr>
          <w:sz w:val="22"/>
          <w:szCs w:val="22"/>
        </w:rPr>
        <w:t xml:space="preserve">Task Force </w:t>
      </w:r>
      <w:r w:rsidR="00BD0156">
        <w:rPr>
          <w:sz w:val="22"/>
          <w:szCs w:val="22"/>
        </w:rPr>
        <w:t>reviewed</w:t>
      </w:r>
      <w:r w:rsidR="00A119D8">
        <w:rPr>
          <w:sz w:val="22"/>
          <w:szCs w:val="22"/>
        </w:rPr>
        <w:t xml:space="preserve"> existing housing revenue sources</w:t>
      </w:r>
      <w:r w:rsidR="00126C36">
        <w:rPr>
          <w:sz w:val="22"/>
          <w:szCs w:val="22"/>
        </w:rPr>
        <w:t xml:space="preserve">, including </w:t>
      </w:r>
      <w:r w:rsidR="00FC7C82">
        <w:rPr>
          <w:sz w:val="22"/>
          <w:szCs w:val="22"/>
        </w:rPr>
        <w:t>United States Department of Agriculture (</w:t>
      </w:r>
      <w:r w:rsidR="00A119D8">
        <w:rPr>
          <w:sz w:val="22"/>
          <w:szCs w:val="22"/>
        </w:rPr>
        <w:t>USDA</w:t>
      </w:r>
      <w:r w:rsidR="00FC7C82">
        <w:rPr>
          <w:sz w:val="22"/>
          <w:szCs w:val="22"/>
        </w:rPr>
        <w:t>)</w:t>
      </w:r>
      <w:r w:rsidR="00A119D8">
        <w:rPr>
          <w:sz w:val="22"/>
          <w:szCs w:val="22"/>
        </w:rPr>
        <w:t xml:space="preserve">, </w:t>
      </w:r>
      <w:r w:rsidR="009C10EF">
        <w:rPr>
          <w:sz w:val="22"/>
          <w:szCs w:val="22"/>
        </w:rPr>
        <w:t>United States Department of Housing and Urban Development (</w:t>
      </w:r>
      <w:r w:rsidR="00A119D8">
        <w:rPr>
          <w:sz w:val="22"/>
          <w:szCs w:val="22"/>
        </w:rPr>
        <w:t>HUD</w:t>
      </w:r>
      <w:r w:rsidR="009C10EF">
        <w:rPr>
          <w:sz w:val="22"/>
          <w:szCs w:val="22"/>
        </w:rPr>
        <w:t>)</w:t>
      </w:r>
      <w:r w:rsidR="00A119D8">
        <w:rPr>
          <w:sz w:val="22"/>
          <w:szCs w:val="22"/>
        </w:rPr>
        <w:t xml:space="preserve"> </w:t>
      </w:r>
      <w:r w:rsidR="00A119D8" w:rsidRPr="009C10EF">
        <w:rPr>
          <w:sz w:val="22"/>
          <w:szCs w:val="22"/>
        </w:rPr>
        <w:t>Section 8</w:t>
      </w:r>
      <w:r w:rsidR="00A119D8">
        <w:rPr>
          <w:sz w:val="22"/>
          <w:szCs w:val="22"/>
        </w:rPr>
        <w:t xml:space="preserve">, </w:t>
      </w:r>
      <w:r w:rsidR="00FC7C82">
        <w:rPr>
          <w:sz w:val="22"/>
          <w:szCs w:val="22"/>
        </w:rPr>
        <w:t xml:space="preserve">HUD </w:t>
      </w:r>
      <w:r w:rsidR="00A119D8">
        <w:rPr>
          <w:sz w:val="22"/>
          <w:szCs w:val="22"/>
        </w:rPr>
        <w:t>CDBG and HUD HOME, and noted that these sources continue to suffer from annual budget cuts.</w:t>
      </w:r>
    </w:p>
    <w:p w:rsidR="00F65D47" w:rsidRPr="00C43FAF" w:rsidRDefault="00A119D8" w:rsidP="00830911">
      <w:pPr>
        <w:jc w:val="both"/>
        <w:rPr>
          <w:sz w:val="22"/>
          <w:szCs w:val="22"/>
        </w:rPr>
      </w:pPr>
      <w:r>
        <w:rPr>
          <w:sz w:val="22"/>
          <w:szCs w:val="22"/>
        </w:rPr>
        <w:t xml:space="preserve">The </w:t>
      </w:r>
      <w:r w:rsidR="00126C36">
        <w:rPr>
          <w:sz w:val="22"/>
          <w:szCs w:val="22"/>
        </w:rPr>
        <w:t xml:space="preserve">Housing </w:t>
      </w:r>
      <w:r>
        <w:rPr>
          <w:sz w:val="22"/>
          <w:szCs w:val="22"/>
        </w:rPr>
        <w:t>Task Force discussed</w:t>
      </w:r>
      <w:r w:rsidR="00BD0156">
        <w:rPr>
          <w:sz w:val="22"/>
          <w:szCs w:val="22"/>
        </w:rPr>
        <w:t xml:space="preserve"> the following </w:t>
      </w:r>
      <w:r w:rsidR="00F65D47" w:rsidRPr="00C43FAF">
        <w:rPr>
          <w:sz w:val="22"/>
          <w:szCs w:val="22"/>
        </w:rPr>
        <w:t xml:space="preserve">possible sources of </w:t>
      </w:r>
      <w:r>
        <w:rPr>
          <w:sz w:val="22"/>
          <w:szCs w:val="22"/>
        </w:rPr>
        <w:t xml:space="preserve">new local public </w:t>
      </w:r>
      <w:r w:rsidR="00F65D47" w:rsidRPr="00C43FAF">
        <w:rPr>
          <w:sz w:val="22"/>
          <w:szCs w:val="22"/>
        </w:rPr>
        <w:t>financing:</w:t>
      </w:r>
    </w:p>
    <w:p w:rsidR="00F65D47" w:rsidRPr="00C43FAF" w:rsidRDefault="00F65D47" w:rsidP="00830911">
      <w:pPr>
        <w:contextualSpacing/>
        <w:jc w:val="both"/>
        <w:rPr>
          <w:sz w:val="22"/>
          <w:szCs w:val="22"/>
        </w:rPr>
      </w:pPr>
    </w:p>
    <w:p w:rsidR="00F65D47" w:rsidRDefault="00F65D47" w:rsidP="004C794B">
      <w:pPr>
        <w:pStyle w:val="ListParagraph"/>
        <w:numPr>
          <w:ilvl w:val="0"/>
          <w:numId w:val="20"/>
        </w:numPr>
        <w:suppressAutoHyphens w:val="0"/>
        <w:autoSpaceDE/>
        <w:autoSpaceDN/>
        <w:adjustRightInd/>
        <w:spacing w:after="0" w:line="240" w:lineRule="auto"/>
        <w:contextualSpacing/>
        <w:jc w:val="both"/>
        <w:textAlignment w:val="auto"/>
        <w:sectPr w:rsidR="00F65D47" w:rsidSect="000C7D65">
          <w:pgSz w:w="12240" w:h="15840" w:code="1"/>
          <w:pgMar w:top="1440" w:right="1440" w:bottom="634" w:left="1440" w:header="720" w:footer="720" w:gutter="0"/>
          <w:pgBorders w:offsetFrom="page">
            <w:top w:val="single" w:sz="4" w:space="24" w:color="00008C"/>
            <w:left w:val="single" w:sz="4" w:space="24" w:color="00008C"/>
            <w:bottom w:val="single" w:sz="4" w:space="24" w:color="00008C"/>
            <w:right w:val="single" w:sz="4" w:space="24" w:color="00008C"/>
          </w:pgBorders>
          <w:pgNumType w:start="1"/>
          <w:cols w:space="720"/>
          <w:docGrid w:linePitch="360"/>
        </w:sectPr>
      </w:pPr>
    </w:p>
    <w:p w:rsidR="00F65D47" w:rsidRPr="00C43FAF" w:rsidRDefault="00BD0156" w:rsidP="004C794B">
      <w:pPr>
        <w:pStyle w:val="ListParagraph"/>
        <w:numPr>
          <w:ilvl w:val="0"/>
          <w:numId w:val="20"/>
        </w:numPr>
        <w:suppressAutoHyphens w:val="0"/>
        <w:autoSpaceDE/>
        <w:autoSpaceDN/>
        <w:adjustRightInd/>
        <w:spacing w:after="0" w:line="240" w:lineRule="auto"/>
        <w:contextualSpacing/>
        <w:jc w:val="both"/>
        <w:textAlignment w:val="auto"/>
      </w:pPr>
      <w:r>
        <w:t>Development</w:t>
      </w:r>
      <w:r w:rsidR="00F65D47" w:rsidRPr="00C43FAF">
        <w:t xml:space="preserve"> impact </w:t>
      </w:r>
      <w:r>
        <w:t>fee</w:t>
      </w:r>
      <w:r w:rsidR="000336A9">
        <w:t>s</w:t>
      </w:r>
    </w:p>
    <w:p w:rsidR="00F65D47" w:rsidRPr="00C43FAF" w:rsidRDefault="00F65D47" w:rsidP="004C794B">
      <w:pPr>
        <w:pStyle w:val="ListParagraph"/>
        <w:numPr>
          <w:ilvl w:val="0"/>
          <w:numId w:val="20"/>
        </w:numPr>
        <w:suppressAutoHyphens w:val="0"/>
        <w:autoSpaceDE/>
        <w:autoSpaceDN/>
        <w:adjustRightInd/>
        <w:spacing w:after="0" w:line="240" w:lineRule="auto"/>
        <w:contextualSpacing/>
        <w:jc w:val="both"/>
        <w:textAlignment w:val="auto"/>
      </w:pPr>
      <w:r w:rsidRPr="00C43FAF">
        <w:t>Real estate tra</w:t>
      </w:r>
      <w:r w:rsidR="00A119D8">
        <w:t>nsfer</w:t>
      </w:r>
      <w:r w:rsidRPr="00C43FAF">
        <w:t xml:space="preserve"> and recording fee</w:t>
      </w:r>
      <w:r w:rsidR="00A119D8">
        <w:t>s</w:t>
      </w:r>
    </w:p>
    <w:p w:rsidR="00F65D47" w:rsidRPr="00C43FAF" w:rsidRDefault="00F65D47" w:rsidP="004C794B">
      <w:pPr>
        <w:pStyle w:val="ListParagraph"/>
        <w:numPr>
          <w:ilvl w:val="0"/>
          <w:numId w:val="20"/>
        </w:numPr>
        <w:suppressAutoHyphens w:val="0"/>
        <w:autoSpaceDE/>
        <w:autoSpaceDN/>
        <w:adjustRightInd/>
        <w:spacing w:after="0" w:line="240" w:lineRule="auto"/>
        <w:contextualSpacing/>
        <w:jc w:val="both"/>
        <w:textAlignment w:val="auto"/>
      </w:pPr>
      <w:r w:rsidRPr="00C43FAF">
        <w:t>Resort fee</w:t>
      </w:r>
      <w:r w:rsidR="00A65469">
        <w:t>s</w:t>
      </w:r>
    </w:p>
    <w:p w:rsidR="00F65D47" w:rsidRPr="00C43FAF" w:rsidRDefault="00F65D47" w:rsidP="004C794B">
      <w:pPr>
        <w:pStyle w:val="ListParagraph"/>
        <w:numPr>
          <w:ilvl w:val="0"/>
          <w:numId w:val="20"/>
        </w:numPr>
        <w:suppressAutoHyphens w:val="0"/>
        <w:autoSpaceDE/>
        <w:autoSpaceDN/>
        <w:adjustRightInd/>
        <w:spacing w:after="0" w:line="240" w:lineRule="auto"/>
        <w:contextualSpacing/>
        <w:jc w:val="both"/>
        <w:textAlignment w:val="auto"/>
      </w:pPr>
      <w:r w:rsidRPr="00C43FAF">
        <w:t>Hospitality fee</w:t>
      </w:r>
      <w:r w:rsidR="00A65469">
        <w:t>s</w:t>
      </w:r>
    </w:p>
    <w:p w:rsidR="00F65D47" w:rsidRPr="00C43FAF" w:rsidRDefault="00F65D47" w:rsidP="004C794B">
      <w:pPr>
        <w:pStyle w:val="ListParagraph"/>
        <w:numPr>
          <w:ilvl w:val="0"/>
          <w:numId w:val="20"/>
        </w:numPr>
        <w:suppressAutoHyphens w:val="0"/>
        <w:autoSpaceDE/>
        <w:autoSpaceDN/>
        <w:adjustRightInd/>
        <w:spacing w:after="0" w:line="240" w:lineRule="auto"/>
        <w:contextualSpacing/>
        <w:jc w:val="both"/>
        <w:textAlignment w:val="auto"/>
      </w:pPr>
      <w:r w:rsidRPr="00C43FAF">
        <w:t>Wine tasting fee</w:t>
      </w:r>
      <w:r w:rsidR="00A65469">
        <w:t>s</w:t>
      </w:r>
    </w:p>
    <w:p w:rsidR="00F65D47" w:rsidRPr="00C43FAF" w:rsidRDefault="00F65D47" w:rsidP="004C794B">
      <w:pPr>
        <w:pStyle w:val="ListParagraph"/>
        <w:numPr>
          <w:ilvl w:val="0"/>
          <w:numId w:val="20"/>
        </w:numPr>
        <w:suppressAutoHyphens w:val="0"/>
        <w:autoSpaceDE/>
        <w:autoSpaceDN/>
        <w:adjustRightInd/>
        <w:spacing w:after="0" w:line="240" w:lineRule="auto"/>
        <w:contextualSpacing/>
        <w:jc w:val="both"/>
        <w:textAlignment w:val="auto"/>
      </w:pPr>
      <w:r w:rsidRPr="00C43FAF">
        <w:t>Alcohol and tobacco tax</w:t>
      </w:r>
    </w:p>
    <w:p w:rsidR="00F65D47" w:rsidRPr="00C43FAF" w:rsidRDefault="00F65D47" w:rsidP="004C794B">
      <w:pPr>
        <w:pStyle w:val="ListParagraph"/>
        <w:numPr>
          <w:ilvl w:val="0"/>
          <w:numId w:val="20"/>
        </w:numPr>
        <w:suppressAutoHyphens w:val="0"/>
        <w:autoSpaceDE/>
        <w:autoSpaceDN/>
        <w:adjustRightInd/>
        <w:spacing w:after="0" w:line="240" w:lineRule="auto"/>
        <w:contextualSpacing/>
        <w:jc w:val="both"/>
        <w:textAlignment w:val="auto"/>
      </w:pPr>
      <w:r w:rsidRPr="00C43FAF">
        <w:t>Luxury tax on tickets for live concerts and sporting events</w:t>
      </w:r>
    </w:p>
    <w:p w:rsidR="00F65D47" w:rsidRPr="00C43FAF" w:rsidRDefault="00A119D8" w:rsidP="004C794B">
      <w:pPr>
        <w:pStyle w:val="ListParagraph"/>
        <w:numPr>
          <w:ilvl w:val="0"/>
          <w:numId w:val="20"/>
        </w:numPr>
        <w:suppressAutoHyphens w:val="0"/>
        <w:autoSpaceDE/>
        <w:autoSpaceDN/>
        <w:adjustRightInd/>
        <w:spacing w:after="0" w:line="240" w:lineRule="auto"/>
        <w:contextualSpacing/>
        <w:jc w:val="both"/>
        <w:textAlignment w:val="auto"/>
      </w:pPr>
      <w:r>
        <w:t>CS</w:t>
      </w:r>
      <w:r w:rsidR="00F65D47" w:rsidRPr="00C43FAF">
        <w:t>A 4 Tax District</w:t>
      </w:r>
    </w:p>
    <w:p w:rsidR="00F65D47" w:rsidRPr="00C43FAF" w:rsidRDefault="00F65D47" w:rsidP="004C794B">
      <w:pPr>
        <w:pStyle w:val="ListParagraph"/>
        <w:numPr>
          <w:ilvl w:val="0"/>
          <w:numId w:val="20"/>
        </w:numPr>
        <w:suppressAutoHyphens w:val="0"/>
        <w:autoSpaceDE/>
        <w:autoSpaceDN/>
        <w:adjustRightInd/>
        <w:spacing w:after="0" w:line="240" w:lineRule="auto"/>
        <w:contextualSpacing/>
        <w:jc w:val="both"/>
        <w:textAlignment w:val="auto"/>
      </w:pPr>
      <w:r w:rsidRPr="00C43FAF">
        <w:t>¼ cent sales tax</w:t>
      </w:r>
    </w:p>
    <w:p w:rsidR="00F65D47" w:rsidRPr="00C43FAF" w:rsidRDefault="00F65D47" w:rsidP="004C794B">
      <w:pPr>
        <w:pStyle w:val="ListParagraph"/>
        <w:numPr>
          <w:ilvl w:val="0"/>
          <w:numId w:val="20"/>
        </w:numPr>
        <w:suppressAutoHyphens w:val="0"/>
        <w:autoSpaceDE/>
        <w:autoSpaceDN/>
        <w:adjustRightInd/>
        <w:spacing w:after="0" w:line="240" w:lineRule="auto"/>
        <w:contextualSpacing/>
        <w:jc w:val="both"/>
        <w:textAlignment w:val="auto"/>
      </w:pPr>
      <w:r w:rsidRPr="00C43FAF">
        <w:t xml:space="preserve">.25% of </w:t>
      </w:r>
      <w:r w:rsidR="00A119D8" w:rsidRPr="00C43FAF">
        <w:t>T</w:t>
      </w:r>
      <w:r w:rsidR="00A119D8">
        <w:t xml:space="preserve">ransient </w:t>
      </w:r>
      <w:r w:rsidRPr="00C43FAF">
        <w:t>O</w:t>
      </w:r>
      <w:r w:rsidR="00A119D8">
        <w:t xml:space="preserve">ccupancy </w:t>
      </w:r>
      <w:r w:rsidRPr="00C43FAF">
        <w:t>T</w:t>
      </w:r>
      <w:r w:rsidR="00A119D8">
        <w:t>ax</w:t>
      </w:r>
    </w:p>
    <w:p w:rsidR="00F65D47" w:rsidRPr="00C43FAF" w:rsidRDefault="00103A00" w:rsidP="004C794B">
      <w:pPr>
        <w:pStyle w:val="ListParagraph"/>
        <w:numPr>
          <w:ilvl w:val="0"/>
          <w:numId w:val="20"/>
        </w:numPr>
        <w:suppressAutoHyphens w:val="0"/>
        <w:autoSpaceDE/>
        <w:autoSpaceDN/>
        <w:adjustRightInd/>
        <w:spacing w:after="0" w:line="240" w:lineRule="auto"/>
        <w:contextualSpacing/>
        <w:jc w:val="both"/>
        <w:textAlignment w:val="auto"/>
      </w:pPr>
      <w:r>
        <w:t>E</w:t>
      </w:r>
      <w:r w:rsidR="00F65D47" w:rsidRPr="00C43FAF">
        <w:t>mployee tax</w:t>
      </w:r>
    </w:p>
    <w:p w:rsidR="00F65D47" w:rsidRPr="00C43FAF" w:rsidRDefault="00F65D47" w:rsidP="004C794B">
      <w:pPr>
        <w:pStyle w:val="ListParagraph"/>
        <w:numPr>
          <w:ilvl w:val="0"/>
          <w:numId w:val="20"/>
        </w:numPr>
        <w:suppressAutoHyphens w:val="0"/>
        <w:autoSpaceDE/>
        <w:autoSpaceDN/>
        <w:adjustRightInd/>
        <w:spacing w:after="0" w:line="240" w:lineRule="auto"/>
        <w:contextualSpacing/>
        <w:jc w:val="both"/>
        <w:textAlignment w:val="auto"/>
      </w:pPr>
      <w:r w:rsidRPr="00C43FAF">
        <w:t>Toll road</w:t>
      </w:r>
      <w:r w:rsidR="00B24EFB">
        <w:t xml:space="preserve"> formation</w:t>
      </w:r>
    </w:p>
    <w:p w:rsidR="00F65D47" w:rsidRDefault="00F65D47" w:rsidP="004C794B">
      <w:pPr>
        <w:pStyle w:val="ListParagraph"/>
        <w:numPr>
          <w:ilvl w:val="0"/>
          <w:numId w:val="20"/>
        </w:numPr>
        <w:suppressAutoHyphens w:val="0"/>
        <w:autoSpaceDE/>
        <w:autoSpaceDN/>
        <w:adjustRightInd/>
        <w:spacing w:after="0" w:line="240" w:lineRule="auto"/>
        <w:contextualSpacing/>
        <w:jc w:val="both"/>
        <w:textAlignment w:val="auto"/>
      </w:pPr>
      <w:r w:rsidRPr="00C43FAF">
        <w:t>Infrastructure Finance Districts</w:t>
      </w:r>
    </w:p>
    <w:p w:rsidR="00F65D47" w:rsidRPr="00A119D8" w:rsidRDefault="00F65D47" w:rsidP="00830911">
      <w:pPr>
        <w:contextualSpacing/>
        <w:jc w:val="both"/>
        <w:sectPr w:rsidR="00F65D47" w:rsidRPr="00A119D8" w:rsidSect="00CF2866">
          <w:type w:val="continuous"/>
          <w:pgSz w:w="12240" w:h="15840" w:code="1"/>
          <w:pgMar w:top="1440" w:right="1440" w:bottom="634" w:left="1440" w:header="720" w:footer="720" w:gutter="0"/>
          <w:pgBorders w:offsetFrom="page">
            <w:top w:val="single" w:sz="4" w:space="24" w:color="00008C"/>
            <w:left w:val="single" w:sz="4" w:space="24" w:color="00008C"/>
            <w:bottom w:val="single" w:sz="4" w:space="24" w:color="00008C"/>
            <w:right w:val="single" w:sz="4" w:space="24" w:color="00008C"/>
          </w:pgBorders>
          <w:cols w:num="2" w:space="720"/>
          <w:titlePg/>
          <w:docGrid w:linePitch="360"/>
        </w:sectPr>
      </w:pPr>
    </w:p>
    <w:p w:rsidR="00F65D47" w:rsidRDefault="00F65D47" w:rsidP="00830911">
      <w:pPr>
        <w:jc w:val="both"/>
        <w:rPr>
          <w:sz w:val="22"/>
          <w:szCs w:val="22"/>
        </w:rPr>
      </w:pPr>
    </w:p>
    <w:p w:rsidR="00A119D8" w:rsidRDefault="00A119D8" w:rsidP="00A65469">
      <w:pPr>
        <w:spacing w:after="200" w:line="276" w:lineRule="auto"/>
        <w:jc w:val="both"/>
        <w:rPr>
          <w:sz w:val="22"/>
          <w:szCs w:val="22"/>
        </w:rPr>
      </w:pPr>
      <w:r>
        <w:rPr>
          <w:sz w:val="22"/>
          <w:szCs w:val="22"/>
        </w:rPr>
        <w:t xml:space="preserve">The </w:t>
      </w:r>
      <w:r w:rsidR="00126C36">
        <w:rPr>
          <w:sz w:val="22"/>
          <w:szCs w:val="22"/>
        </w:rPr>
        <w:t xml:space="preserve">Housing </w:t>
      </w:r>
      <w:r>
        <w:rPr>
          <w:sz w:val="22"/>
          <w:szCs w:val="22"/>
        </w:rPr>
        <w:t xml:space="preserve">Task Force compared and contrasted </w:t>
      </w:r>
      <w:r w:rsidR="00C12C52">
        <w:rPr>
          <w:sz w:val="22"/>
          <w:szCs w:val="22"/>
        </w:rPr>
        <w:t>the revenue</w:t>
      </w:r>
      <w:r>
        <w:rPr>
          <w:sz w:val="22"/>
          <w:szCs w:val="22"/>
        </w:rPr>
        <w:t xml:space="preserve"> stream that is projected to stem from eac</w:t>
      </w:r>
      <w:r w:rsidR="00C12C52">
        <w:rPr>
          <w:sz w:val="22"/>
          <w:szCs w:val="22"/>
        </w:rPr>
        <w:t>h potential source and reviewed</w:t>
      </w:r>
      <w:r>
        <w:rPr>
          <w:sz w:val="22"/>
          <w:szCs w:val="22"/>
        </w:rPr>
        <w:t xml:space="preserve"> the political feasibility for those sources that require local</w:t>
      </w:r>
      <w:r w:rsidR="00C12C52">
        <w:rPr>
          <w:sz w:val="22"/>
          <w:szCs w:val="22"/>
        </w:rPr>
        <w:t xml:space="preserve">, state and/or voter approvals, noting that recent elections in nearby localities have </w:t>
      </w:r>
      <w:r w:rsidR="004A0BB6">
        <w:rPr>
          <w:sz w:val="22"/>
          <w:szCs w:val="22"/>
        </w:rPr>
        <w:t>successfully garnered</w:t>
      </w:r>
      <w:r w:rsidR="00C12C52">
        <w:rPr>
          <w:sz w:val="22"/>
          <w:szCs w:val="22"/>
        </w:rPr>
        <w:t xml:space="preserve"> voter approvals of</w:t>
      </w:r>
      <w:r w:rsidR="00BB095F">
        <w:rPr>
          <w:sz w:val="22"/>
          <w:szCs w:val="22"/>
        </w:rPr>
        <w:t xml:space="preserve"> affordable housing and community enhancement</w:t>
      </w:r>
      <w:r w:rsidR="00C12C52">
        <w:rPr>
          <w:sz w:val="22"/>
          <w:szCs w:val="22"/>
        </w:rPr>
        <w:t xml:space="preserve"> tax measures, including</w:t>
      </w:r>
      <w:r w:rsidR="00103A00">
        <w:rPr>
          <w:sz w:val="22"/>
          <w:szCs w:val="22"/>
        </w:rPr>
        <w:t xml:space="preserve"> </w:t>
      </w:r>
      <w:r w:rsidR="00103A00" w:rsidRPr="00D2028E">
        <w:rPr>
          <w:sz w:val="22"/>
          <w:szCs w:val="22"/>
        </w:rPr>
        <w:t>in San Francisco with the adoption of Proposition C which will create a 30-year revenue stream funding approximately 3,000 affordable rental units for families at 60% of the area median income</w:t>
      </w:r>
      <w:r w:rsidR="00FC7C82" w:rsidRPr="00D2028E">
        <w:rPr>
          <w:sz w:val="22"/>
          <w:szCs w:val="22"/>
        </w:rPr>
        <w:t>, provide</w:t>
      </w:r>
      <w:r w:rsidR="00103A00" w:rsidRPr="00D2028E">
        <w:rPr>
          <w:sz w:val="22"/>
          <w:szCs w:val="22"/>
        </w:rPr>
        <w:t xml:space="preserve"> down payment assistance,</w:t>
      </w:r>
      <w:r w:rsidR="00103A00">
        <w:rPr>
          <w:sz w:val="22"/>
          <w:szCs w:val="22"/>
        </w:rPr>
        <w:t xml:space="preserve"> and will also support more </w:t>
      </w:r>
      <w:r w:rsidR="00FC7C82">
        <w:rPr>
          <w:sz w:val="22"/>
          <w:szCs w:val="22"/>
        </w:rPr>
        <w:t>below-</w:t>
      </w:r>
      <w:r w:rsidR="00103A00">
        <w:rPr>
          <w:sz w:val="22"/>
          <w:szCs w:val="22"/>
        </w:rPr>
        <w:t>market rate rentals by</w:t>
      </w:r>
      <w:r w:rsidR="00103A00" w:rsidRPr="00103A00">
        <w:t xml:space="preserve"> </w:t>
      </w:r>
      <w:r w:rsidR="00103A00" w:rsidRPr="00103A00">
        <w:rPr>
          <w:sz w:val="22"/>
          <w:szCs w:val="22"/>
        </w:rPr>
        <w:t>providing incentive</w:t>
      </w:r>
      <w:r w:rsidR="00103A00">
        <w:rPr>
          <w:sz w:val="22"/>
          <w:szCs w:val="22"/>
        </w:rPr>
        <w:t>s</w:t>
      </w:r>
      <w:r w:rsidR="00103A00" w:rsidRPr="00103A00">
        <w:rPr>
          <w:sz w:val="22"/>
          <w:szCs w:val="22"/>
        </w:rPr>
        <w:t xml:space="preserve"> for on-site inclusionary affordable housing, assist foreclosure prevention and single-family rehabilitation, and fund neighborhood infrastructure grants</w:t>
      </w:r>
      <w:r w:rsidR="0009095A">
        <w:rPr>
          <w:sz w:val="22"/>
          <w:szCs w:val="22"/>
        </w:rPr>
        <w:t>.</w:t>
      </w:r>
    </w:p>
    <w:p w:rsidR="009C45BE" w:rsidRDefault="009C45BE" w:rsidP="004D0B65">
      <w:pPr>
        <w:spacing w:after="200" w:line="276" w:lineRule="auto"/>
        <w:rPr>
          <w:sz w:val="22"/>
          <w:szCs w:val="22"/>
        </w:rPr>
      </w:pPr>
      <w:r>
        <w:rPr>
          <w:sz w:val="22"/>
          <w:szCs w:val="22"/>
        </w:rPr>
        <w:t>In its discussions on potential new funding sources, the</w:t>
      </w:r>
      <w:r w:rsidR="00126C36">
        <w:rPr>
          <w:sz w:val="22"/>
          <w:szCs w:val="22"/>
        </w:rPr>
        <w:t xml:space="preserve"> Housing</w:t>
      </w:r>
      <w:r>
        <w:rPr>
          <w:sz w:val="22"/>
          <w:szCs w:val="22"/>
        </w:rPr>
        <w:t xml:space="preserve"> Task Force reached consensus on the following guiding principle:</w:t>
      </w:r>
    </w:p>
    <w:p w:rsidR="009C45BE" w:rsidRPr="007A25B3" w:rsidRDefault="009C45BE" w:rsidP="00C12C52">
      <w:pPr>
        <w:rPr>
          <w:sz w:val="22"/>
          <w:szCs w:val="22"/>
        </w:rPr>
      </w:pPr>
    </w:p>
    <w:p w:rsidR="00C12C52" w:rsidRPr="007A25B3" w:rsidRDefault="001A4C46" w:rsidP="00C12C52">
      <w:pPr>
        <w:rPr>
          <w:sz w:val="22"/>
          <w:szCs w:val="22"/>
        </w:rPr>
      </w:pPr>
      <w:r>
        <w:rPr>
          <w:noProof/>
          <w:sz w:val="22"/>
          <w:szCs w:val="22"/>
        </w:rPr>
        <mc:AlternateContent>
          <mc:Choice Requires="wps">
            <w:drawing>
              <wp:inline distT="0" distB="0" distL="0" distR="0">
                <wp:extent cx="5943600" cy="1533525"/>
                <wp:effectExtent l="19050" t="19050" r="19050" b="28575"/>
                <wp:docPr id="1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533525"/>
                        </a:xfrm>
                        <a:prstGeom prst="rect">
                          <a:avLst/>
                        </a:prstGeom>
                        <a:solidFill>
                          <a:srgbClr val="FFFFFF"/>
                        </a:solidFill>
                        <a:ln w="38100" cmpd="dbl">
                          <a:solidFill>
                            <a:schemeClr val="tx1">
                              <a:lumMod val="100000"/>
                              <a:lumOff val="0"/>
                            </a:schemeClr>
                          </a:solidFill>
                          <a:miter lim="800000"/>
                          <a:headEnd/>
                          <a:tailEnd/>
                        </a:ln>
                      </wps:spPr>
                      <wps:txbx>
                        <w:txbxContent>
                          <w:p w:rsidR="00CE2A47" w:rsidRPr="00397494" w:rsidRDefault="00CE2A47" w:rsidP="00C12C52">
                            <w:pPr>
                              <w:jc w:val="center"/>
                              <w:rPr>
                                <w:color w:val="00008C"/>
                              </w:rPr>
                            </w:pPr>
                          </w:p>
                          <w:p w:rsidR="00CE2A47" w:rsidRPr="00963617" w:rsidRDefault="00CE2A47" w:rsidP="00C12C52">
                            <w:pPr>
                              <w:jc w:val="center"/>
                              <w:rPr>
                                <w:b/>
                                <w:i/>
                                <w:sz w:val="32"/>
                                <w:szCs w:val="32"/>
                              </w:rPr>
                            </w:pPr>
                            <w:r w:rsidRPr="00963617">
                              <w:rPr>
                                <w:b/>
                                <w:i/>
                                <w:sz w:val="32"/>
                                <w:szCs w:val="32"/>
                              </w:rPr>
                              <w:t>Costs should be spread fairly over a wide economic base.</w:t>
                            </w:r>
                          </w:p>
                          <w:p w:rsidR="00CE2A47" w:rsidRPr="00963617" w:rsidRDefault="00CE2A47" w:rsidP="00F436FD">
                            <w:pPr>
                              <w:jc w:val="center"/>
                              <w:rPr>
                                <w:sz w:val="22"/>
                                <w:szCs w:val="22"/>
                              </w:rPr>
                            </w:pPr>
                          </w:p>
                          <w:p w:rsidR="00CE2A47" w:rsidRPr="00963617" w:rsidRDefault="00CE2A47" w:rsidP="00F436FD">
                            <w:pPr>
                              <w:spacing w:after="200" w:line="276" w:lineRule="auto"/>
                              <w:jc w:val="center"/>
                              <w:rPr>
                                <w:sz w:val="22"/>
                                <w:szCs w:val="22"/>
                              </w:rPr>
                            </w:pPr>
                            <w:r w:rsidRPr="00963617">
                              <w:rPr>
                                <w:sz w:val="22"/>
                                <w:szCs w:val="22"/>
                              </w:rPr>
                              <w:t>New revenues for affordable housing should come from a variety of business sectors</w:t>
                            </w:r>
                            <w:r>
                              <w:rPr>
                                <w:sz w:val="22"/>
                                <w:szCs w:val="22"/>
                              </w:rPr>
                              <w:t>,</w:t>
                            </w:r>
                            <w:r w:rsidRPr="00963617">
                              <w:rPr>
                                <w:sz w:val="22"/>
                                <w:szCs w:val="22"/>
                              </w:rPr>
                              <w:t xml:space="preserve"> so that no one group is singled out or faces a disproportionate increase in costs. Large employers should share in the responsibility of ensuring that their employees have access to affordable housing within reasonable proximity to their workplaces.</w:t>
                            </w:r>
                          </w:p>
                          <w:p w:rsidR="00CE2A47" w:rsidRPr="00460592" w:rsidRDefault="00CE2A47" w:rsidP="00F436FD">
                            <w:pPr>
                              <w:spacing w:after="200" w:line="276" w:lineRule="auto"/>
                              <w:jc w:val="center"/>
                              <w:rPr>
                                <w:color w:val="00008C"/>
                                <w:sz w:val="22"/>
                                <w:szCs w:val="22"/>
                              </w:rPr>
                            </w:pPr>
                          </w:p>
                        </w:txbxContent>
                      </wps:txbx>
                      <wps:bodyPr rot="0" vert="horz" wrap="square" lIns="91440" tIns="45720" rIns="91440" bIns="45720" anchor="t" anchorCtr="0" upright="1">
                        <a:noAutofit/>
                      </wps:bodyPr>
                    </wps:wsp>
                  </a:graphicData>
                </a:graphic>
              </wp:inline>
            </w:drawing>
          </mc:Choice>
          <mc:Fallback>
            <w:pict>
              <v:shape id="_x0000_s1033" type="#_x0000_t202" style="width:468pt;height:12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" strokecolor="black [3213]" strokeweight="3pt">
                <v:stroke linestyle="thinThin"/>
                <v:textbox>
                  <w:txbxContent>
                    <w:p w:rsidR="00CE2A47" w:rsidRPr="00397494" w:rsidRDefault="00CE2A47" w:rsidP="00C12C52">
                      <w:pPr>
                        <w:jc w:val="center"/>
                        <w:rPr>
                          <w:color w:val="00008C"/>
                        </w:rPr>
                      </w:pPr>
                    </w:p>
                    <w:p w:rsidR="00CE2A47" w:rsidRPr="00963617" w:rsidRDefault="00CE2A47" w:rsidP="00C12C52">
                      <w:pPr>
                        <w:jc w:val="center"/>
                        <w:rPr>
                          <w:b/>
                          <w:i/>
                          <w:sz w:val="32"/>
                          <w:szCs w:val="32"/>
                        </w:rPr>
                      </w:pPr>
                      <w:r w:rsidRPr="00963617">
                        <w:rPr>
                          <w:b/>
                          <w:i/>
                          <w:sz w:val="32"/>
                          <w:szCs w:val="32"/>
                        </w:rPr>
                        <w:t>Costs should be spread fairly over a wide economic base.</w:t>
                      </w:r>
                    </w:p>
                    <w:p w:rsidR="00CE2A47" w:rsidRPr="00963617" w:rsidRDefault="00CE2A47" w:rsidP="00F436FD">
                      <w:pPr>
                        <w:jc w:val="center"/>
                        <w:rPr>
                          <w:sz w:val="22"/>
                          <w:szCs w:val="22"/>
                        </w:rPr>
                      </w:pPr>
                    </w:p>
                    <w:p w:rsidR="00CE2A47" w:rsidRPr="00963617" w:rsidRDefault="00CE2A47" w:rsidP="00F436FD">
                      <w:pPr>
                        <w:spacing w:after="200" w:line="276" w:lineRule="auto"/>
                        <w:jc w:val="center"/>
                        <w:rPr>
                          <w:sz w:val="22"/>
                          <w:szCs w:val="22"/>
                        </w:rPr>
                      </w:pPr>
                      <w:r w:rsidRPr="00963617">
                        <w:rPr>
                          <w:sz w:val="22"/>
                          <w:szCs w:val="22"/>
                        </w:rPr>
                        <w:t>New revenues for affordable housing should come from a variety of business sectors</w:t>
                      </w:r>
                      <w:r>
                        <w:rPr>
                          <w:sz w:val="22"/>
                          <w:szCs w:val="22"/>
                        </w:rPr>
                        <w:t>,</w:t>
                      </w:r>
                      <w:r w:rsidRPr="00963617">
                        <w:rPr>
                          <w:sz w:val="22"/>
                          <w:szCs w:val="22"/>
                        </w:rPr>
                        <w:t xml:space="preserve"> so that no one group is singled out or faces a disproportionate increase in costs. Large employers should share in the responsibility of ensuring that their employees have access to affordable housing within reasonable proximity to their workplaces.</w:t>
                      </w:r>
                    </w:p>
                    <w:p w:rsidR="00CE2A47" w:rsidRPr="00460592" w:rsidRDefault="00CE2A47" w:rsidP="00F436FD">
                      <w:pPr>
                        <w:spacing w:after="200" w:line="276" w:lineRule="auto"/>
                        <w:jc w:val="center"/>
                        <w:rPr>
                          <w:color w:val="00008C"/>
                          <w:sz w:val="22"/>
                          <w:szCs w:val="22"/>
                        </w:rPr>
                      </w:pPr>
                    </w:p>
                  </w:txbxContent>
                </v:textbox>
                <w10:anchorlock/>
              </v:shape>
            </w:pict>
          </mc:Fallback>
        </mc:AlternateContent>
      </w:r>
    </w:p>
    <w:p w:rsidR="00C12C52" w:rsidRDefault="00C12C52" w:rsidP="00E00308">
      <w:pPr>
        <w:rPr>
          <w:sz w:val="22"/>
          <w:szCs w:val="22"/>
        </w:rPr>
      </w:pPr>
    </w:p>
    <w:p w:rsidR="00E00308" w:rsidRDefault="00E00308" w:rsidP="00E00308">
      <w:pPr>
        <w:rPr>
          <w:sz w:val="22"/>
          <w:szCs w:val="22"/>
        </w:rPr>
      </w:pPr>
    </w:p>
    <w:p w:rsidR="00864D5C" w:rsidRDefault="0056675D" w:rsidP="00F9576E">
      <w:pPr>
        <w:pStyle w:val="TOC30"/>
        <w:rPr>
          <w:b w:val="0"/>
        </w:rPr>
      </w:pPr>
      <w:bookmarkStart w:id="49" w:name="_Toc352584372"/>
      <w:bookmarkStart w:id="50" w:name="_Toc359933707"/>
      <w:r>
        <w:rPr>
          <w:b w:val="0"/>
        </w:rPr>
        <w:t xml:space="preserve">The Task Force recommends establishing sources of revenues which </w:t>
      </w:r>
      <w:r w:rsidR="000F60A1">
        <w:rPr>
          <w:b w:val="0"/>
        </w:rPr>
        <w:t xml:space="preserve">ensure a </w:t>
      </w:r>
      <w:r>
        <w:rPr>
          <w:b w:val="0"/>
        </w:rPr>
        <w:t xml:space="preserve">total $5 million annually beginning in 2018 in order to create </w:t>
      </w:r>
      <w:r w:rsidR="000F60A1">
        <w:rPr>
          <w:b w:val="0"/>
        </w:rPr>
        <w:t xml:space="preserve">a minimum of </w:t>
      </w:r>
      <w:r>
        <w:rPr>
          <w:b w:val="0"/>
        </w:rPr>
        <w:t xml:space="preserve">60 affordable housing units per year. The Task Force established this goal based upon the number of units and local dollars required for the recent County/City of Napa NOFA projects.  The Task Force believes this funding should come from a number of sources. </w:t>
      </w:r>
      <w:r w:rsidR="009A2AAB">
        <w:rPr>
          <w:b w:val="0"/>
        </w:rPr>
        <w:t>Because several large business sectors cause a need for affordable housing, t</w:t>
      </w:r>
      <w:r w:rsidR="00864D5C" w:rsidRPr="00126537">
        <w:rPr>
          <w:b w:val="0"/>
        </w:rPr>
        <w:t xml:space="preserve">he Task Force recommends working with each of the major industries to ensure each contributes </w:t>
      </w:r>
      <w:r w:rsidR="009A2AAB">
        <w:rPr>
          <w:b w:val="0"/>
        </w:rPr>
        <w:t>towards th</w:t>
      </w:r>
      <w:r w:rsidR="00663948">
        <w:rPr>
          <w:b w:val="0"/>
        </w:rPr>
        <w:t>e</w:t>
      </w:r>
      <w:r w:rsidR="009A2AAB">
        <w:rPr>
          <w:b w:val="0"/>
        </w:rPr>
        <w:t xml:space="preserve"> cost of p</w:t>
      </w:r>
      <w:r w:rsidR="00864D5C" w:rsidRPr="00126537">
        <w:rPr>
          <w:b w:val="0"/>
        </w:rPr>
        <w:t xml:space="preserve">roviding affordable housing.  </w:t>
      </w:r>
      <w:r w:rsidR="005E56C4">
        <w:rPr>
          <w:b w:val="0"/>
        </w:rPr>
        <w:t>Th</w:t>
      </w:r>
      <w:r>
        <w:rPr>
          <w:b w:val="0"/>
        </w:rPr>
        <w:t>e sectors</w:t>
      </w:r>
      <w:r w:rsidR="005E56C4">
        <w:rPr>
          <w:b w:val="0"/>
        </w:rPr>
        <w:t xml:space="preserve"> </w:t>
      </w:r>
      <w:r>
        <w:rPr>
          <w:b w:val="0"/>
        </w:rPr>
        <w:t xml:space="preserve">impacting the need for affordable housing </w:t>
      </w:r>
      <w:r w:rsidR="005E56C4">
        <w:rPr>
          <w:b w:val="0"/>
        </w:rPr>
        <w:t xml:space="preserve">include wineries, </w:t>
      </w:r>
      <w:r w:rsidR="000F60A1">
        <w:rPr>
          <w:b w:val="0"/>
        </w:rPr>
        <w:t>hospitality</w:t>
      </w:r>
      <w:r w:rsidR="005E56C4">
        <w:rPr>
          <w:b w:val="0"/>
        </w:rPr>
        <w:t>, development</w:t>
      </w:r>
      <w:r w:rsidR="000F60A1">
        <w:rPr>
          <w:b w:val="0"/>
        </w:rPr>
        <w:t>, healthcare, government and retail</w:t>
      </w:r>
      <w:r w:rsidR="005E56C4">
        <w:rPr>
          <w:b w:val="0"/>
        </w:rPr>
        <w:t>.</w:t>
      </w:r>
      <w:r w:rsidR="00864D5C" w:rsidRPr="00126537">
        <w:rPr>
          <w:b w:val="0"/>
        </w:rPr>
        <w:t xml:space="preserve"> Rather than make specific recommendations for new revenue sources</w:t>
      </w:r>
      <w:r w:rsidR="009A2AAB">
        <w:rPr>
          <w:b w:val="0"/>
        </w:rPr>
        <w:t xml:space="preserve"> for these sectors</w:t>
      </w:r>
      <w:r w:rsidR="00864D5C" w:rsidRPr="00126537">
        <w:rPr>
          <w:b w:val="0"/>
        </w:rPr>
        <w:t>, the Task Force instead recommended outreach</w:t>
      </w:r>
      <w:r w:rsidR="009A2AAB">
        <w:rPr>
          <w:b w:val="0"/>
        </w:rPr>
        <w:t>ing</w:t>
      </w:r>
      <w:r w:rsidR="00864D5C" w:rsidRPr="00126537">
        <w:rPr>
          <w:b w:val="0"/>
        </w:rPr>
        <w:t xml:space="preserve"> to each of these</w:t>
      </w:r>
      <w:r w:rsidR="009A2AAB">
        <w:rPr>
          <w:b w:val="0"/>
        </w:rPr>
        <w:t xml:space="preserve"> groups for input on how their share of the cost should be structured. Therefore, Action Steps 1 through 4 </w:t>
      </w:r>
      <w:r>
        <w:rPr>
          <w:b w:val="0"/>
        </w:rPr>
        <w:t>require</w:t>
      </w:r>
      <w:r w:rsidR="00100D0E">
        <w:rPr>
          <w:b w:val="0"/>
        </w:rPr>
        <w:t>s</w:t>
      </w:r>
      <w:r>
        <w:rPr>
          <w:b w:val="0"/>
        </w:rPr>
        <w:t xml:space="preserve"> </w:t>
      </w:r>
      <w:r w:rsidR="009A2AAB">
        <w:rPr>
          <w:b w:val="0"/>
        </w:rPr>
        <w:t>work</w:t>
      </w:r>
      <w:r>
        <w:rPr>
          <w:b w:val="0"/>
        </w:rPr>
        <w:t>ing</w:t>
      </w:r>
      <w:r w:rsidR="009A2AAB">
        <w:rPr>
          <w:b w:val="0"/>
        </w:rPr>
        <w:t xml:space="preserve"> with each industry before developing specific funding recommendations</w:t>
      </w:r>
      <w:r w:rsidR="00864D5C" w:rsidRPr="00126537">
        <w:rPr>
          <w:b w:val="0"/>
        </w:rPr>
        <w:t>.</w:t>
      </w:r>
      <w:bookmarkEnd w:id="49"/>
      <w:bookmarkEnd w:id="50"/>
    </w:p>
    <w:p w:rsidR="009A2AAB" w:rsidRDefault="009A2AAB" w:rsidP="00F9576E">
      <w:pPr>
        <w:pStyle w:val="TOC30"/>
        <w:rPr>
          <w:b w:val="0"/>
        </w:rPr>
      </w:pPr>
    </w:p>
    <w:p w:rsidR="00100D0E" w:rsidRDefault="009A2AAB" w:rsidP="009A2AAB">
      <w:pPr>
        <w:suppressAutoHyphens/>
        <w:autoSpaceDE w:val="0"/>
        <w:autoSpaceDN w:val="0"/>
        <w:adjustRightInd w:val="0"/>
        <w:spacing w:after="200" w:line="276" w:lineRule="auto"/>
        <w:jc w:val="both"/>
        <w:textAlignment w:val="center"/>
        <w:rPr>
          <w:rFonts w:eastAsia="Calibri"/>
          <w:bCs/>
          <w:sz w:val="22"/>
          <w:szCs w:val="22"/>
        </w:rPr>
      </w:pPr>
      <w:r w:rsidRPr="009F0730">
        <w:rPr>
          <w:rFonts w:eastAsia="Calibri"/>
          <w:bCs/>
          <w:sz w:val="22"/>
          <w:szCs w:val="22"/>
        </w:rPr>
        <w:t xml:space="preserve">The Task Force did, however, recommend three revenue sources </w:t>
      </w:r>
      <w:r w:rsidR="009F0730">
        <w:rPr>
          <w:rFonts w:eastAsia="Calibri"/>
          <w:bCs/>
          <w:sz w:val="22"/>
          <w:szCs w:val="22"/>
        </w:rPr>
        <w:t>to pursue now</w:t>
      </w:r>
      <w:r w:rsidRPr="009F0730">
        <w:rPr>
          <w:rFonts w:eastAsia="Calibri"/>
          <w:bCs/>
          <w:sz w:val="22"/>
          <w:szCs w:val="22"/>
        </w:rPr>
        <w:t>.  The</w:t>
      </w:r>
      <w:r w:rsidR="009F0730">
        <w:rPr>
          <w:rFonts w:eastAsia="Calibri"/>
          <w:bCs/>
          <w:sz w:val="22"/>
          <w:szCs w:val="22"/>
        </w:rPr>
        <w:t xml:space="preserve">y are </w:t>
      </w:r>
      <w:r w:rsidRPr="009F0730">
        <w:rPr>
          <w:rFonts w:eastAsia="Calibri"/>
          <w:bCs/>
          <w:sz w:val="22"/>
          <w:szCs w:val="22"/>
        </w:rPr>
        <w:t>not industry-specific</w:t>
      </w:r>
      <w:r w:rsidR="009F0730">
        <w:rPr>
          <w:rFonts w:eastAsia="Calibri"/>
          <w:bCs/>
          <w:sz w:val="22"/>
          <w:szCs w:val="22"/>
        </w:rPr>
        <w:t xml:space="preserve"> and </w:t>
      </w:r>
      <w:r w:rsidRPr="009F0730">
        <w:rPr>
          <w:rFonts w:eastAsia="Calibri"/>
          <w:bCs/>
          <w:sz w:val="22"/>
          <w:szCs w:val="22"/>
        </w:rPr>
        <w:t>include Action Step #5, “boomerang funds,” Action Step #6, an increase in business license tax, and Action Step</w:t>
      </w:r>
      <w:r w:rsidR="009F0730" w:rsidRPr="009F0730">
        <w:rPr>
          <w:rFonts w:eastAsia="Calibri"/>
          <w:bCs/>
          <w:sz w:val="22"/>
          <w:szCs w:val="22"/>
        </w:rPr>
        <w:t xml:space="preserve"> #7, an increase to the property transfer tax.</w:t>
      </w:r>
    </w:p>
    <w:p w:rsidR="00100D0E" w:rsidRDefault="00100D0E" w:rsidP="009A2AAB">
      <w:pPr>
        <w:suppressAutoHyphens/>
        <w:autoSpaceDE w:val="0"/>
        <w:autoSpaceDN w:val="0"/>
        <w:adjustRightInd w:val="0"/>
        <w:spacing w:after="200" w:line="276" w:lineRule="auto"/>
        <w:jc w:val="both"/>
        <w:textAlignment w:val="center"/>
        <w:rPr>
          <w:rFonts w:eastAsia="Calibri"/>
          <w:bCs/>
          <w:sz w:val="22"/>
          <w:szCs w:val="22"/>
        </w:rPr>
      </w:pPr>
    </w:p>
    <w:p w:rsidR="009A2AAB" w:rsidRPr="009F0730" w:rsidRDefault="00100D0E" w:rsidP="009A2AAB">
      <w:pPr>
        <w:suppressAutoHyphens/>
        <w:autoSpaceDE w:val="0"/>
        <w:autoSpaceDN w:val="0"/>
        <w:adjustRightInd w:val="0"/>
        <w:spacing w:after="200" w:line="276" w:lineRule="auto"/>
        <w:jc w:val="both"/>
        <w:textAlignment w:val="center"/>
        <w:rPr>
          <w:rFonts w:eastAsia="Calibri"/>
          <w:bCs/>
          <w:sz w:val="22"/>
          <w:szCs w:val="22"/>
        </w:rPr>
      </w:pPr>
      <w:r>
        <w:rPr>
          <w:rFonts w:eastAsia="Calibri"/>
          <w:bCs/>
          <w:sz w:val="22"/>
          <w:szCs w:val="22"/>
        </w:rPr>
        <w:t>The Task Force recommends that the results of these action steps, both in terms of funding generated and units developed, be analyzed regularly to ensure these new funds are available and used to create affordable housing in Napa County.</w:t>
      </w:r>
    </w:p>
    <w:p w:rsidR="00864D5C" w:rsidRDefault="00864D5C" w:rsidP="00F9576E">
      <w:pPr>
        <w:pStyle w:val="TOC30"/>
      </w:pPr>
    </w:p>
    <w:p w:rsidR="00864D5C" w:rsidRPr="00126537" w:rsidRDefault="00426CC0" w:rsidP="00F9576E">
      <w:pPr>
        <w:pStyle w:val="TOC30"/>
        <w:rPr>
          <w:rStyle w:val="Hyperlink"/>
        </w:rPr>
      </w:pPr>
      <w:r w:rsidRPr="00864D5C">
        <w:fldChar w:fldCharType="begin"/>
      </w:r>
      <w:r w:rsidR="00E77E4E" w:rsidRPr="00864D5C">
        <w:instrText xml:space="preserve"> HYPERLINK \l "Table_of_Contents" </w:instrText>
      </w:r>
      <w:r w:rsidRPr="00864D5C">
        <w:fldChar w:fldCharType="separate"/>
      </w:r>
      <w:bookmarkStart w:id="51" w:name="_Toc359933708"/>
      <w:bookmarkStart w:id="52" w:name="_Toc352584373"/>
      <w:r w:rsidR="00902F41" w:rsidRPr="00126537">
        <w:rPr>
          <w:rStyle w:val="Hyperlink"/>
        </w:rPr>
        <w:t>Action Step #1:</w:t>
      </w:r>
      <w:r w:rsidR="00902F41" w:rsidRPr="00126537">
        <w:rPr>
          <w:rStyle w:val="Hyperlink"/>
        </w:rPr>
        <w:tab/>
      </w:r>
      <w:r w:rsidR="00864D5C" w:rsidRPr="00126537">
        <w:rPr>
          <w:bCs/>
          <w:color w:val="000000"/>
        </w:rPr>
        <w:t xml:space="preserve">Work with Development Community to Provide Additional Funding for Affordable Housing and Consider Adjusting </w:t>
      </w:r>
      <w:r w:rsidR="005A7890" w:rsidRPr="00126537">
        <w:rPr>
          <w:bCs/>
          <w:color w:val="000000"/>
        </w:rPr>
        <w:t>Development Impact Fees t</w:t>
      </w:r>
      <w:r w:rsidR="00864D5C" w:rsidRPr="00126537">
        <w:rPr>
          <w:bCs/>
          <w:color w:val="000000"/>
        </w:rPr>
        <w:t>hroughout the County</w:t>
      </w:r>
      <w:bookmarkEnd w:id="51"/>
      <w:bookmarkEnd w:id="52"/>
    </w:p>
    <w:p w:rsidR="00864D5C" w:rsidRPr="00C43FAF" w:rsidRDefault="00426CC0" w:rsidP="00737F8F">
      <w:pPr>
        <w:rPr>
          <w:b/>
          <w:sz w:val="22"/>
          <w:szCs w:val="22"/>
          <w:u w:val="single"/>
        </w:rPr>
      </w:pPr>
      <w:r w:rsidRPr="00864D5C">
        <w:rPr>
          <w:rStyle w:val="Hyperlink"/>
          <w:b/>
        </w:rPr>
        <w:fldChar w:fldCharType="end"/>
      </w:r>
    </w:p>
    <w:p w:rsidR="0089692A" w:rsidRDefault="00424F97" w:rsidP="0089692A">
      <w:pPr>
        <w:spacing w:after="200" w:line="276" w:lineRule="auto"/>
        <w:jc w:val="both"/>
        <w:rPr>
          <w:sz w:val="22"/>
          <w:szCs w:val="22"/>
        </w:rPr>
      </w:pPr>
      <w:r>
        <w:rPr>
          <w:sz w:val="22"/>
          <w:szCs w:val="22"/>
        </w:rPr>
        <w:t>The</w:t>
      </w:r>
      <w:r w:rsidR="00126C36">
        <w:rPr>
          <w:sz w:val="22"/>
          <w:szCs w:val="22"/>
        </w:rPr>
        <w:t xml:space="preserve"> Housing</w:t>
      </w:r>
      <w:r>
        <w:rPr>
          <w:sz w:val="22"/>
          <w:szCs w:val="22"/>
        </w:rPr>
        <w:t xml:space="preserve"> Task Force examined existing residential and commercial development impact fee structures and determined a need to harmonize these fees across jurisdictions. Updating development impact fees ensures that each jurisdiction is collecting its fair share of funds for</w:t>
      </w:r>
      <w:r w:rsidR="000F6EEB">
        <w:rPr>
          <w:sz w:val="22"/>
          <w:szCs w:val="22"/>
        </w:rPr>
        <w:t xml:space="preserve"> affordable housing. The County of Napa commissioned a residential </w:t>
      </w:r>
      <w:r>
        <w:rPr>
          <w:sz w:val="22"/>
          <w:szCs w:val="22"/>
        </w:rPr>
        <w:t xml:space="preserve">nexus study </w:t>
      </w:r>
      <w:r w:rsidR="000F6EEB">
        <w:rPr>
          <w:sz w:val="22"/>
          <w:szCs w:val="22"/>
        </w:rPr>
        <w:t>that was completed in November 2009 by Keyser Marston Associates</w:t>
      </w:r>
      <w:r w:rsidR="001237A6">
        <w:rPr>
          <w:sz w:val="22"/>
          <w:szCs w:val="22"/>
        </w:rPr>
        <w:t xml:space="preserve">. Similarly, the City of Napa completed a nexus study prepared by </w:t>
      </w:r>
      <w:r w:rsidR="00D2028E">
        <w:rPr>
          <w:sz w:val="22"/>
          <w:szCs w:val="22"/>
        </w:rPr>
        <w:t xml:space="preserve">Vernazza Wolfe Associates </w:t>
      </w:r>
      <w:r w:rsidR="00D2028E" w:rsidRPr="00D2028E">
        <w:rPr>
          <w:sz w:val="22"/>
          <w:szCs w:val="22"/>
        </w:rPr>
        <w:t>in December 2011</w:t>
      </w:r>
      <w:r w:rsidR="001237A6" w:rsidRPr="00D2028E">
        <w:rPr>
          <w:sz w:val="22"/>
          <w:szCs w:val="22"/>
        </w:rPr>
        <w:t>.</w:t>
      </w:r>
      <w:r w:rsidR="001237A6">
        <w:rPr>
          <w:sz w:val="22"/>
          <w:szCs w:val="22"/>
        </w:rPr>
        <w:t xml:space="preserve"> T</w:t>
      </w:r>
      <w:r>
        <w:rPr>
          <w:sz w:val="22"/>
          <w:szCs w:val="22"/>
        </w:rPr>
        <w:t>he Task Force’s recommendations fall below the levels deemed</w:t>
      </w:r>
      <w:r w:rsidR="00187483">
        <w:rPr>
          <w:sz w:val="22"/>
          <w:szCs w:val="22"/>
        </w:rPr>
        <w:t xml:space="preserve"> permissible by th</w:t>
      </w:r>
      <w:r w:rsidR="00D2028E">
        <w:rPr>
          <w:sz w:val="22"/>
          <w:szCs w:val="22"/>
        </w:rPr>
        <w:t>ese</w:t>
      </w:r>
      <w:r w:rsidR="00187483">
        <w:rPr>
          <w:sz w:val="22"/>
          <w:szCs w:val="22"/>
        </w:rPr>
        <w:t xml:space="preserve"> nexus analysis</w:t>
      </w:r>
      <w:r>
        <w:rPr>
          <w:sz w:val="22"/>
          <w:szCs w:val="22"/>
        </w:rPr>
        <w:t>. Specifically, the Task Force calls for</w:t>
      </w:r>
      <w:r w:rsidR="0089692A">
        <w:rPr>
          <w:sz w:val="22"/>
          <w:szCs w:val="22"/>
        </w:rPr>
        <w:t>:</w:t>
      </w:r>
    </w:p>
    <w:p w:rsidR="005E56C4" w:rsidRDefault="0089692A" w:rsidP="005E56C4">
      <w:pPr>
        <w:pStyle w:val="ListParagraph"/>
        <w:numPr>
          <w:ilvl w:val="0"/>
          <w:numId w:val="34"/>
        </w:numPr>
      </w:pPr>
      <w:r>
        <w:t>Establish a commercial impact fee in other cities such as American Canyon</w:t>
      </w:r>
      <w:r w:rsidR="00424F97" w:rsidRPr="0089692A">
        <w:t xml:space="preserve"> </w:t>
      </w:r>
    </w:p>
    <w:p w:rsidR="005E56C4" w:rsidRDefault="005E56C4" w:rsidP="005E56C4">
      <w:pPr>
        <w:pStyle w:val="ListParagraph"/>
        <w:numPr>
          <w:ilvl w:val="0"/>
          <w:numId w:val="34"/>
        </w:numPr>
      </w:pPr>
      <w:r>
        <w:t>Establish a residential impact fee in other cities such as American Canyon</w:t>
      </w:r>
    </w:p>
    <w:p w:rsidR="009600CC" w:rsidRDefault="005A7890" w:rsidP="005E56C4">
      <w:pPr>
        <w:pStyle w:val="ListParagraph"/>
        <w:numPr>
          <w:ilvl w:val="0"/>
          <w:numId w:val="34"/>
        </w:numPr>
      </w:pPr>
      <w:r>
        <w:t>Consider increasing</w:t>
      </w:r>
      <w:r w:rsidR="0089692A" w:rsidRPr="009600CC">
        <w:t xml:space="preserve"> impact fee</w:t>
      </w:r>
      <w:r w:rsidR="005E56C4">
        <w:t>s</w:t>
      </w:r>
      <w:r w:rsidR="0089692A" w:rsidRPr="009600CC">
        <w:t xml:space="preserve"> in </w:t>
      </w:r>
      <w:r w:rsidR="009600CC" w:rsidRPr="009600CC">
        <w:t xml:space="preserve">the City of </w:t>
      </w:r>
      <w:r w:rsidR="0089692A" w:rsidRPr="009600CC">
        <w:t xml:space="preserve">Napa </w:t>
      </w:r>
      <w:r>
        <w:t>and commercial impact fees in Napa County</w:t>
      </w:r>
    </w:p>
    <w:p w:rsidR="005A7890" w:rsidRPr="00126537" w:rsidRDefault="005A7890" w:rsidP="005A7890">
      <w:pPr>
        <w:rPr>
          <w:b/>
        </w:rPr>
      </w:pPr>
      <w:r w:rsidRPr="00126537">
        <w:rPr>
          <w:b/>
        </w:rPr>
        <w:t>Action Step #2:  Work with Wine Industry to Provide Additional Funding for Affordable Housing and Consider Increasing CSA 4 Assessment</w:t>
      </w:r>
    </w:p>
    <w:p w:rsidR="005A7890" w:rsidRDefault="005A7890" w:rsidP="005A7890"/>
    <w:p w:rsidR="005A7890" w:rsidRPr="00C43FAF" w:rsidRDefault="005A7890" w:rsidP="005A7890">
      <w:pPr>
        <w:spacing w:after="200" w:line="276" w:lineRule="auto"/>
        <w:jc w:val="both"/>
        <w:rPr>
          <w:sz w:val="22"/>
          <w:szCs w:val="22"/>
        </w:rPr>
      </w:pPr>
      <w:r>
        <w:rPr>
          <w:sz w:val="22"/>
          <w:szCs w:val="22"/>
        </w:rPr>
        <w:t>The CSA 4 assessment is an existing annual tax on agricultural parcels that requires renewal by property owners every year. In light of reductions in federal and state funds for affordable farmworker housing, the Task Force identified an increase in the CSA 4 assessment as crucial to maintaining a local funding source to house agricultural workers that are vital to Napa’s grape growing industry. The Task Force sees outreach to the winery owners as a crucial first step. With a comprehensive Action Plan in hand, the Task Force can make a compelling argument that increased funding for affordable housing, derived from multiple sources, will benefit the wine industry. The Task Force also considered the funding generated from the self-imposed $10 per plantable acre assessment on land in CSA 4 and its impact on the cost of housing for agricultural workers. While these resources are important, they do not address winery employees who are in need of low cost housing opportunities within the region, and the funds received from the CSA 4 assessment may not keep pace with the need generated by generally low wage agricultural workers in the area. However, the Task Force acknowledged that effectuating an increase to the CSA 4 assessment requires State legislation and parcel owner authorization which will not be easy to achieve. The Task Force also believes that it should be the wine industry’s responsibility to decide whether its share of affordable housing resources should come from an increase in the CSA 4 assessment or from another source of wine-related revenue.</w:t>
      </w:r>
    </w:p>
    <w:p w:rsidR="005A7890" w:rsidRDefault="005A7890" w:rsidP="005A7890"/>
    <w:p w:rsidR="005A7890" w:rsidRPr="00580747" w:rsidRDefault="005A7890" w:rsidP="005A7890">
      <w:pPr>
        <w:rPr>
          <w:b/>
          <w:sz w:val="22"/>
          <w:szCs w:val="22"/>
        </w:rPr>
      </w:pPr>
      <w:r w:rsidRPr="00580747">
        <w:rPr>
          <w:b/>
          <w:sz w:val="22"/>
          <w:szCs w:val="22"/>
        </w:rPr>
        <w:t>Action Step #3:  Work with Hospitality Industry to Develop Source of Funding for Affordable Housing and Consider Increasing Transient Occupancy Tax (TOT)</w:t>
      </w:r>
    </w:p>
    <w:p w:rsidR="005A7890" w:rsidRDefault="005A7890" w:rsidP="005A7890"/>
    <w:p w:rsidR="005A7890" w:rsidRPr="00DD668B" w:rsidRDefault="005A7890" w:rsidP="005A7890">
      <w:pPr>
        <w:spacing w:after="200" w:line="276" w:lineRule="auto"/>
        <w:jc w:val="both"/>
        <w:rPr>
          <w:sz w:val="22"/>
          <w:szCs w:val="22"/>
        </w:rPr>
      </w:pPr>
      <w:r>
        <w:rPr>
          <w:sz w:val="22"/>
          <w:szCs w:val="22"/>
        </w:rPr>
        <w:t xml:space="preserve">The TOT is a hotel, motel, or “bed” tax authorized under the State Revenue and Taxation Code and is a source of non-property tax revenue to local government. The current TOT rate in </w:t>
      </w:r>
      <w:r w:rsidRPr="009600CC">
        <w:rPr>
          <w:sz w:val="22"/>
          <w:szCs w:val="22"/>
        </w:rPr>
        <w:t>Napa County is 12%</w:t>
      </w:r>
      <w:r>
        <w:rPr>
          <w:sz w:val="22"/>
          <w:szCs w:val="22"/>
        </w:rPr>
        <w:t>,</w:t>
      </w:r>
      <w:r w:rsidRPr="009600CC">
        <w:rPr>
          <w:sz w:val="22"/>
          <w:szCs w:val="22"/>
        </w:rPr>
        <w:t xml:space="preserve"> with an additional 2%</w:t>
      </w:r>
      <w:r>
        <w:rPr>
          <w:sz w:val="22"/>
          <w:szCs w:val="22"/>
        </w:rPr>
        <w:t xml:space="preserve"> self-assessment</w:t>
      </w:r>
      <w:r w:rsidRPr="009600CC">
        <w:rPr>
          <w:sz w:val="22"/>
          <w:szCs w:val="22"/>
        </w:rPr>
        <w:t xml:space="preserve"> </w:t>
      </w:r>
      <w:r>
        <w:rPr>
          <w:sz w:val="22"/>
          <w:szCs w:val="22"/>
        </w:rPr>
        <w:t xml:space="preserve">which is </w:t>
      </w:r>
      <w:r w:rsidRPr="009600CC">
        <w:rPr>
          <w:sz w:val="22"/>
          <w:szCs w:val="22"/>
        </w:rPr>
        <w:t>applied to visitors’ gross hotel bills</w:t>
      </w:r>
      <w:r>
        <w:rPr>
          <w:sz w:val="22"/>
          <w:szCs w:val="22"/>
        </w:rPr>
        <w:t xml:space="preserve"> and generates approximately </w:t>
      </w:r>
      <w:r w:rsidRPr="009600CC">
        <w:rPr>
          <w:sz w:val="22"/>
          <w:szCs w:val="22"/>
        </w:rPr>
        <w:t>$4 million annually for destination marketing</w:t>
      </w:r>
      <w:r>
        <w:rPr>
          <w:sz w:val="22"/>
          <w:szCs w:val="22"/>
        </w:rPr>
        <w:t xml:space="preserve"> in Napa County</w:t>
      </w:r>
      <w:r w:rsidRPr="009600CC">
        <w:rPr>
          <w:sz w:val="22"/>
          <w:szCs w:val="22"/>
        </w:rPr>
        <w:t xml:space="preserve">. </w:t>
      </w:r>
      <w:r>
        <w:rPr>
          <w:sz w:val="22"/>
          <w:szCs w:val="22"/>
        </w:rPr>
        <w:t xml:space="preserve">The Task Force discussed increasing the TOT and placing these additional revenues in a countywide fund for affordable housing. By directing a portion of discretionary general fund revenue to this affordable housing fund, local government would demonstrate that new sources for affordable housing development are not reliant solely on private industry and that costs are being spread among all sectors of the local economy. An increase to the TOT would require local voter approval, while fund reallocation would require majority approval before the city councils and the County Board of Supervisors.  Ultimately the Task Force decided that rather than recommending an increase in TOT for affordable housing, subsequent </w:t>
      </w:r>
      <w:r w:rsidR="00126537">
        <w:rPr>
          <w:sz w:val="22"/>
          <w:szCs w:val="22"/>
        </w:rPr>
        <w:t xml:space="preserve">outreach </w:t>
      </w:r>
      <w:r>
        <w:rPr>
          <w:sz w:val="22"/>
          <w:szCs w:val="22"/>
        </w:rPr>
        <w:t>should be done with the hospitality industry. While increasing TOT is one option, the hospitality industry may prefer an alternative method of funding its share of the cost.</w:t>
      </w:r>
    </w:p>
    <w:p w:rsidR="005A7890" w:rsidRDefault="005A7890" w:rsidP="005A7890"/>
    <w:p w:rsidR="00126537" w:rsidRPr="00C43FAF" w:rsidRDefault="00CB322F" w:rsidP="00126537">
      <w:pPr>
        <w:pStyle w:val="TOC30"/>
      </w:pPr>
      <w:hyperlink w:anchor="Table_of_Contents" w:history="1">
        <w:bookmarkStart w:id="53" w:name="_Toc352584374"/>
        <w:bookmarkStart w:id="54" w:name="_Toc359933709"/>
        <w:r w:rsidR="00126537" w:rsidRPr="00AF0984">
          <w:rPr>
            <w:rStyle w:val="Hyperlink"/>
          </w:rPr>
          <w:t>Action Step #</w:t>
        </w:r>
        <w:r w:rsidR="00126537">
          <w:rPr>
            <w:rStyle w:val="Hyperlink"/>
          </w:rPr>
          <w:t>4</w:t>
        </w:r>
        <w:r w:rsidR="00126537" w:rsidRPr="00AF0984">
          <w:rPr>
            <w:rStyle w:val="Hyperlink"/>
          </w:rPr>
          <w:t>:</w:t>
        </w:r>
        <w:r w:rsidR="00126537" w:rsidRPr="00AF0984">
          <w:rPr>
            <w:rStyle w:val="Hyperlink"/>
          </w:rPr>
          <w:tab/>
          <w:t xml:space="preserve">Direct </w:t>
        </w:r>
        <w:r w:rsidR="00126537" w:rsidRPr="00E263D2">
          <w:rPr>
            <w:rStyle w:val="Hyperlink"/>
          </w:rPr>
          <w:t>Revenues</w:t>
        </w:r>
        <w:r w:rsidR="00126537" w:rsidRPr="00AF0984">
          <w:rPr>
            <w:rStyle w:val="Hyperlink"/>
          </w:rPr>
          <w:t xml:space="preserve"> to a Countywide Regional Pool for Affordable Housing</w:t>
        </w:r>
        <w:bookmarkEnd w:id="53"/>
        <w:bookmarkEnd w:id="54"/>
      </w:hyperlink>
    </w:p>
    <w:p w:rsidR="00126537" w:rsidRPr="00C43FAF" w:rsidRDefault="00126537" w:rsidP="00126537">
      <w:pPr>
        <w:rPr>
          <w:sz w:val="22"/>
          <w:szCs w:val="22"/>
        </w:rPr>
      </w:pPr>
    </w:p>
    <w:p w:rsidR="00126537" w:rsidRDefault="00126537" w:rsidP="00126537">
      <w:pPr>
        <w:suppressAutoHyphens/>
        <w:autoSpaceDE w:val="0"/>
        <w:autoSpaceDN w:val="0"/>
        <w:adjustRightInd w:val="0"/>
        <w:spacing w:after="200" w:line="276" w:lineRule="auto"/>
        <w:jc w:val="both"/>
        <w:textAlignment w:val="center"/>
        <w:rPr>
          <w:sz w:val="22"/>
          <w:szCs w:val="22"/>
        </w:rPr>
      </w:pPr>
      <w:r>
        <w:rPr>
          <w:sz w:val="22"/>
          <w:szCs w:val="22"/>
        </w:rPr>
        <w:t xml:space="preserve">The Task Force favors the development of a regional, countywide </w:t>
      </w:r>
      <w:r w:rsidR="00493B04">
        <w:rPr>
          <w:sz w:val="22"/>
          <w:szCs w:val="22"/>
        </w:rPr>
        <w:t>pool for</w:t>
      </w:r>
      <w:r>
        <w:rPr>
          <w:sz w:val="22"/>
          <w:szCs w:val="22"/>
        </w:rPr>
        <w:t xml:space="preserve"> the new funds generated for affordable housing to </w:t>
      </w:r>
      <w:r w:rsidRPr="009D7D3C">
        <w:rPr>
          <w:sz w:val="22"/>
          <w:szCs w:val="22"/>
        </w:rPr>
        <w:t xml:space="preserve">enable strategic leveraging of local public sources with competitive federal housing tax credits. </w:t>
      </w:r>
    </w:p>
    <w:p w:rsidR="00126537" w:rsidRPr="00126537" w:rsidRDefault="00126537" w:rsidP="00126537">
      <w:pPr>
        <w:suppressAutoHyphens/>
        <w:autoSpaceDE w:val="0"/>
        <w:autoSpaceDN w:val="0"/>
        <w:adjustRightInd w:val="0"/>
        <w:spacing w:after="200" w:line="276" w:lineRule="auto"/>
        <w:jc w:val="both"/>
        <w:textAlignment w:val="center"/>
        <w:rPr>
          <w:b/>
          <w:sz w:val="22"/>
          <w:szCs w:val="22"/>
        </w:rPr>
      </w:pPr>
      <w:r w:rsidRPr="00126537">
        <w:rPr>
          <w:rFonts w:eastAsia="Calibri"/>
          <w:b/>
          <w:bCs/>
          <w:sz w:val="22"/>
          <w:szCs w:val="22"/>
        </w:rPr>
        <w:t>Action Step #5:  Direct a Portion of Tax Increment “Boomerang Funds” to Affordable Housing Development</w:t>
      </w:r>
    </w:p>
    <w:p w:rsidR="00126537" w:rsidRDefault="00126537" w:rsidP="00126537">
      <w:pPr>
        <w:suppressAutoHyphens/>
        <w:autoSpaceDE w:val="0"/>
        <w:autoSpaceDN w:val="0"/>
        <w:adjustRightInd w:val="0"/>
        <w:spacing w:after="200" w:line="276" w:lineRule="auto"/>
        <w:jc w:val="both"/>
        <w:textAlignment w:val="center"/>
        <w:rPr>
          <w:color w:val="000000"/>
          <w:sz w:val="22"/>
          <w:szCs w:val="22"/>
        </w:rPr>
      </w:pPr>
      <w:r>
        <w:rPr>
          <w:sz w:val="22"/>
          <w:szCs w:val="22"/>
        </w:rPr>
        <w:t>The term “b</w:t>
      </w:r>
      <w:r w:rsidRPr="009D7D3C">
        <w:rPr>
          <w:sz w:val="22"/>
          <w:szCs w:val="22"/>
        </w:rPr>
        <w:t xml:space="preserve">oomerang </w:t>
      </w:r>
      <w:r>
        <w:rPr>
          <w:sz w:val="22"/>
          <w:szCs w:val="22"/>
        </w:rPr>
        <w:t>f</w:t>
      </w:r>
      <w:r w:rsidRPr="009D7D3C">
        <w:rPr>
          <w:sz w:val="22"/>
          <w:szCs w:val="22"/>
        </w:rPr>
        <w:t xml:space="preserve">unds” </w:t>
      </w:r>
      <w:r>
        <w:rPr>
          <w:sz w:val="22"/>
          <w:szCs w:val="22"/>
        </w:rPr>
        <w:t xml:space="preserve">refers to the tax increment received by local taxing agencies (the City of Napa and County of Napa) created </w:t>
      </w:r>
      <w:r w:rsidRPr="009D7D3C">
        <w:rPr>
          <w:sz w:val="22"/>
          <w:szCs w:val="22"/>
        </w:rPr>
        <w:t xml:space="preserve">from the dissolution of redevelopment agencies. </w:t>
      </w:r>
      <w:r>
        <w:rPr>
          <w:sz w:val="22"/>
          <w:szCs w:val="22"/>
        </w:rPr>
        <w:t>Previously, 20% of a redevelopment agency was required to be used for affordable housing. The Task Force recommends d</w:t>
      </w:r>
      <w:r w:rsidRPr="009D7D3C">
        <w:rPr>
          <w:color w:val="000000"/>
          <w:sz w:val="22"/>
          <w:szCs w:val="22"/>
        </w:rPr>
        <w:t>irect</w:t>
      </w:r>
      <w:r>
        <w:rPr>
          <w:color w:val="000000"/>
          <w:sz w:val="22"/>
          <w:szCs w:val="22"/>
        </w:rPr>
        <w:t>ing a portion of b</w:t>
      </w:r>
      <w:r w:rsidRPr="009D7D3C">
        <w:rPr>
          <w:color w:val="000000"/>
          <w:sz w:val="22"/>
          <w:szCs w:val="22"/>
        </w:rPr>
        <w:t xml:space="preserve">oomerang </w:t>
      </w:r>
      <w:r>
        <w:rPr>
          <w:color w:val="000000"/>
          <w:sz w:val="22"/>
          <w:szCs w:val="22"/>
        </w:rPr>
        <w:t xml:space="preserve">funds </w:t>
      </w:r>
      <w:r w:rsidRPr="009D7D3C">
        <w:rPr>
          <w:color w:val="000000"/>
          <w:sz w:val="22"/>
          <w:szCs w:val="22"/>
        </w:rPr>
        <w:t xml:space="preserve">to </w:t>
      </w:r>
      <w:r>
        <w:rPr>
          <w:color w:val="000000"/>
          <w:sz w:val="22"/>
          <w:szCs w:val="22"/>
        </w:rPr>
        <w:t>affordable housing as this will partially return local funding previously allocated to affordable housing.</w:t>
      </w:r>
    </w:p>
    <w:p w:rsidR="00126537" w:rsidRDefault="00126537" w:rsidP="00126537">
      <w:pPr>
        <w:suppressAutoHyphens/>
        <w:autoSpaceDE w:val="0"/>
        <w:autoSpaceDN w:val="0"/>
        <w:adjustRightInd w:val="0"/>
        <w:spacing w:after="200" w:line="276" w:lineRule="auto"/>
        <w:jc w:val="both"/>
        <w:textAlignment w:val="center"/>
        <w:rPr>
          <w:rFonts w:eastAsia="Calibri"/>
          <w:b/>
          <w:bCs/>
          <w:sz w:val="20"/>
          <w:szCs w:val="20"/>
        </w:rPr>
      </w:pPr>
    </w:p>
    <w:p w:rsidR="00126537" w:rsidRPr="00126537" w:rsidRDefault="00126537" w:rsidP="00126537">
      <w:pPr>
        <w:suppressAutoHyphens/>
        <w:autoSpaceDE w:val="0"/>
        <w:autoSpaceDN w:val="0"/>
        <w:adjustRightInd w:val="0"/>
        <w:spacing w:after="200" w:line="276" w:lineRule="auto"/>
        <w:jc w:val="both"/>
        <w:textAlignment w:val="center"/>
        <w:rPr>
          <w:color w:val="000000"/>
          <w:sz w:val="22"/>
          <w:szCs w:val="22"/>
        </w:rPr>
      </w:pPr>
      <w:r w:rsidRPr="00126537">
        <w:rPr>
          <w:rFonts w:eastAsia="Calibri"/>
          <w:b/>
          <w:bCs/>
          <w:sz w:val="22"/>
          <w:szCs w:val="22"/>
        </w:rPr>
        <w:t>Action Step #6:  Increase Business License Tax and Direct Funding to Affordable Housing Development</w:t>
      </w:r>
    </w:p>
    <w:p w:rsidR="00126537" w:rsidRDefault="00126537" w:rsidP="00126537">
      <w:pPr>
        <w:suppressAutoHyphens/>
        <w:autoSpaceDE w:val="0"/>
        <w:autoSpaceDN w:val="0"/>
        <w:adjustRightInd w:val="0"/>
        <w:spacing w:after="200" w:line="276" w:lineRule="auto"/>
        <w:jc w:val="both"/>
        <w:textAlignment w:val="center"/>
        <w:rPr>
          <w:color w:val="000000"/>
          <w:sz w:val="22"/>
          <w:szCs w:val="22"/>
        </w:rPr>
      </w:pPr>
    </w:p>
    <w:p w:rsidR="00126537" w:rsidRPr="009D7D3C" w:rsidRDefault="00126537" w:rsidP="00126537">
      <w:pPr>
        <w:suppressAutoHyphens/>
        <w:autoSpaceDE w:val="0"/>
        <w:autoSpaceDN w:val="0"/>
        <w:adjustRightInd w:val="0"/>
        <w:spacing w:after="200" w:line="276" w:lineRule="auto"/>
        <w:jc w:val="both"/>
        <w:textAlignment w:val="center"/>
        <w:rPr>
          <w:color w:val="000000"/>
          <w:sz w:val="22"/>
          <w:szCs w:val="22"/>
        </w:rPr>
      </w:pPr>
      <w:r>
        <w:rPr>
          <w:color w:val="000000"/>
          <w:sz w:val="22"/>
          <w:szCs w:val="22"/>
        </w:rPr>
        <w:t xml:space="preserve">The Task Force recommended </w:t>
      </w:r>
      <w:r w:rsidR="00493B04">
        <w:rPr>
          <w:color w:val="000000"/>
          <w:sz w:val="22"/>
          <w:szCs w:val="22"/>
        </w:rPr>
        <w:t>pursuing an</w:t>
      </w:r>
      <w:r>
        <w:rPr>
          <w:color w:val="000000"/>
          <w:sz w:val="22"/>
          <w:szCs w:val="22"/>
        </w:rPr>
        <w:t xml:space="preserve"> increased business license tax</w:t>
      </w:r>
      <w:r w:rsidR="00B94524">
        <w:rPr>
          <w:color w:val="000000"/>
          <w:sz w:val="22"/>
          <w:szCs w:val="22"/>
        </w:rPr>
        <w:t xml:space="preserve"> countywide to pay for the creation of affordable housing</w:t>
      </w:r>
      <w:r>
        <w:rPr>
          <w:color w:val="000000"/>
          <w:sz w:val="22"/>
          <w:szCs w:val="22"/>
        </w:rPr>
        <w:t xml:space="preserve">. </w:t>
      </w:r>
      <w:r w:rsidR="00B94524">
        <w:rPr>
          <w:color w:val="000000"/>
          <w:sz w:val="22"/>
          <w:szCs w:val="22"/>
        </w:rPr>
        <w:t xml:space="preserve"> </w:t>
      </w:r>
      <w:r>
        <w:rPr>
          <w:color w:val="000000"/>
          <w:sz w:val="22"/>
          <w:szCs w:val="22"/>
        </w:rPr>
        <w:t xml:space="preserve">This would </w:t>
      </w:r>
      <w:r w:rsidRPr="009D7D3C">
        <w:rPr>
          <w:color w:val="000000"/>
          <w:sz w:val="22"/>
          <w:szCs w:val="22"/>
        </w:rPr>
        <w:t>create a link between employers and housing</w:t>
      </w:r>
      <w:r>
        <w:rPr>
          <w:color w:val="000000"/>
          <w:sz w:val="22"/>
          <w:szCs w:val="22"/>
        </w:rPr>
        <w:t>.</w:t>
      </w:r>
      <w:r w:rsidR="009D6FB8">
        <w:rPr>
          <w:color w:val="000000"/>
          <w:sz w:val="22"/>
          <w:szCs w:val="22"/>
        </w:rPr>
        <w:t xml:space="preserve">  </w:t>
      </w:r>
      <w:r w:rsidR="00B94524">
        <w:rPr>
          <w:color w:val="000000"/>
          <w:sz w:val="22"/>
          <w:szCs w:val="22"/>
        </w:rPr>
        <w:t xml:space="preserve">Implementation of this tax would require approval of 2/3 of Napa County voters.  The amount that would be raised is unknown and would require further analysis.  </w:t>
      </w:r>
    </w:p>
    <w:p w:rsidR="00737F8F" w:rsidRPr="00C43FAF" w:rsidRDefault="00737F8F" w:rsidP="00830911">
      <w:pPr>
        <w:jc w:val="both"/>
        <w:rPr>
          <w:sz w:val="22"/>
          <w:szCs w:val="22"/>
        </w:rPr>
      </w:pPr>
    </w:p>
    <w:p w:rsidR="00DD668B" w:rsidRDefault="00DD668B" w:rsidP="00F9576E">
      <w:pPr>
        <w:pStyle w:val="TOC30"/>
      </w:pPr>
    </w:p>
    <w:p w:rsidR="005C2160" w:rsidRPr="00C43FAF" w:rsidRDefault="00CB322F" w:rsidP="00F9576E">
      <w:pPr>
        <w:pStyle w:val="TOC30"/>
      </w:pPr>
      <w:hyperlink w:anchor="Table_of_Contents" w:history="1">
        <w:bookmarkStart w:id="55" w:name="_Toc352584376"/>
        <w:bookmarkStart w:id="56" w:name="_Toc359933710"/>
        <w:r w:rsidR="00DD668B">
          <w:rPr>
            <w:rStyle w:val="Hyperlink"/>
          </w:rPr>
          <w:t>Action Step #</w:t>
        </w:r>
        <w:r w:rsidR="00B94524">
          <w:rPr>
            <w:rStyle w:val="Hyperlink"/>
          </w:rPr>
          <w:t>7</w:t>
        </w:r>
        <w:r w:rsidR="00902F41" w:rsidRPr="00AF0984">
          <w:rPr>
            <w:rStyle w:val="Hyperlink"/>
          </w:rPr>
          <w:t>:</w:t>
        </w:r>
        <w:r w:rsidR="00902F41" w:rsidRPr="00AF0984">
          <w:rPr>
            <w:rStyle w:val="Hyperlink"/>
          </w:rPr>
          <w:tab/>
        </w:r>
        <w:r w:rsidR="00CE4C62" w:rsidRPr="00AF0984">
          <w:rPr>
            <w:rStyle w:val="Hyperlink"/>
          </w:rPr>
          <w:t>Increase Real Estate Transfer Tax</w:t>
        </w:r>
        <w:bookmarkEnd w:id="55"/>
        <w:bookmarkEnd w:id="56"/>
      </w:hyperlink>
    </w:p>
    <w:p w:rsidR="005C2160" w:rsidRPr="00C43FAF" w:rsidRDefault="005C2160" w:rsidP="00830911">
      <w:pPr>
        <w:jc w:val="both"/>
        <w:rPr>
          <w:sz w:val="22"/>
          <w:szCs w:val="22"/>
        </w:rPr>
      </w:pPr>
    </w:p>
    <w:p w:rsidR="005C2160" w:rsidRPr="00591F6D" w:rsidRDefault="00D01DA6" w:rsidP="004D0B65">
      <w:pPr>
        <w:spacing w:after="200" w:line="276" w:lineRule="auto"/>
        <w:jc w:val="both"/>
        <w:rPr>
          <w:sz w:val="22"/>
          <w:szCs w:val="22"/>
        </w:rPr>
      </w:pPr>
      <w:r>
        <w:rPr>
          <w:sz w:val="22"/>
          <w:szCs w:val="22"/>
        </w:rPr>
        <w:t xml:space="preserve">The Task Force proposes a 0.25% increase to real estate transfer tax rates. </w:t>
      </w:r>
      <w:r w:rsidR="004A0BB6">
        <w:rPr>
          <w:sz w:val="22"/>
          <w:szCs w:val="22"/>
        </w:rPr>
        <w:t>Each</w:t>
      </w:r>
      <w:r>
        <w:rPr>
          <w:sz w:val="22"/>
          <w:szCs w:val="22"/>
        </w:rPr>
        <w:t xml:space="preserve"> $1 million in property sales would generate about $2,500 in funds for affordable housing. Generally, real estate transfer fees do not discourage property sales </w:t>
      </w:r>
      <w:r w:rsidR="004A0BB6">
        <w:rPr>
          <w:sz w:val="22"/>
          <w:szCs w:val="22"/>
        </w:rPr>
        <w:t xml:space="preserve">and </w:t>
      </w:r>
      <w:r>
        <w:rPr>
          <w:sz w:val="22"/>
          <w:szCs w:val="22"/>
        </w:rPr>
        <w:t xml:space="preserve">can generate significant funds for affordable housing. An increase to the real estate transfer tax requires both </w:t>
      </w:r>
      <w:r w:rsidR="005E136E">
        <w:rPr>
          <w:sz w:val="22"/>
          <w:szCs w:val="22"/>
        </w:rPr>
        <w:t>State</w:t>
      </w:r>
      <w:r>
        <w:rPr>
          <w:sz w:val="22"/>
          <w:szCs w:val="22"/>
        </w:rPr>
        <w:t xml:space="preserve"> legislative authorization and an approval </w:t>
      </w:r>
      <w:r w:rsidR="004A0BB6">
        <w:rPr>
          <w:sz w:val="22"/>
          <w:szCs w:val="22"/>
        </w:rPr>
        <w:t xml:space="preserve">from </w:t>
      </w:r>
      <w:r>
        <w:rPr>
          <w:sz w:val="22"/>
          <w:szCs w:val="22"/>
        </w:rPr>
        <w:t>2/3 of Napa County voters.</w:t>
      </w:r>
    </w:p>
    <w:p w:rsidR="00276DF6" w:rsidRPr="00D36A50" w:rsidRDefault="00276DF6" w:rsidP="00F9576E">
      <w:pPr>
        <w:pStyle w:val="TOC20"/>
        <w:rPr>
          <w:sz w:val="22"/>
          <w:szCs w:val="22"/>
        </w:rPr>
      </w:pPr>
    </w:p>
    <w:p w:rsidR="002B2962" w:rsidRPr="002D443C" w:rsidRDefault="00CB322F" w:rsidP="00F9576E">
      <w:pPr>
        <w:pStyle w:val="TOC20"/>
        <w:rPr>
          <w:sz w:val="22"/>
          <w:szCs w:val="22"/>
          <w:u w:val="single"/>
        </w:rPr>
      </w:pPr>
      <w:hyperlink w:anchor="Table_of_Contents" w:history="1">
        <w:bookmarkStart w:id="57" w:name="_Toc352584377"/>
        <w:bookmarkStart w:id="58" w:name="_Toc359933711"/>
        <w:r w:rsidR="002B2962" w:rsidRPr="00AF0984">
          <w:rPr>
            <w:rStyle w:val="Hyperlink"/>
          </w:rPr>
          <w:t>Strategy 4:  Implement Non-Monetary Production Opportunities</w:t>
        </w:r>
        <w:bookmarkEnd w:id="57"/>
        <w:bookmarkEnd w:id="58"/>
      </w:hyperlink>
    </w:p>
    <w:p w:rsidR="002B2962" w:rsidRDefault="002B2962" w:rsidP="002B2962">
      <w:pPr>
        <w:rPr>
          <w:b/>
          <w:sz w:val="22"/>
          <w:szCs w:val="22"/>
          <w:u w:val="single"/>
        </w:rPr>
      </w:pPr>
    </w:p>
    <w:p w:rsidR="002B2962" w:rsidRDefault="002B2962" w:rsidP="002B2962">
      <w:pPr>
        <w:rPr>
          <w:b/>
          <w:bCs/>
          <w:sz w:val="22"/>
          <w:szCs w:val="22"/>
        </w:rPr>
      </w:pPr>
      <w:r w:rsidRPr="007036D1">
        <w:rPr>
          <w:b/>
          <w:bCs/>
          <w:sz w:val="22"/>
          <w:szCs w:val="22"/>
        </w:rPr>
        <w:t>Why this Strategy is Important</w:t>
      </w:r>
    </w:p>
    <w:p w:rsidR="002B2962" w:rsidRPr="00C43FAF" w:rsidRDefault="002B2962" w:rsidP="002B2962">
      <w:pPr>
        <w:rPr>
          <w:sz w:val="22"/>
          <w:szCs w:val="22"/>
        </w:rPr>
      </w:pPr>
    </w:p>
    <w:p w:rsidR="002B2962" w:rsidRPr="002B44E1" w:rsidRDefault="002B2962" w:rsidP="00D1679E">
      <w:pPr>
        <w:pStyle w:val="Table"/>
        <w:spacing w:after="200" w:line="276" w:lineRule="auto"/>
        <w:jc w:val="both"/>
        <w:rPr>
          <w:bCs/>
          <w:i/>
          <w:sz w:val="22"/>
          <w:szCs w:val="22"/>
        </w:rPr>
      </w:pPr>
      <w:r w:rsidRPr="002B44E1">
        <w:rPr>
          <w:bCs/>
          <w:i/>
          <w:sz w:val="22"/>
          <w:szCs w:val="22"/>
        </w:rPr>
        <w:t xml:space="preserve">This strategy offers jurisdictions creative paths to stimulate affordable housing production that may offset reductions in direct public financing. In an era of shrinking budgets, and with the </w:t>
      </w:r>
      <w:r w:rsidR="00D36A50">
        <w:rPr>
          <w:bCs/>
          <w:i/>
          <w:sz w:val="22"/>
          <w:szCs w:val="22"/>
        </w:rPr>
        <w:t>abolishment</w:t>
      </w:r>
      <w:r w:rsidR="00D36A50" w:rsidRPr="002B44E1">
        <w:rPr>
          <w:bCs/>
          <w:i/>
          <w:sz w:val="22"/>
          <w:szCs w:val="22"/>
        </w:rPr>
        <w:t xml:space="preserve"> </w:t>
      </w:r>
      <w:r w:rsidRPr="002B44E1">
        <w:rPr>
          <w:bCs/>
          <w:i/>
          <w:sz w:val="22"/>
          <w:szCs w:val="22"/>
        </w:rPr>
        <w:t xml:space="preserve">of redevelopment, it is more important than ever for affordable housing developers and public agencies to do even more with </w:t>
      </w:r>
      <w:r w:rsidR="00126C36">
        <w:rPr>
          <w:bCs/>
          <w:i/>
          <w:sz w:val="22"/>
          <w:szCs w:val="22"/>
        </w:rPr>
        <w:t>fewer</w:t>
      </w:r>
      <w:r w:rsidR="00115011">
        <w:rPr>
          <w:bCs/>
          <w:i/>
          <w:sz w:val="22"/>
          <w:szCs w:val="22"/>
        </w:rPr>
        <w:t xml:space="preserve"> funds</w:t>
      </w:r>
      <w:r w:rsidRPr="002B44E1">
        <w:rPr>
          <w:bCs/>
          <w:i/>
          <w:sz w:val="22"/>
          <w:szCs w:val="22"/>
        </w:rPr>
        <w:t>. Public agencies</w:t>
      </w:r>
      <w:r w:rsidR="00D36A50">
        <w:rPr>
          <w:bCs/>
          <w:i/>
          <w:sz w:val="22"/>
          <w:szCs w:val="22"/>
        </w:rPr>
        <w:t>,</w:t>
      </w:r>
      <w:r w:rsidRPr="002B44E1">
        <w:rPr>
          <w:bCs/>
          <w:i/>
          <w:sz w:val="22"/>
          <w:szCs w:val="22"/>
        </w:rPr>
        <w:t xml:space="preserve"> in particular</w:t>
      </w:r>
      <w:r w:rsidR="00D36A50">
        <w:rPr>
          <w:bCs/>
          <w:i/>
          <w:sz w:val="22"/>
          <w:szCs w:val="22"/>
        </w:rPr>
        <w:t>,</w:t>
      </w:r>
      <w:r w:rsidRPr="002B44E1">
        <w:rPr>
          <w:bCs/>
          <w:i/>
          <w:sz w:val="22"/>
          <w:szCs w:val="22"/>
        </w:rPr>
        <w:t xml:space="preserve"> must use their scarce resources more effectively and implement public policies that will redirect incentives to obtain maximum benefit. The following six action steps aim to promote affordable housing production using innovative methods that wi</w:t>
      </w:r>
      <w:r w:rsidR="0003040E">
        <w:rPr>
          <w:bCs/>
          <w:i/>
          <w:sz w:val="22"/>
          <w:szCs w:val="22"/>
        </w:rPr>
        <w:t>ll not impact public budgets.</w:t>
      </w:r>
    </w:p>
    <w:p w:rsidR="00D36A50" w:rsidRDefault="00D36A50" w:rsidP="00D36A50">
      <w:pPr>
        <w:jc w:val="both"/>
        <w:rPr>
          <w:sz w:val="22"/>
          <w:szCs w:val="22"/>
        </w:rPr>
      </w:pPr>
      <w:r w:rsidRPr="00C66291">
        <w:rPr>
          <w:sz w:val="22"/>
          <w:szCs w:val="22"/>
        </w:rPr>
        <w:t xml:space="preserve">In its discussions on </w:t>
      </w:r>
      <w:r>
        <w:rPr>
          <w:sz w:val="22"/>
          <w:szCs w:val="22"/>
        </w:rPr>
        <w:t>promoting cost efficiencies</w:t>
      </w:r>
      <w:r w:rsidRPr="00C66291">
        <w:rPr>
          <w:sz w:val="22"/>
          <w:szCs w:val="22"/>
        </w:rPr>
        <w:t>, the Housing Task Force reached consensus on the following guiding principle:</w:t>
      </w:r>
    </w:p>
    <w:p w:rsidR="00D36A50" w:rsidRDefault="00D36A50" w:rsidP="00D36A50">
      <w:pPr>
        <w:jc w:val="both"/>
        <w:rPr>
          <w:sz w:val="22"/>
          <w:szCs w:val="22"/>
        </w:rPr>
      </w:pPr>
    </w:p>
    <w:p w:rsidR="002B2962" w:rsidRDefault="002B2962" w:rsidP="002B2962">
      <w:pPr>
        <w:pStyle w:val="Table"/>
        <w:spacing w:line="240" w:lineRule="auto"/>
        <w:rPr>
          <w:b/>
          <w:bCs/>
          <w:sz w:val="22"/>
          <w:szCs w:val="22"/>
          <w:u w:val="single"/>
        </w:rPr>
      </w:pPr>
    </w:p>
    <w:p w:rsidR="00D36A50" w:rsidRDefault="001A4C46" w:rsidP="002B2962">
      <w:pPr>
        <w:pStyle w:val="Table"/>
        <w:spacing w:line="240" w:lineRule="auto"/>
        <w:rPr>
          <w:b/>
          <w:bCs/>
          <w:sz w:val="22"/>
          <w:szCs w:val="22"/>
          <w:u w:val="single"/>
        </w:rPr>
      </w:pPr>
      <w:r>
        <w:rPr>
          <w:noProof/>
          <w:sz w:val="22"/>
          <w:szCs w:val="22"/>
        </w:rPr>
        <mc:AlternateContent>
          <mc:Choice Requires="wps">
            <w:drawing>
              <wp:inline distT="0" distB="0" distL="0" distR="0">
                <wp:extent cx="5943600" cy="2324100"/>
                <wp:effectExtent l="19050" t="19050" r="19050" b="19050"/>
                <wp:docPr id="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324100"/>
                        </a:xfrm>
                        <a:prstGeom prst="rect">
                          <a:avLst/>
                        </a:prstGeom>
                        <a:solidFill>
                          <a:srgbClr val="FFFFFF"/>
                        </a:solidFill>
                        <a:ln w="38100" cmpd="dbl">
                          <a:solidFill>
                            <a:schemeClr val="tx1">
                              <a:lumMod val="100000"/>
                              <a:lumOff val="0"/>
                            </a:schemeClr>
                          </a:solidFill>
                          <a:miter lim="800000"/>
                          <a:headEnd/>
                          <a:tailEnd/>
                        </a:ln>
                      </wps:spPr>
                      <wps:txbx>
                        <w:txbxContent>
                          <w:p w:rsidR="00CE2A47" w:rsidRPr="00397494" w:rsidRDefault="00CE2A47" w:rsidP="00D36A50">
                            <w:pPr>
                              <w:jc w:val="center"/>
                              <w:rPr>
                                <w:color w:val="00008C"/>
                              </w:rPr>
                            </w:pPr>
                          </w:p>
                          <w:p w:rsidR="00CE2A47" w:rsidRPr="00D36A50" w:rsidRDefault="00CE2A47" w:rsidP="00D36A50">
                            <w:pPr>
                              <w:spacing w:after="200" w:line="276" w:lineRule="auto"/>
                              <w:contextualSpacing/>
                              <w:jc w:val="center"/>
                              <w:rPr>
                                <w:b/>
                                <w:bCs/>
                                <w:i/>
                                <w:sz w:val="32"/>
                                <w:szCs w:val="32"/>
                              </w:rPr>
                            </w:pPr>
                            <w:r w:rsidRPr="00D36A50">
                              <w:rPr>
                                <w:b/>
                                <w:bCs/>
                                <w:i/>
                                <w:sz w:val="32"/>
                                <w:szCs w:val="32"/>
                              </w:rPr>
                              <w:t>Promote affordable housing production using innovative methods that will not impact public budgets.</w:t>
                            </w:r>
                          </w:p>
                          <w:p w:rsidR="00CE2A47" w:rsidRPr="00D36A50" w:rsidRDefault="00CE2A47" w:rsidP="00D36A50">
                            <w:pPr>
                              <w:spacing w:after="200" w:line="276" w:lineRule="auto"/>
                              <w:contextualSpacing/>
                              <w:jc w:val="center"/>
                              <w:rPr>
                                <w:sz w:val="22"/>
                                <w:szCs w:val="22"/>
                                <w:highlight w:val="yellow"/>
                              </w:rPr>
                            </w:pPr>
                            <w:r w:rsidRPr="00D36A50" w:rsidDel="00D36A50">
                              <w:rPr>
                                <w:b/>
                                <w:i/>
                                <w:sz w:val="32"/>
                                <w:szCs w:val="32"/>
                                <w:highlight w:val="yellow"/>
                              </w:rPr>
                              <w:t xml:space="preserve"> </w:t>
                            </w:r>
                          </w:p>
                          <w:p w:rsidR="00CE2A47" w:rsidRPr="001E4EEC" w:rsidRDefault="00CE2A47" w:rsidP="00D36A50">
                            <w:pPr>
                              <w:spacing w:after="200" w:line="276" w:lineRule="auto"/>
                              <w:contextualSpacing/>
                              <w:jc w:val="center"/>
                              <w:rPr>
                                <w:sz w:val="22"/>
                                <w:szCs w:val="22"/>
                              </w:rPr>
                            </w:pPr>
                            <w:r w:rsidRPr="001E4EEC">
                              <w:rPr>
                                <w:sz w:val="22"/>
                                <w:szCs w:val="22"/>
                              </w:rPr>
                              <w:t xml:space="preserve">Zone for affordable housing development </w:t>
                            </w:r>
                            <w:r>
                              <w:rPr>
                                <w:sz w:val="22"/>
                                <w:szCs w:val="22"/>
                              </w:rPr>
                              <w:t xml:space="preserve">at reasonable densities </w:t>
                            </w:r>
                            <w:r w:rsidRPr="001E4EEC">
                              <w:rPr>
                                <w:sz w:val="22"/>
                                <w:szCs w:val="22"/>
                              </w:rPr>
                              <w:t xml:space="preserve">by-right, where appropriate, consistent with transit oriented development (TOD) goals and reasonable access to jobs and services. Complete comprehensive environmental review anticipating future housing development to streamline future project review and minimize challenges to affordable housing </w:t>
                            </w:r>
                            <w:r>
                              <w:rPr>
                                <w:sz w:val="22"/>
                                <w:szCs w:val="22"/>
                              </w:rPr>
                              <w:t>and curb NIMBYism. Explore processes to streamline project review and greater access to alternative funding and leveraging resources to finance affordable housing development.</w:t>
                            </w:r>
                          </w:p>
                          <w:p w:rsidR="00CE2A47" w:rsidRPr="00C126B5" w:rsidRDefault="00CE2A47" w:rsidP="00D36A50">
                            <w:pPr>
                              <w:spacing w:after="200" w:line="276" w:lineRule="auto"/>
                              <w:contextualSpacing/>
                              <w:jc w:val="center"/>
                              <w:rPr>
                                <w:sz w:val="22"/>
                                <w:szCs w:val="22"/>
                              </w:rPr>
                            </w:pPr>
                            <w:r>
                              <w:rPr>
                                <w:sz w:val="22"/>
                                <w:szCs w:val="22"/>
                                <w:highlight w:val="yellow"/>
                              </w:rPr>
                              <w:t xml:space="preserve"> </w:t>
                            </w:r>
                          </w:p>
                        </w:txbxContent>
                      </wps:txbx>
                      <wps:bodyPr rot="0" vert="horz" wrap="square" lIns="91440" tIns="45720" rIns="91440" bIns="45720" anchor="t" anchorCtr="0" upright="1">
                        <a:noAutofit/>
                      </wps:bodyPr>
                    </wps:wsp>
                  </a:graphicData>
                </a:graphic>
              </wp:inline>
            </w:drawing>
          </mc:Choice>
          <mc:Fallback>
            <w:pict>
              <v:shape id="_x0000_s1034" type="#_x0000_t202" style="width:468pt;height:18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" strokecolor="black [3213]" strokeweight="3pt">
                <v:stroke linestyle="thinThin"/>
                <v:textbox>
                  <w:txbxContent>
                    <w:p w:rsidR="00CE2A47" w:rsidRPr="00397494" w:rsidRDefault="00CE2A47" w:rsidP="00D36A50">
                      <w:pPr>
                        <w:jc w:val="center"/>
                        <w:rPr>
                          <w:color w:val="00008C"/>
                        </w:rPr>
                      </w:pPr>
                    </w:p>
                    <w:p w:rsidR="00CE2A47" w:rsidRPr="00D36A50" w:rsidRDefault="00CE2A47" w:rsidP="00D36A50">
                      <w:pPr>
                        <w:spacing w:after="200" w:line="276" w:lineRule="auto"/>
                        <w:contextualSpacing/>
                        <w:jc w:val="center"/>
                        <w:rPr>
                          <w:b/>
                          <w:bCs/>
                          <w:i/>
                          <w:sz w:val="32"/>
                          <w:szCs w:val="32"/>
                        </w:rPr>
                      </w:pPr>
                      <w:r w:rsidRPr="00D36A50">
                        <w:rPr>
                          <w:b/>
                          <w:bCs/>
                          <w:i/>
                          <w:sz w:val="32"/>
                          <w:szCs w:val="32"/>
                        </w:rPr>
                        <w:t>Promote affordable housing production using innovative methods that will not impact public budgets.</w:t>
                      </w:r>
                    </w:p>
                    <w:p w:rsidR="00CE2A47" w:rsidRPr="00D36A50" w:rsidRDefault="00CE2A47" w:rsidP="00D36A50">
                      <w:pPr>
                        <w:spacing w:after="200" w:line="276" w:lineRule="auto"/>
                        <w:contextualSpacing/>
                        <w:jc w:val="center"/>
                        <w:rPr>
                          <w:sz w:val="22"/>
                          <w:szCs w:val="22"/>
                          <w:highlight w:val="yellow"/>
                        </w:rPr>
                      </w:pPr>
                      <w:r w:rsidRPr="00D36A50" w:rsidDel="00D36A50">
                        <w:rPr>
                          <w:b/>
                          <w:i/>
                          <w:sz w:val="32"/>
                          <w:szCs w:val="32"/>
                          <w:highlight w:val="yellow"/>
                        </w:rPr>
                        <w:t xml:space="preserve"> </w:t>
                      </w:r>
                    </w:p>
                    <w:p w:rsidR="00CE2A47" w:rsidRPr="001E4EEC" w:rsidRDefault="00CE2A47" w:rsidP="00D36A50">
                      <w:pPr>
                        <w:spacing w:after="200" w:line="276" w:lineRule="auto"/>
                        <w:contextualSpacing/>
                        <w:jc w:val="center"/>
                        <w:rPr>
                          <w:sz w:val="22"/>
                          <w:szCs w:val="22"/>
                        </w:rPr>
                      </w:pPr>
                      <w:r w:rsidRPr="001E4EEC">
                        <w:rPr>
                          <w:sz w:val="22"/>
                          <w:szCs w:val="22"/>
                        </w:rPr>
                        <w:t xml:space="preserve">Zone for affordable housing development </w:t>
                      </w:r>
                      <w:r>
                        <w:rPr>
                          <w:sz w:val="22"/>
                          <w:szCs w:val="22"/>
                        </w:rPr>
                        <w:t xml:space="preserve">at reasonable densities </w:t>
                      </w:r>
                      <w:r w:rsidRPr="001E4EEC">
                        <w:rPr>
                          <w:sz w:val="22"/>
                          <w:szCs w:val="22"/>
                        </w:rPr>
                        <w:t xml:space="preserve">by-right, where appropriate, consistent with transit oriented development (TOD) goals and reasonable access to jobs and services. Complete comprehensive environmental review anticipating future housing development to streamline future project review and minimize challenges to affordable housing </w:t>
                      </w:r>
                      <w:r>
                        <w:rPr>
                          <w:sz w:val="22"/>
                          <w:szCs w:val="22"/>
                        </w:rPr>
                        <w:t>and curb NIMBYism. Explore processes to streamline project review and greater access to alternative funding and leveraging resources to finance affordable housing development.</w:t>
                      </w:r>
                    </w:p>
                    <w:p w:rsidR="00CE2A47" w:rsidRPr="00C126B5" w:rsidRDefault="00CE2A47" w:rsidP="00D36A50">
                      <w:pPr>
                        <w:spacing w:after="200" w:line="276" w:lineRule="auto"/>
                        <w:contextualSpacing/>
                        <w:jc w:val="center"/>
                        <w:rPr>
                          <w:sz w:val="22"/>
                          <w:szCs w:val="22"/>
                        </w:rPr>
                      </w:pPr>
                      <w:r>
                        <w:rPr>
                          <w:sz w:val="22"/>
                          <w:szCs w:val="22"/>
                          <w:highlight w:val="yellow"/>
                        </w:rPr>
                        <w:t xml:space="preserve"> </w:t>
                      </w:r>
                    </w:p>
                  </w:txbxContent>
                </v:textbox>
                <w10:anchorlock/>
              </v:shape>
            </w:pict>
          </mc:Fallback>
        </mc:AlternateContent>
      </w:r>
    </w:p>
    <w:p w:rsidR="00D36A50" w:rsidRDefault="00D36A50" w:rsidP="002B2962">
      <w:pPr>
        <w:pStyle w:val="Table"/>
        <w:spacing w:line="240" w:lineRule="auto"/>
        <w:rPr>
          <w:b/>
          <w:bCs/>
          <w:sz w:val="22"/>
          <w:szCs w:val="22"/>
          <w:u w:val="single"/>
        </w:rPr>
      </w:pPr>
    </w:p>
    <w:p w:rsidR="00D36A50" w:rsidRDefault="00D36A50" w:rsidP="002B2962">
      <w:pPr>
        <w:pStyle w:val="Table"/>
        <w:spacing w:line="240" w:lineRule="auto"/>
        <w:rPr>
          <w:b/>
          <w:bCs/>
          <w:sz w:val="22"/>
          <w:szCs w:val="22"/>
          <w:u w:val="single"/>
        </w:rPr>
      </w:pPr>
    </w:p>
    <w:p w:rsidR="002B2962" w:rsidRPr="00C43FAF" w:rsidRDefault="00CB322F" w:rsidP="00F9576E">
      <w:pPr>
        <w:pStyle w:val="TOC30"/>
      </w:pPr>
      <w:hyperlink w:anchor="Table_of_Contents" w:history="1">
        <w:bookmarkStart w:id="59" w:name="_Toc352584378"/>
        <w:bookmarkStart w:id="60" w:name="_Toc359933712"/>
        <w:r w:rsidR="002B2962" w:rsidRPr="00AF0984">
          <w:rPr>
            <w:rStyle w:val="Hyperlink"/>
          </w:rPr>
          <w:t>Action Step #1:</w:t>
        </w:r>
        <w:r w:rsidR="002B2962" w:rsidRPr="00AF0984">
          <w:rPr>
            <w:rStyle w:val="Hyperlink"/>
          </w:rPr>
          <w:tab/>
          <w:t>Allow By-Right</w:t>
        </w:r>
        <w:r w:rsidR="00370333">
          <w:rPr>
            <w:rStyle w:val="Hyperlink"/>
          </w:rPr>
          <w:t xml:space="preserve"> </w:t>
        </w:r>
        <w:r w:rsidR="002B2962" w:rsidRPr="00AF0984">
          <w:rPr>
            <w:rStyle w:val="Hyperlink"/>
          </w:rPr>
          <w:t>Affordable Housing in Residential Zones</w:t>
        </w:r>
        <w:bookmarkEnd w:id="59"/>
        <w:bookmarkEnd w:id="60"/>
      </w:hyperlink>
    </w:p>
    <w:p w:rsidR="002B2962" w:rsidRPr="00C43FAF" w:rsidRDefault="002B2962" w:rsidP="002B2962">
      <w:pPr>
        <w:pStyle w:val="Table"/>
        <w:spacing w:line="240" w:lineRule="auto"/>
        <w:rPr>
          <w:b/>
          <w:bCs/>
          <w:sz w:val="22"/>
          <w:szCs w:val="22"/>
          <w:u w:val="single"/>
        </w:rPr>
      </w:pPr>
    </w:p>
    <w:p w:rsidR="002B2962" w:rsidRPr="00C43FAF" w:rsidRDefault="0011649E" w:rsidP="00F436FD">
      <w:pPr>
        <w:pStyle w:val="Table"/>
        <w:spacing w:after="200" w:line="276" w:lineRule="auto"/>
        <w:jc w:val="both"/>
        <w:rPr>
          <w:sz w:val="22"/>
          <w:szCs w:val="22"/>
        </w:rPr>
      </w:pPr>
      <w:r>
        <w:rPr>
          <w:bCs/>
          <w:sz w:val="22"/>
          <w:szCs w:val="22"/>
        </w:rPr>
        <w:t>The T</w:t>
      </w:r>
      <w:r w:rsidR="002B2962">
        <w:rPr>
          <w:bCs/>
          <w:sz w:val="22"/>
          <w:szCs w:val="22"/>
        </w:rPr>
        <w:t>ask Force determined that</w:t>
      </w:r>
      <w:r w:rsidR="002B2962" w:rsidRPr="00C43FAF">
        <w:rPr>
          <w:bCs/>
          <w:sz w:val="22"/>
          <w:szCs w:val="22"/>
        </w:rPr>
        <w:t xml:space="preserve"> local jurisdiction</w:t>
      </w:r>
      <w:r w:rsidR="002B2962">
        <w:rPr>
          <w:bCs/>
          <w:sz w:val="22"/>
          <w:szCs w:val="22"/>
        </w:rPr>
        <w:t>s</w:t>
      </w:r>
      <w:r w:rsidR="002B2962" w:rsidRPr="00C43FAF">
        <w:rPr>
          <w:bCs/>
          <w:sz w:val="22"/>
          <w:szCs w:val="22"/>
        </w:rPr>
        <w:t xml:space="preserve"> should i</w:t>
      </w:r>
      <w:r w:rsidR="002B2962" w:rsidRPr="00C43FAF">
        <w:rPr>
          <w:sz w:val="22"/>
          <w:szCs w:val="22"/>
        </w:rPr>
        <w:t xml:space="preserve">nitiate a zoning amendment process to allow </w:t>
      </w:r>
      <w:r w:rsidR="00EE0239">
        <w:rPr>
          <w:sz w:val="22"/>
          <w:szCs w:val="22"/>
        </w:rPr>
        <w:t xml:space="preserve">affordable </w:t>
      </w:r>
      <w:r w:rsidR="00370333">
        <w:rPr>
          <w:sz w:val="22"/>
          <w:szCs w:val="22"/>
        </w:rPr>
        <w:t>housing by-right</w:t>
      </w:r>
      <w:r w:rsidR="00ED4025">
        <w:rPr>
          <w:sz w:val="22"/>
          <w:szCs w:val="22"/>
        </w:rPr>
        <w:t>,</w:t>
      </w:r>
      <w:r w:rsidR="002B2962" w:rsidRPr="00C43FAF">
        <w:rPr>
          <w:sz w:val="22"/>
          <w:szCs w:val="22"/>
        </w:rPr>
        <w:t xml:space="preserve"> except </w:t>
      </w:r>
      <w:r w:rsidR="00ED4025">
        <w:rPr>
          <w:sz w:val="22"/>
          <w:szCs w:val="22"/>
        </w:rPr>
        <w:t xml:space="preserve">on </w:t>
      </w:r>
      <w:r w:rsidR="002B2962" w:rsidRPr="00C43FAF">
        <w:rPr>
          <w:sz w:val="22"/>
          <w:szCs w:val="22"/>
        </w:rPr>
        <w:t xml:space="preserve">agricultural </w:t>
      </w:r>
      <w:r w:rsidR="00ED4025">
        <w:rPr>
          <w:sz w:val="22"/>
          <w:szCs w:val="22"/>
        </w:rPr>
        <w:t xml:space="preserve">and open space </w:t>
      </w:r>
      <w:r w:rsidR="002B2962" w:rsidRPr="00C43FAF">
        <w:rPr>
          <w:sz w:val="22"/>
          <w:szCs w:val="22"/>
        </w:rPr>
        <w:t>land</w:t>
      </w:r>
      <w:r w:rsidR="00370333">
        <w:rPr>
          <w:sz w:val="22"/>
          <w:szCs w:val="22"/>
        </w:rPr>
        <w:t xml:space="preserve">s; </w:t>
      </w:r>
      <w:r w:rsidR="00A35DEE">
        <w:rPr>
          <w:sz w:val="22"/>
          <w:szCs w:val="22"/>
        </w:rPr>
        <w:t xml:space="preserve">there was </w:t>
      </w:r>
      <w:r w:rsidR="00370333">
        <w:rPr>
          <w:sz w:val="22"/>
          <w:szCs w:val="22"/>
        </w:rPr>
        <w:t xml:space="preserve">recognition that </w:t>
      </w:r>
      <w:r w:rsidR="002B2962" w:rsidRPr="00C43FAF">
        <w:rPr>
          <w:sz w:val="22"/>
          <w:szCs w:val="22"/>
        </w:rPr>
        <w:t xml:space="preserve">design review may still be applicable. Proactive planning measures such as designation of affordable housing </w:t>
      </w:r>
      <w:r w:rsidR="00ED4025">
        <w:rPr>
          <w:sz w:val="22"/>
          <w:szCs w:val="22"/>
        </w:rPr>
        <w:t xml:space="preserve">overlay </w:t>
      </w:r>
      <w:r w:rsidR="002B2962" w:rsidRPr="00C43FAF">
        <w:rPr>
          <w:sz w:val="22"/>
          <w:szCs w:val="22"/>
        </w:rPr>
        <w:t xml:space="preserve">zones </w:t>
      </w:r>
      <w:r w:rsidR="00D36A50">
        <w:rPr>
          <w:sz w:val="22"/>
          <w:szCs w:val="22"/>
        </w:rPr>
        <w:t xml:space="preserve">or similar measures </w:t>
      </w:r>
      <w:r w:rsidR="002B2962" w:rsidRPr="00C43FAF">
        <w:rPr>
          <w:sz w:val="22"/>
          <w:szCs w:val="22"/>
        </w:rPr>
        <w:t xml:space="preserve">will not only speed up the development timeline, but will also reduce entitlement costs and provide certainty to the development process. </w:t>
      </w:r>
      <w:r w:rsidR="00370333">
        <w:rPr>
          <w:sz w:val="22"/>
          <w:szCs w:val="22"/>
        </w:rPr>
        <w:t>I</w:t>
      </w:r>
      <w:r w:rsidR="00370333" w:rsidRPr="00C43FAF">
        <w:rPr>
          <w:sz w:val="22"/>
          <w:szCs w:val="22"/>
        </w:rPr>
        <w:t>n addition to having fewer discretionary approvals to secure</w:t>
      </w:r>
      <w:r w:rsidR="00370333">
        <w:rPr>
          <w:sz w:val="22"/>
          <w:szCs w:val="22"/>
        </w:rPr>
        <w:t>,</w:t>
      </w:r>
      <w:r w:rsidR="00370333" w:rsidRPr="00C43FAF">
        <w:rPr>
          <w:sz w:val="22"/>
          <w:szCs w:val="22"/>
        </w:rPr>
        <w:t xml:space="preserve"> </w:t>
      </w:r>
      <w:r w:rsidR="002B2962" w:rsidRPr="00C43FAF">
        <w:rPr>
          <w:sz w:val="22"/>
          <w:szCs w:val="22"/>
        </w:rPr>
        <w:t xml:space="preserve">developers </w:t>
      </w:r>
      <w:r w:rsidR="00370333">
        <w:rPr>
          <w:sz w:val="22"/>
          <w:szCs w:val="22"/>
        </w:rPr>
        <w:t xml:space="preserve">will obtain guidance on </w:t>
      </w:r>
      <w:r w:rsidR="007D59D8">
        <w:rPr>
          <w:sz w:val="22"/>
          <w:szCs w:val="22"/>
        </w:rPr>
        <w:t xml:space="preserve">selecting </w:t>
      </w:r>
      <w:r w:rsidR="002B2962" w:rsidRPr="00C43FAF">
        <w:rPr>
          <w:sz w:val="22"/>
          <w:szCs w:val="22"/>
        </w:rPr>
        <w:t>site</w:t>
      </w:r>
      <w:r w:rsidR="007D59D8">
        <w:rPr>
          <w:sz w:val="22"/>
          <w:szCs w:val="22"/>
        </w:rPr>
        <w:t>s</w:t>
      </w:r>
      <w:r w:rsidR="002B2962" w:rsidRPr="00C43FAF">
        <w:rPr>
          <w:sz w:val="22"/>
          <w:szCs w:val="22"/>
        </w:rPr>
        <w:t xml:space="preserve"> that</w:t>
      </w:r>
      <w:r w:rsidR="00370333">
        <w:rPr>
          <w:sz w:val="22"/>
          <w:szCs w:val="22"/>
        </w:rPr>
        <w:t xml:space="preserve"> will</w:t>
      </w:r>
      <w:r w:rsidR="002B2962" w:rsidRPr="00C43FAF">
        <w:rPr>
          <w:sz w:val="22"/>
          <w:szCs w:val="22"/>
        </w:rPr>
        <w:t xml:space="preserve"> meet other priorities such as access to public transit, pedestrian orientation and neighborhood amenities.</w:t>
      </w:r>
    </w:p>
    <w:p w:rsidR="002B2962" w:rsidRPr="00C43FAF" w:rsidRDefault="00916AEA" w:rsidP="00F436FD">
      <w:pPr>
        <w:pStyle w:val="Table"/>
        <w:spacing w:after="200" w:line="276" w:lineRule="auto"/>
        <w:jc w:val="both"/>
        <w:rPr>
          <w:sz w:val="22"/>
          <w:szCs w:val="22"/>
        </w:rPr>
      </w:pPr>
      <w:r>
        <w:rPr>
          <w:sz w:val="22"/>
          <w:szCs w:val="22"/>
        </w:rPr>
        <w:t>In addition</w:t>
      </w:r>
      <w:r w:rsidR="0011649E">
        <w:rPr>
          <w:sz w:val="22"/>
          <w:szCs w:val="22"/>
        </w:rPr>
        <w:t xml:space="preserve">, the </w:t>
      </w:r>
      <w:r>
        <w:rPr>
          <w:sz w:val="22"/>
          <w:szCs w:val="22"/>
        </w:rPr>
        <w:t xml:space="preserve">Housing </w:t>
      </w:r>
      <w:r w:rsidR="002B2962" w:rsidRPr="00C43FAF">
        <w:rPr>
          <w:sz w:val="22"/>
          <w:szCs w:val="22"/>
        </w:rPr>
        <w:t xml:space="preserve">Task Force recommends that </w:t>
      </w:r>
      <w:r w:rsidR="00ED4025">
        <w:rPr>
          <w:sz w:val="22"/>
          <w:szCs w:val="22"/>
        </w:rPr>
        <w:t>p</w:t>
      </w:r>
      <w:r w:rsidR="00ED4025" w:rsidRPr="00C43FAF">
        <w:rPr>
          <w:sz w:val="22"/>
          <w:szCs w:val="22"/>
        </w:rPr>
        <w:t xml:space="preserve">rogrammatic </w:t>
      </w:r>
      <w:r w:rsidR="002B2962" w:rsidRPr="00C43FAF">
        <w:rPr>
          <w:sz w:val="22"/>
          <w:szCs w:val="22"/>
        </w:rPr>
        <w:t>EIR</w:t>
      </w:r>
      <w:r w:rsidR="00ED4025">
        <w:rPr>
          <w:sz w:val="22"/>
          <w:szCs w:val="22"/>
        </w:rPr>
        <w:t>s</w:t>
      </w:r>
      <w:r w:rsidR="002B2962" w:rsidRPr="00C43FAF">
        <w:rPr>
          <w:sz w:val="22"/>
          <w:szCs w:val="22"/>
        </w:rPr>
        <w:t xml:space="preserve"> be adopted as part of the Housing Element process</w:t>
      </w:r>
      <w:r w:rsidR="00ED4025">
        <w:rPr>
          <w:sz w:val="22"/>
          <w:szCs w:val="22"/>
        </w:rPr>
        <w:t xml:space="preserve"> for Napa County agencies</w:t>
      </w:r>
      <w:r w:rsidR="002B2962" w:rsidRPr="00C43FAF">
        <w:rPr>
          <w:sz w:val="22"/>
          <w:szCs w:val="22"/>
        </w:rPr>
        <w:t xml:space="preserve"> to help reduce opportunities for legal challenges</w:t>
      </w:r>
      <w:r w:rsidR="002B2962" w:rsidRPr="00C43FAF">
        <w:rPr>
          <w:bCs/>
          <w:sz w:val="22"/>
          <w:szCs w:val="22"/>
        </w:rPr>
        <w:t xml:space="preserve">. </w:t>
      </w:r>
      <w:r w:rsidR="00CC66F9">
        <w:rPr>
          <w:sz w:val="22"/>
          <w:szCs w:val="22"/>
        </w:rPr>
        <w:t>The California Environmental Quality Act (CEQA)</w:t>
      </w:r>
      <w:r w:rsidR="00CC66F9" w:rsidRPr="00C43FAF">
        <w:rPr>
          <w:sz w:val="22"/>
          <w:szCs w:val="22"/>
        </w:rPr>
        <w:t xml:space="preserve"> </w:t>
      </w:r>
      <w:r w:rsidR="002B2962" w:rsidRPr="00C43FAF">
        <w:rPr>
          <w:sz w:val="22"/>
          <w:szCs w:val="22"/>
        </w:rPr>
        <w:t>has become a tool used by s</w:t>
      </w:r>
      <w:r w:rsidR="002B2962">
        <w:rPr>
          <w:sz w:val="22"/>
          <w:szCs w:val="22"/>
        </w:rPr>
        <w:t>low growth advocates</w:t>
      </w:r>
      <w:r w:rsidR="002B2962" w:rsidRPr="00C43FAF">
        <w:rPr>
          <w:sz w:val="22"/>
          <w:szCs w:val="22"/>
        </w:rPr>
        <w:t xml:space="preserve"> to challenge developments in court. Affordable housing in Napa County has not been immune to this phenomenon</w:t>
      </w:r>
      <w:r w:rsidR="00EE0239">
        <w:rPr>
          <w:sz w:val="22"/>
          <w:szCs w:val="22"/>
        </w:rPr>
        <w:t>,</w:t>
      </w:r>
      <w:r w:rsidR="00CC66F9">
        <w:rPr>
          <w:sz w:val="22"/>
          <w:szCs w:val="22"/>
        </w:rPr>
        <w:t xml:space="preserve"> and there has been</w:t>
      </w:r>
      <w:r w:rsidR="003B5934">
        <w:rPr>
          <w:sz w:val="22"/>
          <w:szCs w:val="22"/>
        </w:rPr>
        <w:t xml:space="preserve"> </w:t>
      </w:r>
      <w:r w:rsidR="002B2962" w:rsidRPr="00C43FAF">
        <w:rPr>
          <w:sz w:val="22"/>
          <w:szCs w:val="22"/>
        </w:rPr>
        <w:t xml:space="preserve">growing </w:t>
      </w:r>
      <w:r w:rsidR="00126C36">
        <w:rPr>
          <w:sz w:val="22"/>
          <w:szCs w:val="22"/>
        </w:rPr>
        <w:t xml:space="preserve">public pressure </w:t>
      </w:r>
      <w:r w:rsidR="00ED4025">
        <w:rPr>
          <w:sz w:val="22"/>
          <w:szCs w:val="22"/>
        </w:rPr>
        <w:t xml:space="preserve">at the </w:t>
      </w:r>
      <w:r w:rsidR="00EE0239">
        <w:rPr>
          <w:sz w:val="22"/>
          <w:szCs w:val="22"/>
        </w:rPr>
        <w:t>S</w:t>
      </w:r>
      <w:r w:rsidR="00ED4025">
        <w:rPr>
          <w:sz w:val="22"/>
          <w:szCs w:val="22"/>
        </w:rPr>
        <w:t xml:space="preserve">tate </w:t>
      </w:r>
      <w:r w:rsidR="00126C36">
        <w:rPr>
          <w:sz w:val="22"/>
          <w:szCs w:val="22"/>
        </w:rPr>
        <w:t xml:space="preserve">to reform CEQA </w:t>
      </w:r>
      <w:r w:rsidR="002B2962" w:rsidRPr="00C43FAF">
        <w:rPr>
          <w:sz w:val="22"/>
          <w:szCs w:val="22"/>
        </w:rPr>
        <w:t>to discourage frivolous challenges</w:t>
      </w:r>
      <w:r w:rsidR="009C3788" w:rsidRPr="00C43FAF">
        <w:rPr>
          <w:sz w:val="22"/>
          <w:szCs w:val="22"/>
        </w:rPr>
        <w:t>.</w:t>
      </w:r>
      <w:r w:rsidR="002B2962" w:rsidRPr="00C43FAF">
        <w:rPr>
          <w:sz w:val="22"/>
          <w:szCs w:val="22"/>
        </w:rPr>
        <w:t xml:space="preserve"> These lengthy delays </w:t>
      </w:r>
      <w:r w:rsidR="00CC66F9">
        <w:rPr>
          <w:sz w:val="22"/>
          <w:szCs w:val="22"/>
        </w:rPr>
        <w:t>attributed</w:t>
      </w:r>
      <w:r w:rsidR="00CC66F9" w:rsidRPr="00C43FAF">
        <w:rPr>
          <w:sz w:val="22"/>
          <w:szCs w:val="22"/>
        </w:rPr>
        <w:t xml:space="preserve"> </w:t>
      </w:r>
      <w:r w:rsidR="002B2962" w:rsidRPr="00C43FAF">
        <w:rPr>
          <w:sz w:val="22"/>
          <w:szCs w:val="22"/>
        </w:rPr>
        <w:t>to CEQA lawsuits increase total development costs by extending the predevelopment phase, leading to increases in predevelopment loan interest, acquisition loan interest, carrying costs, developer overhead, and construction and labor costs. Through reform, the costs associated with frivolous litigation will be greatly reduced while allowing for greater predictability in the development process. Notwithstanding these efforts b</w:t>
      </w:r>
      <w:r w:rsidR="002B2962">
        <w:rPr>
          <w:sz w:val="22"/>
          <w:szCs w:val="22"/>
        </w:rPr>
        <w:t xml:space="preserve">y the </w:t>
      </w:r>
      <w:r w:rsidR="005E136E">
        <w:rPr>
          <w:sz w:val="22"/>
          <w:szCs w:val="22"/>
        </w:rPr>
        <w:t>State</w:t>
      </w:r>
      <w:r w:rsidR="002B2962">
        <w:rPr>
          <w:sz w:val="22"/>
          <w:szCs w:val="22"/>
        </w:rPr>
        <w:t xml:space="preserve"> to reform CEQA</w:t>
      </w:r>
      <w:r w:rsidR="0011649E">
        <w:rPr>
          <w:sz w:val="22"/>
          <w:szCs w:val="22"/>
        </w:rPr>
        <w:t xml:space="preserve">, the </w:t>
      </w:r>
      <w:r w:rsidR="002B2962" w:rsidRPr="00C43FAF">
        <w:rPr>
          <w:sz w:val="22"/>
          <w:szCs w:val="22"/>
        </w:rPr>
        <w:t>Task Force recommends</w:t>
      </w:r>
      <w:r w:rsidR="002B2962">
        <w:rPr>
          <w:sz w:val="22"/>
          <w:szCs w:val="22"/>
        </w:rPr>
        <w:t xml:space="preserve"> that</w:t>
      </w:r>
      <w:r w:rsidR="002B2962" w:rsidRPr="00C43FAF">
        <w:rPr>
          <w:sz w:val="22"/>
          <w:szCs w:val="22"/>
        </w:rPr>
        <w:t xml:space="preserve"> </w:t>
      </w:r>
      <w:r w:rsidR="002B2962">
        <w:rPr>
          <w:sz w:val="22"/>
          <w:szCs w:val="22"/>
        </w:rPr>
        <w:t>programmatic EIR</w:t>
      </w:r>
      <w:r w:rsidR="00ED4025">
        <w:rPr>
          <w:sz w:val="22"/>
          <w:szCs w:val="22"/>
        </w:rPr>
        <w:t>s</w:t>
      </w:r>
      <w:r w:rsidR="002B2962">
        <w:rPr>
          <w:sz w:val="22"/>
          <w:szCs w:val="22"/>
        </w:rPr>
        <w:t xml:space="preserve"> be ushered through the local administrative level</w:t>
      </w:r>
      <w:r w:rsidR="00CC66F9">
        <w:rPr>
          <w:sz w:val="22"/>
          <w:szCs w:val="22"/>
        </w:rPr>
        <w:t>s</w:t>
      </w:r>
      <w:r w:rsidR="002B2962">
        <w:rPr>
          <w:sz w:val="22"/>
          <w:szCs w:val="22"/>
        </w:rPr>
        <w:t xml:space="preserve"> </w:t>
      </w:r>
      <w:r w:rsidR="002B2962" w:rsidRPr="00C43FAF">
        <w:rPr>
          <w:sz w:val="22"/>
          <w:szCs w:val="22"/>
        </w:rPr>
        <w:t>to mitigate t</w:t>
      </w:r>
      <w:r w:rsidR="0003040E">
        <w:rPr>
          <w:sz w:val="22"/>
          <w:szCs w:val="22"/>
        </w:rPr>
        <w:t>he effects of CEQA litigation</w:t>
      </w:r>
      <w:r w:rsidR="00EE0239">
        <w:rPr>
          <w:sz w:val="22"/>
          <w:szCs w:val="22"/>
        </w:rPr>
        <w:t xml:space="preserve"> on local affordable housing developments</w:t>
      </w:r>
      <w:r w:rsidR="0003040E">
        <w:rPr>
          <w:sz w:val="22"/>
          <w:szCs w:val="22"/>
        </w:rPr>
        <w:t>.</w:t>
      </w:r>
    </w:p>
    <w:p w:rsidR="002B2962" w:rsidRPr="00C43FAF" w:rsidRDefault="00ED4025" w:rsidP="00F436FD">
      <w:pPr>
        <w:suppressAutoHyphens/>
        <w:autoSpaceDE w:val="0"/>
        <w:autoSpaceDN w:val="0"/>
        <w:adjustRightInd w:val="0"/>
        <w:spacing w:after="200" w:line="276" w:lineRule="auto"/>
        <w:jc w:val="both"/>
        <w:textAlignment w:val="center"/>
        <w:rPr>
          <w:sz w:val="22"/>
          <w:szCs w:val="22"/>
        </w:rPr>
      </w:pPr>
      <w:r>
        <w:rPr>
          <w:sz w:val="22"/>
          <w:szCs w:val="22"/>
        </w:rPr>
        <w:t>To</w:t>
      </w:r>
      <w:r w:rsidR="002B2962" w:rsidRPr="00C43FAF">
        <w:rPr>
          <w:sz w:val="22"/>
          <w:szCs w:val="22"/>
        </w:rPr>
        <w:t xml:space="preserve"> foster greater understanding and communication</w:t>
      </w:r>
      <w:r w:rsidR="002B2962">
        <w:rPr>
          <w:sz w:val="22"/>
          <w:szCs w:val="22"/>
        </w:rPr>
        <w:t xml:space="preserve"> between public agencies and Napa residents</w:t>
      </w:r>
      <w:r w:rsidR="0011649E">
        <w:rPr>
          <w:sz w:val="22"/>
          <w:szCs w:val="22"/>
        </w:rPr>
        <w:t xml:space="preserve">, the </w:t>
      </w:r>
      <w:r w:rsidR="00C20539">
        <w:rPr>
          <w:sz w:val="22"/>
          <w:szCs w:val="22"/>
        </w:rPr>
        <w:t xml:space="preserve">Housing </w:t>
      </w:r>
      <w:r w:rsidR="002B2962" w:rsidRPr="00C43FAF">
        <w:rPr>
          <w:sz w:val="22"/>
          <w:szCs w:val="22"/>
        </w:rPr>
        <w:t xml:space="preserve">Task Force recommends that the creation of affordable housing </w:t>
      </w:r>
      <w:r>
        <w:rPr>
          <w:sz w:val="22"/>
          <w:szCs w:val="22"/>
        </w:rPr>
        <w:t xml:space="preserve">overlay </w:t>
      </w:r>
      <w:r w:rsidR="002B2962" w:rsidRPr="00C43FAF">
        <w:rPr>
          <w:sz w:val="22"/>
          <w:szCs w:val="22"/>
        </w:rPr>
        <w:t>zone</w:t>
      </w:r>
      <w:r>
        <w:rPr>
          <w:sz w:val="22"/>
          <w:szCs w:val="22"/>
        </w:rPr>
        <w:t>s</w:t>
      </w:r>
      <w:r w:rsidR="002B2962" w:rsidRPr="00C43FAF">
        <w:rPr>
          <w:sz w:val="22"/>
          <w:szCs w:val="22"/>
        </w:rPr>
        <w:t xml:space="preserve"> be accompanied by public </w:t>
      </w:r>
      <w:r w:rsidR="008501EB">
        <w:rPr>
          <w:sz w:val="22"/>
          <w:szCs w:val="22"/>
        </w:rPr>
        <w:t>materials that clarify</w:t>
      </w:r>
      <w:r w:rsidR="002B2962" w:rsidRPr="00C43FAF">
        <w:rPr>
          <w:sz w:val="22"/>
          <w:szCs w:val="22"/>
        </w:rPr>
        <w:t xml:space="preserve"> the by-right nature of future affordable housing developments. Clearly delineating where affordable housing may be built will promote better understanding of the by-right land uses in the area and catalyze development projects. This will also help to curb th</w:t>
      </w:r>
      <w:r w:rsidR="0011649E">
        <w:rPr>
          <w:sz w:val="22"/>
          <w:szCs w:val="22"/>
        </w:rPr>
        <w:t xml:space="preserve">e problem of NIMBYism. The </w:t>
      </w:r>
      <w:r w:rsidR="00C20539">
        <w:rPr>
          <w:sz w:val="22"/>
          <w:szCs w:val="22"/>
        </w:rPr>
        <w:t xml:space="preserve">Housing </w:t>
      </w:r>
      <w:r w:rsidR="002B2962" w:rsidRPr="00C43FAF">
        <w:rPr>
          <w:sz w:val="22"/>
          <w:szCs w:val="22"/>
        </w:rPr>
        <w:t xml:space="preserve">Task Force raised the issue that Napa residents are often unaware of eligible land </w:t>
      </w:r>
      <w:r w:rsidR="008501EB">
        <w:rPr>
          <w:sz w:val="22"/>
          <w:szCs w:val="22"/>
        </w:rPr>
        <w:t>that can be used for affordable housing development</w:t>
      </w:r>
      <w:r w:rsidR="002B2962" w:rsidRPr="00C43FAF">
        <w:rPr>
          <w:sz w:val="22"/>
          <w:szCs w:val="22"/>
        </w:rPr>
        <w:t xml:space="preserve"> in their community. Addressing NIMBYism at the land use stage, not the project proposal stage, will abate the need to effectively pitch affordable housing to neighborhoods.</w:t>
      </w:r>
    </w:p>
    <w:p w:rsidR="002B2962" w:rsidRPr="00C43FAF" w:rsidRDefault="00CB322F" w:rsidP="00F9576E">
      <w:pPr>
        <w:pStyle w:val="TOC30"/>
      </w:pPr>
      <w:hyperlink w:anchor="Table_of_Contents" w:history="1">
        <w:bookmarkStart w:id="61" w:name="_Toc352584379"/>
        <w:bookmarkStart w:id="62" w:name="_Toc359933713"/>
        <w:r w:rsidR="002B2962" w:rsidRPr="00AF0984">
          <w:rPr>
            <w:rStyle w:val="Hyperlink"/>
          </w:rPr>
          <w:t>Action Step #2:</w:t>
        </w:r>
        <w:r w:rsidR="002B2962" w:rsidRPr="00AF0984">
          <w:rPr>
            <w:rStyle w:val="Hyperlink"/>
          </w:rPr>
          <w:tab/>
          <w:t>Pursue Greater Density</w:t>
        </w:r>
        <w:bookmarkEnd w:id="61"/>
        <w:bookmarkEnd w:id="62"/>
      </w:hyperlink>
    </w:p>
    <w:p w:rsidR="00181F6C" w:rsidRPr="00C43FAF" w:rsidRDefault="00181F6C" w:rsidP="002B2962">
      <w:pPr>
        <w:pStyle w:val="Table"/>
        <w:spacing w:line="240" w:lineRule="auto"/>
        <w:rPr>
          <w:b/>
          <w:bCs/>
          <w:sz w:val="22"/>
          <w:szCs w:val="22"/>
        </w:rPr>
      </w:pPr>
    </w:p>
    <w:p w:rsidR="002B2962" w:rsidRPr="00C43FAF" w:rsidRDefault="002B2962" w:rsidP="00F436FD">
      <w:pPr>
        <w:pStyle w:val="Table"/>
        <w:spacing w:after="200" w:line="276" w:lineRule="auto"/>
        <w:jc w:val="both"/>
        <w:rPr>
          <w:sz w:val="22"/>
          <w:szCs w:val="22"/>
        </w:rPr>
      </w:pPr>
      <w:r w:rsidRPr="00C43FAF">
        <w:rPr>
          <w:sz w:val="22"/>
          <w:szCs w:val="22"/>
        </w:rPr>
        <w:t>Although density policy falls under this non-monetary strategy, its appeal stems from the positive impact that increased density has on development costs and total unit production. In order to reduce costs while increas</w:t>
      </w:r>
      <w:r w:rsidR="0011649E">
        <w:rPr>
          <w:sz w:val="22"/>
          <w:szCs w:val="22"/>
        </w:rPr>
        <w:t xml:space="preserve">ing housing supply, the </w:t>
      </w:r>
      <w:r w:rsidRPr="00C43FAF">
        <w:rPr>
          <w:sz w:val="22"/>
          <w:szCs w:val="22"/>
        </w:rPr>
        <w:t>Task Force recommends developing a policy targeting density at the midpoint or higher of the density range. City staff pointed out that proposed developments often do not maximize allowable densities. This leads to site plans that do not fully take advantage of the higher density zones allocated through</w:t>
      </w:r>
      <w:r w:rsidR="00CC66F9">
        <w:rPr>
          <w:sz w:val="22"/>
          <w:szCs w:val="22"/>
        </w:rPr>
        <w:t>out</w:t>
      </w:r>
      <w:r w:rsidRPr="00C43FAF">
        <w:rPr>
          <w:sz w:val="22"/>
          <w:szCs w:val="22"/>
        </w:rPr>
        <w:t xml:space="preserve"> the region. To maximize densities in</w:t>
      </w:r>
      <w:r w:rsidR="0011649E">
        <w:rPr>
          <w:sz w:val="22"/>
          <w:szCs w:val="22"/>
        </w:rPr>
        <w:t xml:space="preserve"> appropriate zones, the </w:t>
      </w:r>
      <w:r w:rsidRPr="00C43FAF">
        <w:rPr>
          <w:sz w:val="22"/>
          <w:szCs w:val="22"/>
        </w:rPr>
        <w:t xml:space="preserve">Task Force recommends adoption of a policy that requires developments to be built with density </w:t>
      </w:r>
      <w:r w:rsidR="00ED4025">
        <w:rPr>
          <w:sz w:val="22"/>
          <w:szCs w:val="22"/>
        </w:rPr>
        <w:t xml:space="preserve">range required for the property and to </w:t>
      </w:r>
      <w:r w:rsidRPr="00C43FAF">
        <w:rPr>
          <w:sz w:val="22"/>
          <w:szCs w:val="22"/>
        </w:rPr>
        <w:t xml:space="preserve">set </w:t>
      </w:r>
      <w:r w:rsidR="00ED4025">
        <w:rPr>
          <w:sz w:val="22"/>
          <w:szCs w:val="22"/>
        </w:rPr>
        <w:t>a target at</w:t>
      </w:r>
      <w:r w:rsidR="00ED4025" w:rsidRPr="00C43FAF">
        <w:rPr>
          <w:sz w:val="22"/>
          <w:szCs w:val="22"/>
        </w:rPr>
        <w:t xml:space="preserve"> </w:t>
      </w:r>
      <w:r w:rsidRPr="00C43FAF">
        <w:rPr>
          <w:sz w:val="22"/>
          <w:szCs w:val="22"/>
        </w:rPr>
        <w:t xml:space="preserve">the midpoint </w:t>
      </w:r>
      <w:r w:rsidR="00ED4025">
        <w:rPr>
          <w:sz w:val="22"/>
          <w:szCs w:val="22"/>
        </w:rPr>
        <w:t xml:space="preserve">or higher within </w:t>
      </w:r>
      <w:r w:rsidRPr="00C43FAF">
        <w:rPr>
          <w:sz w:val="22"/>
          <w:szCs w:val="22"/>
        </w:rPr>
        <w:t xml:space="preserve"> the allowable density range. For example, if a site can accommodate </w:t>
      </w:r>
      <w:r w:rsidR="00ED4025">
        <w:rPr>
          <w:sz w:val="22"/>
          <w:szCs w:val="22"/>
        </w:rPr>
        <w:t>20-40</w:t>
      </w:r>
      <w:r w:rsidR="00ED4025" w:rsidRPr="00C43FAF">
        <w:rPr>
          <w:sz w:val="22"/>
          <w:szCs w:val="22"/>
        </w:rPr>
        <w:t xml:space="preserve"> </w:t>
      </w:r>
      <w:r w:rsidRPr="00C43FAF">
        <w:rPr>
          <w:sz w:val="22"/>
          <w:szCs w:val="22"/>
        </w:rPr>
        <w:t xml:space="preserve">units, this policy would </w:t>
      </w:r>
      <w:r w:rsidR="00ED4025">
        <w:rPr>
          <w:sz w:val="22"/>
          <w:szCs w:val="22"/>
        </w:rPr>
        <w:t>target</w:t>
      </w:r>
      <w:r w:rsidR="00ED4025" w:rsidRPr="00C43FAF">
        <w:rPr>
          <w:sz w:val="22"/>
          <w:szCs w:val="22"/>
        </w:rPr>
        <w:t xml:space="preserve"> </w:t>
      </w:r>
      <w:r w:rsidRPr="00C43FAF">
        <w:rPr>
          <w:sz w:val="22"/>
          <w:szCs w:val="22"/>
        </w:rPr>
        <w:t>that the proposed housing development</w:t>
      </w:r>
      <w:r>
        <w:rPr>
          <w:sz w:val="22"/>
          <w:szCs w:val="22"/>
        </w:rPr>
        <w:t>s</w:t>
      </w:r>
      <w:r w:rsidRPr="00C43FAF">
        <w:rPr>
          <w:sz w:val="22"/>
          <w:szCs w:val="22"/>
        </w:rPr>
        <w:t xml:space="preserve"> comprise </w:t>
      </w:r>
      <w:r w:rsidR="00ED4025">
        <w:rPr>
          <w:sz w:val="22"/>
          <w:szCs w:val="22"/>
        </w:rPr>
        <w:t>30</w:t>
      </w:r>
      <w:r w:rsidR="00ED4025" w:rsidRPr="00C43FAF">
        <w:rPr>
          <w:sz w:val="22"/>
          <w:szCs w:val="22"/>
        </w:rPr>
        <w:t xml:space="preserve"> </w:t>
      </w:r>
      <w:r w:rsidRPr="00C43FAF">
        <w:rPr>
          <w:sz w:val="22"/>
          <w:szCs w:val="22"/>
        </w:rPr>
        <w:t>units</w:t>
      </w:r>
      <w:r w:rsidR="00ED4025">
        <w:rPr>
          <w:sz w:val="22"/>
          <w:szCs w:val="22"/>
        </w:rPr>
        <w:t xml:space="preserve"> and certain findings be made if the proposed housing falls below the midrange of the density</w:t>
      </w:r>
      <w:r w:rsidRPr="00C43FAF">
        <w:rPr>
          <w:sz w:val="22"/>
          <w:szCs w:val="22"/>
        </w:rPr>
        <w:t xml:space="preserve">. The upsurge in minimum density requirements will cause future developments to </w:t>
      </w:r>
      <w:r w:rsidR="00CC66F9">
        <w:rPr>
          <w:sz w:val="22"/>
          <w:szCs w:val="22"/>
        </w:rPr>
        <w:t>achieve</w:t>
      </w:r>
      <w:r w:rsidR="00CC66F9" w:rsidRPr="00C43FAF">
        <w:rPr>
          <w:sz w:val="22"/>
          <w:szCs w:val="22"/>
        </w:rPr>
        <w:t xml:space="preserve"> </w:t>
      </w:r>
      <w:r w:rsidRPr="00C43FAF">
        <w:rPr>
          <w:sz w:val="22"/>
          <w:szCs w:val="22"/>
        </w:rPr>
        <w:t>greater densities and increase total affordable housing unit production.</w:t>
      </w:r>
    </w:p>
    <w:p w:rsidR="002B2962" w:rsidRPr="00C43FAF" w:rsidRDefault="00963328" w:rsidP="00F436FD">
      <w:pPr>
        <w:pStyle w:val="Table"/>
        <w:spacing w:after="200" w:line="276" w:lineRule="auto"/>
        <w:jc w:val="both"/>
        <w:rPr>
          <w:b/>
          <w:bCs/>
          <w:sz w:val="22"/>
          <w:szCs w:val="22"/>
          <w:u w:val="single"/>
        </w:rPr>
      </w:pPr>
      <w:r>
        <w:rPr>
          <w:sz w:val="22"/>
          <w:szCs w:val="22"/>
        </w:rPr>
        <w:t>T</w:t>
      </w:r>
      <w:r w:rsidR="0011649E">
        <w:rPr>
          <w:sz w:val="22"/>
          <w:szCs w:val="22"/>
        </w:rPr>
        <w:t xml:space="preserve">he </w:t>
      </w:r>
      <w:r>
        <w:rPr>
          <w:sz w:val="22"/>
          <w:szCs w:val="22"/>
        </w:rPr>
        <w:t>Housing Task Force al</w:t>
      </w:r>
      <w:r w:rsidR="002B2962" w:rsidRPr="00C43FAF">
        <w:rPr>
          <w:sz w:val="22"/>
          <w:szCs w:val="22"/>
        </w:rPr>
        <w:t>s</w:t>
      </w:r>
      <w:r>
        <w:rPr>
          <w:sz w:val="22"/>
          <w:szCs w:val="22"/>
        </w:rPr>
        <w:t>o recommends</w:t>
      </w:r>
      <w:r w:rsidR="002B2962" w:rsidRPr="00C43FAF">
        <w:rPr>
          <w:sz w:val="22"/>
          <w:szCs w:val="22"/>
        </w:rPr>
        <w:t xml:space="preserve"> </w:t>
      </w:r>
      <w:r>
        <w:rPr>
          <w:sz w:val="22"/>
          <w:szCs w:val="22"/>
        </w:rPr>
        <w:t>identifying</w:t>
      </w:r>
      <w:r w:rsidR="002B2962" w:rsidRPr="00C43FAF">
        <w:rPr>
          <w:sz w:val="22"/>
          <w:szCs w:val="22"/>
        </w:rPr>
        <w:t xml:space="preserve"> sites that can exceed densities in an affordable housing overlay zone or similar method. For instance, one option is to allow affordable units to be developed by-right once a certain density threshold has been met. Another option is to adopt flex density in order to increase housing supply. The flex density designation would permit higher density in pre</w:t>
      </w:r>
      <w:r>
        <w:rPr>
          <w:sz w:val="22"/>
          <w:szCs w:val="22"/>
        </w:rPr>
        <w:t>-</w:t>
      </w:r>
      <w:r w:rsidR="002B2962" w:rsidRPr="00C43FAF">
        <w:rPr>
          <w:sz w:val="22"/>
          <w:szCs w:val="22"/>
        </w:rPr>
        <w:t>approved areas suitable for affordable housing development without the need to rezone or go through an entitlement process. These methods will provide further transparency for developers while streamlining and fast-tracking the development process. These methods will also promote proximity synergies by steering increased density towards transit nodes and major employment centers.</w:t>
      </w:r>
    </w:p>
    <w:p w:rsidR="005C734D" w:rsidRPr="00C43FAF" w:rsidRDefault="00CB322F" w:rsidP="005C734D">
      <w:pPr>
        <w:pStyle w:val="TOC30"/>
      </w:pPr>
      <w:hyperlink w:anchor="Table_of_Contents" w:history="1">
        <w:bookmarkStart w:id="63" w:name="_Toc352584380"/>
        <w:bookmarkStart w:id="64" w:name="_Toc359933714"/>
        <w:r w:rsidR="005C734D">
          <w:rPr>
            <w:rStyle w:val="Hyperlink"/>
          </w:rPr>
          <w:t>Action Step #3</w:t>
        </w:r>
        <w:r w:rsidR="005C734D" w:rsidRPr="00AF0984">
          <w:rPr>
            <w:rStyle w:val="Hyperlink"/>
          </w:rPr>
          <w:t>:</w:t>
        </w:r>
        <w:r w:rsidR="005C734D" w:rsidRPr="00AF0984">
          <w:rPr>
            <w:rStyle w:val="Hyperlink"/>
          </w:rPr>
          <w:tab/>
          <w:t>Prioritize Methods to Fast Track Development Processes</w:t>
        </w:r>
        <w:bookmarkEnd w:id="63"/>
        <w:bookmarkEnd w:id="64"/>
      </w:hyperlink>
    </w:p>
    <w:p w:rsidR="005C734D" w:rsidRPr="00C43FAF" w:rsidRDefault="005C734D" w:rsidP="005C734D">
      <w:pPr>
        <w:rPr>
          <w:b/>
          <w:bCs/>
          <w:sz w:val="22"/>
          <w:szCs w:val="22"/>
          <w:u w:val="single"/>
        </w:rPr>
      </w:pPr>
    </w:p>
    <w:p w:rsidR="002B2962" w:rsidRDefault="005C734D" w:rsidP="005C734D">
      <w:pPr>
        <w:spacing w:after="200" w:line="276" w:lineRule="auto"/>
        <w:contextualSpacing/>
        <w:jc w:val="both"/>
        <w:rPr>
          <w:sz w:val="22"/>
          <w:szCs w:val="22"/>
        </w:rPr>
      </w:pPr>
      <w:r w:rsidRPr="00C43FAF">
        <w:rPr>
          <w:bCs/>
          <w:sz w:val="22"/>
          <w:szCs w:val="22"/>
        </w:rPr>
        <w:t xml:space="preserve">The </w:t>
      </w:r>
      <w:r w:rsidR="000C0C59">
        <w:rPr>
          <w:bCs/>
          <w:sz w:val="22"/>
          <w:szCs w:val="22"/>
        </w:rPr>
        <w:t>C</w:t>
      </w:r>
      <w:r w:rsidRPr="00C43FAF">
        <w:rPr>
          <w:bCs/>
          <w:sz w:val="22"/>
          <w:szCs w:val="22"/>
        </w:rPr>
        <w:t xml:space="preserve">ounty has seen firsthand the </w:t>
      </w:r>
      <w:r w:rsidR="0055358F">
        <w:rPr>
          <w:bCs/>
          <w:sz w:val="22"/>
          <w:szCs w:val="22"/>
        </w:rPr>
        <w:t>delays</w:t>
      </w:r>
      <w:r w:rsidRPr="00C43FAF">
        <w:rPr>
          <w:bCs/>
          <w:sz w:val="22"/>
          <w:szCs w:val="22"/>
        </w:rPr>
        <w:t xml:space="preserve"> that can occur due to the </w:t>
      </w:r>
      <w:r w:rsidR="0055358F">
        <w:rPr>
          <w:bCs/>
          <w:sz w:val="22"/>
          <w:szCs w:val="22"/>
        </w:rPr>
        <w:t>lengthy</w:t>
      </w:r>
      <w:r w:rsidRPr="00C43FAF">
        <w:rPr>
          <w:bCs/>
          <w:sz w:val="22"/>
          <w:szCs w:val="22"/>
        </w:rPr>
        <w:t xml:space="preserve"> timelines of development processes. In order to fast track and streamline these dev</w:t>
      </w:r>
      <w:r>
        <w:rPr>
          <w:bCs/>
          <w:sz w:val="22"/>
          <w:szCs w:val="22"/>
        </w:rPr>
        <w:t xml:space="preserve">elopment processes, the </w:t>
      </w:r>
      <w:r w:rsidR="0055358F">
        <w:rPr>
          <w:bCs/>
          <w:sz w:val="22"/>
          <w:szCs w:val="22"/>
        </w:rPr>
        <w:t xml:space="preserve">Housing </w:t>
      </w:r>
      <w:r w:rsidRPr="00C43FAF">
        <w:rPr>
          <w:bCs/>
          <w:sz w:val="22"/>
          <w:szCs w:val="22"/>
        </w:rPr>
        <w:t>Task Force recommends r</w:t>
      </w:r>
      <w:r w:rsidRPr="00C43FAF">
        <w:rPr>
          <w:sz w:val="22"/>
          <w:szCs w:val="22"/>
        </w:rPr>
        <w:t>eview</w:t>
      </w:r>
      <w:r w:rsidR="0055358F">
        <w:rPr>
          <w:sz w:val="22"/>
          <w:szCs w:val="22"/>
        </w:rPr>
        <w:t>ing</w:t>
      </w:r>
      <w:r w:rsidRPr="00C43FAF">
        <w:rPr>
          <w:sz w:val="22"/>
          <w:szCs w:val="22"/>
        </w:rPr>
        <w:t xml:space="preserve"> the timelines for all development processes, including permitting and inspections. This would include conducting focus groups with developers, architects, and contractors to obtain feedback on </w:t>
      </w:r>
      <w:r w:rsidR="0055358F">
        <w:rPr>
          <w:sz w:val="22"/>
          <w:szCs w:val="22"/>
        </w:rPr>
        <w:t>critical path tasks that could be shortened</w:t>
      </w:r>
      <w:r w:rsidRPr="00C43FAF">
        <w:rPr>
          <w:sz w:val="22"/>
          <w:szCs w:val="22"/>
        </w:rPr>
        <w:t xml:space="preserve">. </w:t>
      </w:r>
      <w:r w:rsidR="00F056E0">
        <w:rPr>
          <w:sz w:val="22"/>
          <w:szCs w:val="22"/>
        </w:rPr>
        <w:t>T</w:t>
      </w:r>
      <w:r w:rsidRPr="00C43FAF">
        <w:rPr>
          <w:sz w:val="22"/>
          <w:szCs w:val="22"/>
        </w:rPr>
        <w:t xml:space="preserve">he local jurisdiction can </w:t>
      </w:r>
      <w:r w:rsidR="00F056E0">
        <w:rPr>
          <w:sz w:val="22"/>
          <w:szCs w:val="22"/>
        </w:rPr>
        <w:t xml:space="preserve">then </w:t>
      </w:r>
      <w:r w:rsidRPr="00C43FAF">
        <w:rPr>
          <w:sz w:val="22"/>
          <w:szCs w:val="22"/>
        </w:rPr>
        <w:t xml:space="preserve">use the findings to begin to implement measures that will streamline the development process. </w:t>
      </w:r>
      <w:r w:rsidR="00F056E0">
        <w:rPr>
          <w:sz w:val="22"/>
          <w:szCs w:val="22"/>
        </w:rPr>
        <w:t>Some examples include</w:t>
      </w:r>
      <w:r w:rsidRPr="00C43FAF">
        <w:rPr>
          <w:sz w:val="22"/>
          <w:szCs w:val="22"/>
        </w:rPr>
        <w:t xml:space="preserve"> establish</w:t>
      </w:r>
      <w:r w:rsidR="00F056E0">
        <w:rPr>
          <w:sz w:val="22"/>
          <w:szCs w:val="22"/>
        </w:rPr>
        <w:t>ing</w:t>
      </w:r>
      <w:r w:rsidRPr="00C43FAF">
        <w:rPr>
          <w:sz w:val="22"/>
          <w:szCs w:val="22"/>
        </w:rPr>
        <w:t xml:space="preserve"> flex zoning in areas designated appropriate for affordable housing development</w:t>
      </w:r>
      <w:r w:rsidR="00703DAC">
        <w:rPr>
          <w:sz w:val="22"/>
          <w:szCs w:val="22"/>
        </w:rPr>
        <w:t>,</w:t>
      </w:r>
      <w:r w:rsidR="00F056E0">
        <w:rPr>
          <w:sz w:val="22"/>
          <w:szCs w:val="22"/>
        </w:rPr>
        <w:t xml:space="preserve"> </w:t>
      </w:r>
      <w:r w:rsidR="00650127">
        <w:rPr>
          <w:sz w:val="22"/>
          <w:szCs w:val="22"/>
        </w:rPr>
        <w:t xml:space="preserve">lessening </w:t>
      </w:r>
      <w:r w:rsidRPr="00C43FAF">
        <w:rPr>
          <w:sz w:val="22"/>
          <w:szCs w:val="22"/>
        </w:rPr>
        <w:t>parking requirements in these designated zones</w:t>
      </w:r>
      <w:r w:rsidR="00F056E0">
        <w:rPr>
          <w:sz w:val="22"/>
          <w:szCs w:val="22"/>
        </w:rPr>
        <w:t xml:space="preserve"> </w:t>
      </w:r>
      <w:r w:rsidR="00650127">
        <w:rPr>
          <w:sz w:val="22"/>
          <w:szCs w:val="22"/>
        </w:rPr>
        <w:t xml:space="preserve">and creating </w:t>
      </w:r>
      <w:r w:rsidRPr="00C43FAF">
        <w:rPr>
          <w:sz w:val="22"/>
          <w:szCs w:val="22"/>
        </w:rPr>
        <w:t xml:space="preserve">more flexible development standards in order to fast track and streamline the process. For </w:t>
      </w:r>
      <w:r w:rsidR="00650127">
        <w:rPr>
          <w:sz w:val="22"/>
          <w:szCs w:val="22"/>
        </w:rPr>
        <w:t>example</w:t>
      </w:r>
      <w:r w:rsidRPr="00C43FAF">
        <w:rPr>
          <w:sz w:val="22"/>
          <w:szCs w:val="22"/>
        </w:rPr>
        <w:t>, the jurisdiction can choose to alter the requirements of standards such as minimum lot size, setbacks, open space requirements</w:t>
      </w:r>
      <w:r w:rsidR="00650127">
        <w:rPr>
          <w:sz w:val="22"/>
          <w:szCs w:val="22"/>
        </w:rPr>
        <w:t>, on- and off-site improvements</w:t>
      </w:r>
      <w:r w:rsidRPr="00C43FAF">
        <w:rPr>
          <w:sz w:val="22"/>
          <w:szCs w:val="22"/>
        </w:rPr>
        <w:t xml:space="preserve"> </w:t>
      </w:r>
      <w:r w:rsidR="00650127">
        <w:rPr>
          <w:sz w:val="22"/>
          <w:szCs w:val="22"/>
        </w:rPr>
        <w:t>and size of new affordable units</w:t>
      </w:r>
      <w:r w:rsidRPr="00C43FAF">
        <w:rPr>
          <w:sz w:val="22"/>
          <w:szCs w:val="22"/>
        </w:rPr>
        <w:t xml:space="preserve">. These standards </w:t>
      </w:r>
      <w:r w:rsidR="00703DAC">
        <w:rPr>
          <w:sz w:val="22"/>
          <w:szCs w:val="22"/>
        </w:rPr>
        <w:t>would be selected</w:t>
      </w:r>
      <w:r w:rsidRPr="00C43FAF">
        <w:rPr>
          <w:sz w:val="22"/>
          <w:szCs w:val="22"/>
        </w:rPr>
        <w:t xml:space="preserve"> based on the feedback obtained from the review of timelines and from the focus groups with developers in order to prioritize reducing the requirements that most hinder the development process.</w:t>
      </w:r>
    </w:p>
    <w:p w:rsidR="0024556E" w:rsidRDefault="0024556E" w:rsidP="005C734D">
      <w:pPr>
        <w:pStyle w:val="TOC30"/>
      </w:pPr>
    </w:p>
    <w:p w:rsidR="005C734D" w:rsidRPr="00C43FAF" w:rsidRDefault="00CB322F" w:rsidP="005C734D">
      <w:pPr>
        <w:pStyle w:val="TOC30"/>
      </w:pPr>
      <w:hyperlink w:anchor="Table_of_Contents" w:history="1">
        <w:bookmarkStart w:id="65" w:name="_Toc352584381"/>
        <w:bookmarkStart w:id="66" w:name="_Toc359933715"/>
        <w:r w:rsidR="005C734D">
          <w:rPr>
            <w:rStyle w:val="Hyperlink"/>
          </w:rPr>
          <w:t>Action Step #4</w:t>
        </w:r>
        <w:r w:rsidR="005C734D" w:rsidRPr="00AF0984">
          <w:rPr>
            <w:rStyle w:val="Hyperlink"/>
          </w:rPr>
          <w:t>:</w:t>
        </w:r>
        <w:r w:rsidR="005C734D" w:rsidRPr="00AF0984">
          <w:rPr>
            <w:rStyle w:val="Hyperlink"/>
          </w:rPr>
          <w:tab/>
          <w:t>Hold Article 34 Election</w:t>
        </w:r>
        <w:bookmarkEnd w:id="65"/>
        <w:bookmarkEnd w:id="66"/>
      </w:hyperlink>
    </w:p>
    <w:p w:rsidR="005C734D" w:rsidRPr="00C43FAF" w:rsidRDefault="005C734D" w:rsidP="005C734D">
      <w:pPr>
        <w:rPr>
          <w:bCs/>
          <w:sz w:val="22"/>
          <w:szCs w:val="22"/>
        </w:rPr>
      </w:pPr>
    </w:p>
    <w:p w:rsidR="005C734D" w:rsidRDefault="005C734D" w:rsidP="005C734D">
      <w:pPr>
        <w:spacing w:after="200" w:line="276" w:lineRule="auto"/>
        <w:contextualSpacing/>
        <w:jc w:val="both"/>
        <w:rPr>
          <w:bCs/>
          <w:sz w:val="22"/>
          <w:szCs w:val="22"/>
        </w:rPr>
      </w:pPr>
      <w:r w:rsidRPr="00C43FAF">
        <w:rPr>
          <w:bCs/>
          <w:sz w:val="22"/>
          <w:szCs w:val="22"/>
        </w:rPr>
        <w:t xml:space="preserve">The </w:t>
      </w:r>
      <w:r w:rsidR="000C0C59">
        <w:rPr>
          <w:bCs/>
          <w:sz w:val="22"/>
          <w:szCs w:val="22"/>
        </w:rPr>
        <w:t>fourth</w:t>
      </w:r>
      <w:r w:rsidRPr="00C43FAF">
        <w:rPr>
          <w:bCs/>
          <w:sz w:val="22"/>
          <w:szCs w:val="22"/>
        </w:rPr>
        <w:t xml:space="preserve"> nonmonetary action </w:t>
      </w:r>
      <w:r>
        <w:rPr>
          <w:bCs/>
          <w:sz w:val="22"/>
          <w:szCs w:val="22"/>
        </w:rPr>
        <w:t xml:space="preserve">step recommended by the </w:t>
      </w:r>
      <w:r w:rsidRPr="00C43FAF">
        <w:rPr>
          <w:bCs/>
          <w:sz w:val="22"/>
          <w:szCs w:val="22"/>
        </w:rPr>
        <w:t>Task Force is to initiate a countywide vote on Article 34 authorization in order to regulate 100% of affordable housing units</w:t>
      </w:r>
      <w:r>
        <w:rPr>
          <w:bCs/>
          <w:sz w:val="22"/>
          <w:szCs w:val="22"/>
        </w:rPr>
        <w:t xml:space="preserve"> (see definition of Article 34 in Section 1, Working Groups)</w:t>
      </w:r>
      <w:r w:rsidRPr="00C43FAF">
        <w:rPr>
          <w:rFonts w:ascii="Times" w:hAnsi="Times" w:cs="Times"/>
          <w:color w:val="000000"/>
          <w:sz w:val="22"/>
          <w:szCs w:val="22"/>
        </w:rPr>
        <w:t>.</w:t>
      </w:r>
      <w:r w:rsidRPr="00C43FAF">
        <w:rPr>
          <w:bCs/>
          <w:sz w:val="22"/>
          <w:szCs w:val="22"/>
        </w:rPr>
        <w:t xml:space="preserve"> Because public agencies are often reluctant to undertake the delay, uncertainty and potential additional expense o</w:t>
      </w:r>
      <w:r>
        <w:rPr>
          <w:bCs/>
          <w:sz w:val="22"/>
          <w:szCs w:val="22"/>
        </w:rPr>
        <w:t xml:space="preserve">f a local election, the </w:t>
      </w:r>
      <w:r w:rsidR="002D6BB0">
        <w:rPr>
          <w:bCs/>
          <w:sz w:val="22"/>
          <w:szCs w:val="22"/>
        </w:rPr>
        <w:t xml:space="preserve">Housing </w:t>
      </w:r>
      <w:r w:rsidRPr="00C43FAF">
        <w:rPr>
          <w:bCs/>
          <w:sz w:val="22"/>
          <w:szCs w:val="22"/>
        </w:rPr>
        <w:t xml:space="preserve">Task Force recommends that </w:t>
      </w:r>
      <w:r>
        <w:rPr>
          <w:bCs/>
          <w:sz w:val="22"/>
          <w:szCs w:val="22"/>
        </w:rPr>
        <w:t xml:space="preserve">Napa County utilize a strategy </w:t>
      </w:r>
      <w:r w:rsidR="002D6BB0">
        <w:rPr>
          <w:bCs/>
          <w:sz w:val="22"/>
          <w:szCs w:val="22"/>
        </w:rPr>
        <w:t xml:space="preserve">similar to the one </w:t>
      </w:r>
      <w:r>
        <w:rPr>
          <w:bCs/>
          <w:sz w:val="22"/>
          <w:szCs w:val="22"/>
        </w:rPr>
        <w:t xml:space="preserve">undertaken by Sonoma County. </w:t>
      </w:r>
    </w:p>
    <w:p w:rsidR="005C734D" w:rsidRPr="005C734D" w:rsidRDefault="005C734D" w:rsidP="005C734D">
      <w:pPr>
        <w:spacing w:after="200" w:line="276" w:lineRule="auto"/>
        <w:contextualSpacing/>
        <w:jc w:val="both"/>
        <w:rPr>
          <w:bCs/>
          <w:sz w:val="22"/>
          <w:szCs w:val="22"/>
        </w:rPr>
      </w:pPr>
      <w:r>
        <w:rPr>
          <w:bCs/>
          <w:sz w:val="22"/>
          <w:szCs w:val="22"/>
        </w:rPr>
        <w:br/>
        <w:t xml:space="preserve">For the 2004 election, Sonoma County added Measure N to the ballot which was approved by 51.7% of the vote. </w:t>
      </w:r>
      <w:r w:rsidR="002D6BB0">
        <w:rPr>
          <w:bCs/>
          <w:sz w:val="22"/>
          <w:szCs w:val="22"/>
        </w:rPr>
        <w:t xml:space="preserve">This </w:t>
      </w:r>
      <w:r>
        <w:rPr>
          <w:bCs/>
          <w:sz w:val="22"/>
          <w:szCs w:val="22"/>
        </w:rPr>
        <w:t xml:space="preserve">Article 34 measure authorized affordable housing development up to 0.5% of total housing units existing in the unincorporated area of the county </w:t>
      </w:r>
      <w:r w:rsidR="000C0C59">
        <w:rPr>
          <w:bCs/>
          <w:sz w:val="22"/>
          <w:szCs w:val="22"/>
        </w:rPr>
        <w:t>each</w:t>
      </w:r>
      <w:r>
        <w:rPr>
          <w:bCs/>
          <w:sz w:val="22"/>
          <w:szCs w:val="22"/>
        </w:rPr>
        <w:t xml:space="preserve"> year</w:t>
      </w:r>
      <w:r w:rsidRPr="0099428A">
        <w:rPr>
          <w:sz w:val="20"/>
          <w:vertAlign w:val="superscript"/>
        </w:rPr>
        <w:footnoteReference w:id="5"/>
      </w:r>
      <w:r>
        <w:rPr>
          <w:bCs/>
          <w:sz w:val="22"/>
          <w:szCs w:val="22"/>
        </w:rPr>
        <w:t xml:space="preserve">. The measure required that projects authorized must be consistent with the Sonoma County General Plan and zoning ordinance, and </w:t>
      </w:r>
      <w:r w:rsidR="002D6BB0">
        <w:rPr>
          <w:bCs/>
          <w:sz w:val="22"/>
          <w:szCs w:val="22"/>
        </w:rPr>
        <w:t>could not</w:t>
      </w:r>
      <w:r>
        <w:rPr>
          <w:bCs/>
          <w:sz w:val="22"/>
          <w:szCs w:val="22"/>
        </w:rPr>
        <w:t xml:space="preserve"> result in an increase in local taxes. Projects would also remain subject to Sonoma County’s usual planning, environmental review, zoning, and building requirements. The Task Force recommends a similar approach for Napa County t</w:t>
      </w:r>
      <w:r w:rsidRPr="00C43FAF">
        <w:rPr>
          <w:bCs/>
          <w:sz w:val="22"/>
          <w:szCs w:val="22"/>
        </w:rPr>
        <w:t>o obtain voter approval in favor of countywide all-encompassing affordable housing</w:t>
      </w:r>
      <w:r>
        <w:rPr>
          <w:bCs/>
          <w:sz w:val="22"/>
          <w:szCs w:val="22"/>
        </w:rPr>
        <w:t xml:space="preserve"> development. </w:t>
      </w:r>
      <w:r w:rsidRPr="00C43FAF">
        <w:rPr>
          <w:bCs/>
          <w:sz w:val="22"/>
          <w:szCs w:val="22"/>
        </w:rPr>
        <w:t>Thus future projects can plan for development without the required Article 34 election</w:t>
      </w:r>
      <w:r>
        <w:rPr>
          <w:bCs/>
          <w:sz w:val="22"/>
          <w:szCs w:val="22"/>
        </w:rPr>
        <w:t xml:space="preserve"> for each individual project</w:t>
      </w:r>
      <w:r w:rsidRPr="00C43FAF">
        <w:rPr>
          <w:bCs/>
          <w:sz w:val="22"/>
          <w:szCs w:val="22"/>
        </w:rPr>
        <w:t xml:space="preserve">. </w:t>
      </w:r>
      <w:r w:rsidRPr="00C43FAF">
        <w:rPr>
          <w:color w:val="000000"/>
          <w:sz w:val="22"/>
          <w:szCs w:val="22"/>
        </w:rPr>
        <w:t xml:space="preserve">This strategy would fast track the development process while allowing developers to apply for federal and state funds for 100% of affordable units, thereby maximizing funding from non-local sources and improving project feasibility. </w:t>
      </w:r>
    </w:p>
    <w:p w:rsidR="002B2962" w:rsidRPr="00C43FAF" w:rsidRDefault="00CB322F" w:rsidP="00F9576E">
      <w:pPr>
        <w:pStyle w:val="TOC30"/>
      </w:pPr>
      <w:hyperlink w:anchor="Table_of_Contents" w:history="1">
        <w:bookmarkStart w:id="67" w:name="_Toc352584382"/>
        <w:bookmarkStart w:id="68" w:name="_Toc359933716"/>
        <w:r w:rsidR="005C734D">
          <w:rPr>
            <w:rStyle w:val="Hyperlink"/>
          </w:rPr>
          <w:t>Action Step #5</w:t>
        </w:r>
        <w:r w:rsidR="002B2962" w:rsidRPr="00AF0984">
          <w:rPr>
            <w:rStyle w:val="Hyperlink"/>
          </w:rPr>
          <w:t>:</w:t>
        </w:r>
        <w:r w:rsidR="002B2962" w:rsidRPr="00AF0984">
          <w:rPr>
            <w:rStyle w:val="Hyperlink"/>
          </w:rPr>
          <w:tab/>
          <w:t>Promote Employee Housing</w:t>
        </w:r>
        <w:bookmarkEnd w:id="67"/>
        <w:bookmarkEnd w:id="68"/>
      </w:hyperlink>
    </w:p>
    <w:p w:rsidR="002B2962" w:rsidRPr="00C43FAF" w:rsidRDefault="002B2962" w:rsidP="002B2962">
      <w:pPr>
        <w:rPr>
          <w:b/>
          <w:bCs/>
          <w:sz w:val="22"/>
          <w:szCs w:val="22"/>
        </w:rPr>
      </w:pPr>
    </w:p>
    <w:p w:rsidR="00ED4025" w:rsidRDefault="000A6026" w:rsidP="00F436FD">
      <w:pPr>
        <w:spacing w:after="200" w:line="276" w:lineRule="auto"/>
        <w:contextualSpacing/>
        <w:jc w:val="both"/>
        <w:rPr>
          <w:sz w:val="22"/>
          <w:szCs w:val="22"/>
        </w:rPr>
      </w:pPr>
      <w:r>
        <w:rPr>
          <w:bCs/>
          <w:sz w:val="22"/>
          <w:szCs w:val="22"/>
        </w:rPr>
        <w:t>The Housing Task Force recommends</w:t>
      </w:r>
      <w:r w:rsidR="002B2962" w:rsidRPr="00C43FAF">
        <w:rPr>
          <w:bCs/>
          <w:sz w:val="22"/>
          <w:szCs w:val="22"/>
        </w:rPr>
        <w:t xml:space="preserve"> that affordable housing be steered towards </w:t>
      </w:r>
      <w:r w:rsidR="00ED4025">
        <w:rPr>
          <w:bCs/>
          <w:sz w:val="22"/>
          <w:szCs w:val="22"/>
        </w:rPr>
        <w:t xml:space="preserve">Priority Development Areas (PDA’s) such as </w:t>
      </w:r>
      <w:r w:rsidR="002B2962" w:rsidRPr="00C43FAF">
        <w:rPr>
          <w:bCs/>
          <w:sz w:val="22"/>
          <w:szCs w:val="22"/>
        </w:rPr>
        <w:t>transit nodes and major employmen</w:t>
      </w:r>
      <w:r w:rsidR="0055358F">
        <w:rPr>
          <w:bCs/>
          <w:sz w:val="22"/>
          <w:szCs w:val="22"/>
        </w:rPr>
        <w:t>t centers; this creates</w:t>
      </w:r>
      <w:r w:rsidR="002B2962" w:rsidRPr="00C43FAF">
        <w:rPr>
          <w:bCs/>
          <w:sz w:val="22"/>
          <w:szCs w:val="22"/>
        </w:rPr>
        <w:t xml:space="preserve"> an opportunity to promote employee housing in tandem with these efforts. In order to tie workforce housing to place of employment, the local jurisdiction can </w:t>
      </w:r>
      <w:r w:rsidR="002B2962" w:rsidRPr="00C43FAF">
        <w:rPr>
          <w:color w:val="000000"/>
          <w:sz w:val="22"/>
          <w:szCs w:val="22"/>
        </w:rPr>
        <w:t xml:space="preserve">generate </w:t>
      </w:r>
      <w:r w:rsidR="002B2962" w:rsidRPr="00C43FAF">
        <w:rPr>
          <w:sz w:val="22"/>
          <w:szCs w:val="22"/>
        </w:rPr>
        <w:t>a policy whereby new or expanding employers must plan for employee housing</w:t>
      </w:r>
      <w:r w:rsidR="00525D5B">
        <w:rPr>
          <w:sz w:val="22"/>
          <w:szCs w:val="22"/>
        </w:rPr>
        <w:t xml:space="preserve"> in close proximity to the major employer</w:t>
      </w:r>
      <w:r w:rsidR="002B2962" w:rsidRPr="00C43FAF">
        <w:rPr>
          <w:sz w:val="22"/>
          <w:szCs w:val="22"/>
        </w:rPr>
        <w:t xml:space="preserve">. </w:t>
      </w:r>
    </w:p>
    <w:p w:rsidR="00ED4025" w:rsidRDefault="00ED4025" w:rsidP="00F436FD">
      <w:pPr>
        <w:spacing w:after="200" w:line="276" w:lineRule="auto"/>
        <w:contextualSpacing/>
        <w:jc w:val="both"/>
        <w:rPr>
          <w:sz w:val="22"/>
          <w:szCs w:val="22"/>
        </w:rPr>
      </w:pPr>
    </w:p>
    <w:p w:rsidR="00542548" w:rsidRDefault="002B2962" w:rsidP="00F436FD">
      <w:pPr>
        <w:spacing w:after="200" w:line="276" w:lineRule="auto"/>
        <w:contextualSpacing/>
        <w:jc w:val="both"/>
        <w:rPr>
          <w:sz w:val="22"/>
          <w:szCs w:val="22"/>
        </w:rPr>
      </w:pPr>
      <w:r w:rsidRPr="00C43FAF">
        <w:rPr>
          <w:sz w:val="22"/>
          <w:szCs w:val="22"/>
        </w:rPr>
        <w:t>There are several ways by which to gain a good understanding of the area’s major employers and the needs of t</w:t>
      </w:r>
      <w:r w:rsidR="0011649E">
        <w:rPr>
          <w:sz w:val="22"/>
          <w:szCs w:val="22"/>
        </w:rPr>
        <w:t xml:space="preserve">heir employee base. The </w:t>
      </w:r>
      <w:r w:rsidRPr="00C43FAF">
        <w:rPr>
          <w:sz w:val="22"/>
          <w:szCs w:val="22"/>
        </w:rPr>
        <w:t xml:space="preserve">Task Force recommends local jurisdictions </w:t>
      </w:r>
      <w:r w:rsidRPr="00C43FAF">
        <w:rPr>
          <w:bCs/>
          <w:color w:val="000000"/>
          <w:sz w:val="22"/>
          <w:szCs w:val="22"/>
        </w:rPr>
        <w:t xml:space="preserve">reach out to existing major employers in order to identify these needs. One method is to </w:t>
      </w:r>
      <w:r w:rsidRPr="00C43FAF">
        <w:rPr>
          <w:sz w:val="22"/>
          <w:szCs w:val="22"/>
        </w:rPr>
        <w:t xml:space="preserve">survey large employers to determine characteristics such as employee income levels, current residences, </w:t>
      </w:r>
      <w:r>
        <w:rPr>
          <w:sz w:val="22"/>
          <w:szCs w:val="22"/>
        </w:rPr>
        <w:t xml:space="preserve">and </w:t>
      </w:r>
      <w:r w:rsidRPr="00C43FAF">
        <w:rPr>
          <w:sz w:val="22"/>
          <w:szCs w:val="22"/>
        </w:rPr>
        <w:t>desires to l</w:t>
      </w:r>
      <w:r>
        <w:rPr>
          <w:sz w:val="22"/>
          <w:szCs w:val="22"/>
        </w:rPr>
        <w:t>ive in Napa County</w:t>
      </w:r>
      <w:r w:rsidRPr="00C43FAF">
        <w:rPr>
          <w:sz w:val="22"/>
          <w:szCs w:val="22"/>
        </w:rPr>
        <w:t xml:space="preserve">. </w:t>
      </w:r>
    </w:p>
    <w:p w:rsidR="00DB030C" w:rsidRDefault="00DB030C" w:rsidP="00F436FD">
      <w:pPr>
        <w:spacing w:after="200" w:line="276" w:lineRule="auto"/>
        <w:contextualSpacing/>
        <w:jc w:val="both"/>
        <w:rPr>
          <w:sz w:val="22"/>
          <w:szCs w:val="22"/>
        </w:rPr>
      </w:pPr>
    </w:p>
    <w:p w:rsidR="002B2962" w:rsidRPr="00ED4025" w:rsidRDefault="002B2962" w:rsidP="00F436FD">
      <w:pPr>
        <w:spacing w:after="200" w:line="276" w:lineRule="auto"/>
        <w:contextualSpacing/>
        <w:jc w:val="both"/>
        <w:rPr>
          <w:sz w:val="22"/>
          <w:szCs w:val="22"/>
        </w:rPr>
      </w:pPr>
      <w:r w:rsidRPr="00C43FAF">
        <w:rPr>
          <w:sz w:val="22"/>
          <w:szCs w:val="22"/>
        </w:rPr>
        <w:t xml:space="preserve">It is also recommended that the </w:t>
      </w:r>
      <w:r w:rsidR="000C0C59">
        <w:rPr>
          <w:sz w:val="22"/>
          <w:szCs w:val="22"/>
        </w:rPr>
        <w:t>C</w:t>
      </w:r>
      <w:r w:rsidRPr="00C43FAF">
        <w:rPr>
          <w:sz w:val="22"/>
          <w:szCs w:val="22"/>
        </w:rPr>
        <w:t xml:space="preserve">ounty reevaluate winery/vineyard workers and their </w:t>
      </w:r>
      <w:r>
        <w:rPr>
          <w:sz w:val="22"/>
          <w:szCs w:val="22"/>
        </w:rPr>
        <w:t xml:space="preserve">specific </w:t>
      </w:r>
      <w:r w:rsidRPr="00C43FAF">
        <w:rPr>
          <w:sz w:val="22"/>
          <w:szCs w:val="22"/>
        </w:rPr>
        <w:t>housing</w:t>
      </w:r>
      <w:r>
        <w:rPr>
          <w:sz w:val="22"/>
          <w:szCs w:val="22"/>
        </w:rPr>
        <w:t xml:space="preserve"> needs</w:t>
      </w:r>
      <w:r w:rsidR="00D150FD">
        <w:rPr>
          <w:sz w:val="22"/>
          <w:szCs w:val="22"/>
        </w:rPr>
        <w:t xml:space="preserve">. A recent study completed by the County, on behalf of the ratepayers in CSA 4, indicates that an increasing number of farmworkers are making Napa their year round place of residence, and that there is an increasing need for </w:t>
      </w:r>
      <w:r w:rsidR="00D150FD" w:rsidRPr="00162887">
        <w:rPr>
          <w:sz w:val="22"/>
          <w:szCs w:val="22"/>
        </w:rPr>
        <w:t>farmworker</w:t>
      </w:r>
      <w:r w:rsidR="00D150FD">
        <w:rPr>
          <w:sz w:val="22"/>
          <w:szCs w:val="22"/>
        </w:rPr>
        <w:t xml:space="preserve"> family housing. </w:t>
      </w:r>
      <w:r w:rsidRPr="00C43FAF">
        <w:rPr>
          <w:sz w:val="22"/>
          <w:szCs w:val="22"/>
        </w:rPr>
        <w:t>Another method is to provide o</w:t>
      </w:r>
      <w:r w:rsidRPr="00C43FAF">
        <w:rPr>
          <w:bCs/>
          <w:color w:val="000000"/>
          <w:sz w:val="22"/>
          <w:szCs w:val="22"/>
        </w:rPr>
        <w:t xml:space="preserve">pportunities for employee housing both on-site and in proximate locations. </w:t>
      </w:r>
      <w:r>
        <w:rPr>
          <w:bCs/>
          <w:color w:val="000000"/>
          <w:sz w:val="22"/>
          <w:szCs w:val="22"/>
        </w:rPr>
        <w:t>Employ</w:t>
      </w:r>
      <w:r w:rsidRPr="00C43FAF">
        <w:rPr>
          <w:sz w:val="22"/>
          <w:szCs w:val="22"/>
        </w:rPr>
        <w:t xml:space="preserve">ers should be allowed to build off-site or proximate units for employees as well. Not only will this tie workforce housing and production goods to </w:t>
      </w:r>
      <w:r w:rsidR="0055358F">
        <w:rPr>
          <w:sz w:val="22"/>
          <w:szCs w:val="22"/>
        </w:rPr>
        <w:t xml:space="preserve">the </w:t>
      </w:r>
      <w:r w:rsidRPr="00C43FAF">
        <w:rPr>
          <w:sz w:val="22"/>
          <w:szCs w:val="22"/>
        </w:rPr>
        <w:t>place of employment, but</w:t>
      </w:r>
      <w:r w:rsidR="0055358F">
        <w:rPr>
          <w:sz w:val="22"/>
          <w:szCs w:val="22"/>
        </w:rPr>
        <w:t xml:space="preserve"> it</w:t>
      </w:r>
      <w:r w:rsidRPr="00C43FAF">
        <w:rPr>
          <w:sz w:val="22"/>
          <w:szCs w:val="22"/>
        </w:rPr>
        <w:t xml:space="preserve"> will also be a more efficient use of surplus land.</w:t>
      </w:r>
    </w:p>
    <w:p w:rsidR="005C734D" w:rsidRPr="00C43FAF" w:rsidRDefault="005C734D" w:rsidP="002B2962">
      <w:pPr>
        <w:rPr>
          <w:b/>
          <w:bCs/>
          <w:sz w:val="22"/>
          <w:szCs w:val="22"/>
          <w:u w:val="single"/>
        </w:rPr>
      </w:pPr>
    </w:p>
    <w:p w:rsidR="002B2962" w:rsidRPr="00C43FAF" w:rsidRDefault="00CB322F" w:rsidP="00F9576E">
      <w:pPr>
        <w:pStyle w:val="TOC30"/>
      </w:pPr>
      <w:hyperlink w:anchor="Table_of_Contents" w:history="1">
        <w:bookmarkStart w:id="69" w:name="_Toc352584383"/>
        <w:bookmarkStart w:id="70" w:name="_Toc359933717"/>
        <w:r w:rsidR="002B2962" w:rsidRPr="00AF0984">
          <w:rPr>
            <w:rStyle w:val="Hyperlink"/>
          </w:rPr>
          <w:t>Action Step #6:</w:t>
        </w:r>
        <w:r w:rsidR="002B2962" w:rsidRPr="00AF0984">
          <w:rPr>
            <w:rStyle w:val="Hyperlink"/>
          </w:rPr>
          <w:tab/>
          <w:t>Generate Proximity Housing Incentives and Policies</w:t>
        </w:r>
        <w:bookmarkEnd w:id="69"/>
        <w:bookmarkEnd w:id="70"/>
      </w:hyperlink>
    </w:p>
    <w:p w:rsidR="002B2962" w:rsidRPr="00C43FAF" w:rsidRDefault="002B2962" w:rsidP="00926939">
      <w:pPr>
        <w:jc w:val="both"/>
        <w:rPr>
          <w:b/>
          <w:bCs/>
          <w:sz w:val="22"/>
          <w:szCs w:val="22"/>
          <w:u w:val="single"/>
        </w:rPr>
      </w:pPr>
    </w:p>
    <w:p w:rsidR="00542548" w:rsidRDefault="002B2962" w:rsidP="00F436FD">
      <w:pPr>
        <w:spacing w:after="200" w:line="276" w:lineRule="auto"/>
        <w:contextualSpacing/>
        <w:jc w:val="both"/>
        <w:rPr>
          <w:sz w:val="22"/>
          <w:szCs w:val="22"/>
        </w:rPr>
      </w:pPr>
      <w:r w:rsidRPr="00C43FAF">
        <w:rPr>
          <w:sz w:val="22"/>
          <w:szCs w:val="22"/>
        </w:rPr>
        <w:t xml:space="preserve">The final nonmonetary action </w:t>
      </w:r>
      <w:r w:rsidR="0011649E">
        <w:rPr>
          <w:sz w:val="22"/>
          <w:szCs w:val="22"/>
        </w:rPr>
        <w:t xml:space="preserve">step recommended by the </w:t>
      </w:r>
      <w:r w:rsidR="00D92281">
        <w:rPr>
          <w:sz w:val="22"/>
          <w:szCs w:val="22"/>
        </w:rPr>
        <w:t xml:space="preserve">Housing </w:t>
      </w:r>
      <w:r w:rsidRPr="00C43FAF">
        <w:rPr>
          <w:sz w:val="22"/>
          <w:szCs w:val="22"/>
        </w:rPr>
        <w:t xml:space="preserve">Task Force is to generate proximity housing incentives. One recommended method is to develop employer incentives based on the percentage of their employees living close to work. These economic incentives </w:t>
      </w:r>
      <w:r w:rsidR="00E86D7A">
        <w:rPr>
          <w:sz w:val="22"/>
          <w:szCs w:val="22"/>
        </w:rPr>
        <w:t>could</w:t>
      </w:r>
      <w:r w:rsidRPr="00C43FAF">
        <w:rPr>
          <w:sz w:val="22"/>
          <w:szCs w:val="22"/>
        </w:rPr>
        <w:t xml:space="preserve"> help spur private sector employee housing programs while helping to reduce traffic due to the proximity to place of employment. Another strategy is for the local jurisdiction to use housing proximity </w:t>
      </w:r>
      <w:r w:rsidR="0025617B" w:rsidRPr="00C43FAF">
        <w:rPr>
          <w:sz w:val="22"/>
          <w:szCs w:val="22"/>
        </w:rPr>
        <w:t xml:space="preserve">as </w:t>
      </w:r>
      <w:r w:rsidR="0025617B">
        <w:rPr>
          <w:sz w:val="22"/>
          <w:szCs w:val="22"/>
        </w:rPr>
        <w:t xml:space="preserve">a </w:t>
      </w:r>
      <w:r w:rsidR="0025617B" w:rsidRPr="00C43FAF">
        <w:rPr>
          <w:sz w:val="22"/>
          <w:szCs w:val="22"/>
        </w:rPr>
        <w:t>criterion</w:t>
      </w:r>
      <w:r w:rsidRPr="00C43FAF">
        <w:rPr>
          <w:sz w:val="22"/>
          <w:szCs w:val="22"/>
        </w:rPr>
        <w:t xml:space="preserve"> for approval of new or expanding commercial development. This strategy would result in the private sector sharing in the development of housing solutions. </w:t>
      </w:r>
    </w:p>
    <w:p w:rsidR="00542548" w:rsidRDefault="00542548" w:rsidP="00F436FD">
      <w:pPr>
        <w:spacing w:after="200" w:line="276" w:lineRule="auto"/>
        <w:contextualSpacing/>
        <w:jc w:val="both"/>
        <w:rPr>
          <w:sz w:val="22"/>
          <w:szCs w:val="22"/>
        </w:rPr>
      </w:pPr>
    </w:p>
    <w:p w:rsidR="00542548" w:rsidRDefault="00E86D7A" w:rsidP="00F436FD">
      <w:pPr>
        <w:spacing w:after="200" w:line="276" w:lineRule="auto"/>
        <w:contextualSpacing/>
        <w:jc w:val="both"/>
        <w:rPr>
          <w:sz w:val="22"/>
          <w:szCs w:val="22"/>
        </w:rPr>
      </w:pPr>
      <w:r>
        <w:rPr>
          <w:sz w:val="22"/>
          <w:szCs w:val="22"/>
        </w:rPr>
        <w:t xml:space="preserve">Yet another </w:t>
      </w:r>
      <w:r w:rsidR="002B2962" w:rsidRPr="00C43FAF">
        <w:rPr>
          <w:sz w:val="22"/>
          <w:szCs w:val="22"/>
        </w:rPr>
        <w:t xml:space="preserve">method is to encourage live-work, mixed-use and other innovative zoning strategies. This method would require the jurisdiction to adopt creative zoning strategies that will increase the housing supply and to use appealing site plans that will attract commuters to consider moving to Napa. </w:t>
      </w:r>
    </w:p>
    <w:p w:rsidR="00542548" w:rsidRDefault="00542548" w:rsidP="00F436FD">
      <w:pPr>
        <w:spacing w:after="200" w:line="276" w:lineRule="auto"/>
        <w:contextualSpacing/>
        <w:jc w:val="both"/>
        <w:rPr>
          <w:sz w:val="22"/>
          <w:szCs w:val="22"/>
        </w:rPr>
      </w:pPr>
    </w:p>
    <w:p w:rsidR="002B2962" w:rsidRPr="00471EEA" w:rsidRDefault="002B2962" w:rsidP="00F436FD">
      <w:pPr>
        <w:spacing w:after="200" w:line="276" w:lineRule="auto"/>
        <w:contextualSpacing/>
        <w:jc w:val="both"/>
        <w:rPr>
          <w:sz w:val="22"/>
          <w:szCs w:val="22"/>
        </w:rPr>
      </w:pPr>
      <w:r w:rsidRPr="00C43FAF">
        <w:rPr>
          <w:sz w:val="22"/>
          <w:szCs w:val="22"/>
        </w:rPr>
        <w:t>The final recommended strategy to generate proximity housing is to create a home finding clearinghouse. This will provide the community with access to housing opportunities and will serve as a one-stop-shop for housing resources</w:t>
      </w:r>
      <w:r>
        <w:rPr>
          <w:sz w:val="22"/>
          <w:szCs w:val="22"/>
        </w:rPr>
        <w:t>.</w:t>
      </w:r>
    </w:p>
    <w:p w:rsidR="00276DF6" w:rsidRPr="00D36A50" w:rsidRDefault="00276DF6" w:rsidP="00F9576E">
      <w:pPr>
        <w:pStyle w:val="TOC20"/>
        <w:rPr>
          <w:sz w:val="22"/>
          <w:szCs w:val="22"/>
        </w:rPr>
      </w:pPr>
    </w:p>
    <w:p w:rsidR="007036D1" w:rsidRPr="007036D1" w:rsidRDefault="00CB322F" w:rsidP="00F9576E">
      <w:pPr>
        <w:pStyle w:val="TOC20"/>
      </w:pPr>
      <w:hyperlink w:anchor="Table_of_Contents" w:history="1">
        <w:bookmarkStart w:id="71" w:name="_Toc352584384"/>
        <w:bookmarkStart w:id="72" w:name="_Toc359933718"/>
        <w:r w:rsidR="007036D1" w:rsidRPr="00AF0984">
          <w:rPr>
            <w:rStyle w:val="Hyperlink"/>
          </w:rPr>
          <w:t>Strategy 5:  Provide Appropriate Oversight and Collect Data to Inform Practice and Measure Success</w:t>
        </w:r>
        <w:bookmarkEnd w:id="71"/>
        <w:bookmarkEnd w:id="72"/>
      </w:hyperlink>
    </w:p>
    <w:p w:rsidR="007036D1" w:rsidRPr="007036D1" w:rsidRDefault="007036D1" w:rsidP="007036D1"/>
    <w:p w:rsidR="007036D1" w:rsidRPr="000A6811" w:rsidRDefault="007036D1" w:rsidP="000A6811">
      <w:pPr>
        <w:rPr>
          <w:b/>
          <w:sz w:val="22"/>
        </w:rPr>
      </w:pPr>
      <w:r w:rsidRPr="000A6811">
        <w:rPr>
          <w:b/>
          <w:sz w:val="22"/>
        </w:rPr>
        <w:t>Why this Strategy is Important</w:t>
      </w:r>
    </w:p>
    <w:p w:rsidR="007036D1" w:rsidRPr="007036D1" w:rsidRDefault="007036D1" w:rsidP="007036D1">
      <w:pPr>
        <w:rPr>
          <w:sz w:val="22"/>
          <w:szCs w:val="22"/>
        </w:rPr>
      </w:pPr>
    </w:p>
    <w:p w:rsidR="00C04277" w:rsidRPr="00A00289" w:rsidRDefault="007821F5" w:rsidP="00A00289">
      <w:pPr>
        <w:pStyle w:val="Table"/>
        <w:spacing w:after="200" w:line="276" w:lineRule="auto"/>
        <w:jc w:val="both"/>
        <w:rPr>
          <w:bCs/>
          <w:i/>
          <w:sz w:val="22"/>
          <w:szCs w:val="22"/>
        </w:rPr>
      </w:pPr>
      <w:r w:rsidRPr="007821F5">
        <w:rPr>
          <w:bCs/>
          <w:i/>
          <w:sz w:val="22"/>
          <w:szCs w:val="22"/>
        </w:rPr>
        <w:t>Oversight and measurement allow</w:t>
      </w:r>
      <w:r w:rsidR="00C04277" w:rsidRPr="007821F5">
        <w:rPr>
          <w:bCs/>
          <w:i/>
          <w:sz w:val="22"/>
          <w:szCs w:val="22"/>
        </w:rPr>
        <w:t xml:space="preserve"> for refinement of strategies, benchmarking towards goals and </w:t>
      </w:r>
      <w:r w:rsidR="00D72CDD">
        <w:rPr>
          <w:bCs/>
          <w:i/>
          <w:sz w:val="22"/>
          <w:szCs w:val="22"/>
        </w:rPr>
        <w:t xml:space="preserve">transforming </w:t>
      </w:r>
      <w:r w:rsidRPr="007821F5">
        <w:rPr>
          <w:bCs/>
          <w:i/>
          <w:sz w:val="22"/>
          <w:szCs w:val="22"/>
        </w:rPr>
        <w:t>actionable steps into impactful outcomes</w:t>
      </w:r>
      <w:r w:rsidR="00C04277" w:rsidRPr="007821F5">
        <w:rPr>
          <w:bCs/>
          <w:i/>
          <w:sz w:val="22"/>
          <w:szCs w:val="22"/>
        </w:rPr>
        <w:t>.</w:t>
      </w:r>
    </w:p>
    <w:p w:rsidR="007036D1" w:rsidRPr="007036D1" w:rsidRDefault="00B37E93" w:rsidP="00F436FD">
      <w:pPr>
        <w:spacing w:after="200" w:line="276" w:lineRule="auto"/>
        <w:contextualSpacing/>
        <w:jc w:val="both"/>
        <w:rPr>
          <w:sz w:val="22"/>
          <w:szCs w:val="22"/>
        </w:rPr>
      </w:pPr>
      <w:r>
        <w:rPr>
          <w:sz w:val="22"/>
          <w:szCs w:val="22"/>
        </w:rPr>
        <w:t>The Action</w:t>
      </w:r>
      <w:r w:rsidR="007036D1" w:rsidRPr="007036D1">
        <w:rPr>
          <w:sz w:val="22"/>
          <w:szCs w:val="22"/>
        </w:rPr>
        <w:t xml:space="preserve"> Plan</w:t>
      </w:r>
      <w:r w:rsidR="007036D1">
        <w:rPr>
          <w:sz w:val="22"/>
          <w:szCs w:val="22"/>
        </w:rPr>
        <w:t xml:space="preserve"> </w:t>
      </w:r>
      <w:r w:rsidR="007036D1" w:rsidRPr="007036D1">
        <w:rPr>
          <w:sz w:val="22"/>
          <w:szCs w:val="22"/>
        </w:rPr>
        <w:t>requires</w:t>
      </w:r>
      <w:r w:rsidR="0086620F">
        <w:rPr>
          <w:sz w:val="22"/>
          <w:szCs w:val="22"/>
        </w:rPr>
        <w:t xml:space="preserve"> multiple levels of inter-jurisdictional</w:t>
      </w:r>
      <w:r w:rsidR="007036D1" w:rsidRPr="007036D1">
        <w:rPr>
          <w:sz w:val="22"/>
          <w:szCs w:val="22"/>
        </w:rPr>
        <w:t xml:space="preserve"> and community partnership formation and/or collaboration in ord</w:t>
      </w:r>
      <w:r w:rsidR="0003040E">
        <w:rPr>
          <w:sz w:val="22"/>
          <w:szCs w:val="22"/>
        </w:rPr>
        <w:t xml:space="preserve">er to have measurable success. </w:t>
      </w:r>
      <w:r w:rsidR="007036D1" w:rsidRPr="007036D1">
        <w:rPr>
          <w:sz w:val="22"/>
          <w:szCs w:val="22"/>
        </w:rPr>
        <w:t>The ultimate goa</w:t>
      </w:r>
      <w:r w:rsidR="007036D1">
        <w:rPr>
          <w:sz w:val="22"/>
          <w:szCs w:val="22"/>
        </w:rPr>
        <w:t>l is to produce more affordable housing</w:t>
      </w:r>
      <w:r w:rsidR="007036D1" w:rsidRPr="007036D1">
        <w:rPr>
          <w:sz w:val="22"/>
          <w:szCs w:val="22"/>
        </w:rPr>
        <w:t xml:space="preserve"> deve</w:t>
      </w:r>
      <w:r w:rsidR="007821F5">
        <w:rPr>
          <w:sz w:val="22"/>
          <w:szCs w:val="22"/>
        </w:rPr>
        <w:t>lopment sites that can</w:t>
      </w:r>
      <w:r w:rsidR="00681C85">
        <w:rPr>
          <w:sz w:val="22"/>
          <w:szCs w:val="22"/>
        </w:rPr>
        <w:t xml:space="preserve"> leverage</w:t>
      </w:r>
      <w:r w:rsidR="007036D1" w:rsidRPr="007036D1">
        <w:rPr>
          <w:sz w:val="22"/>
          <w:szCs w:val="22"/>
        </w:rPr>
        <w:t xml:space="preserve"> federal and st</w:t>
      </w:r>
      <w:r w:rsidR="00681C85">
        <w:rPr>
          <w:sz w:val="22"/>
          <w:szCs w:val="22"/>
        </w:rPr>
        <w:t>ate resources</w:t>
      </w:r>
      <w:r w:rsidR="0003040E">
        <w:rPr>
          <w:sz w:val="22"/>
          <w:szCs w:val="22"/>
        </w:rPr>
        <w:t xml:space="preserve">. </w:t>
      </w:r>
      <w:r w:rsidR="007036D1" w:rsidRPr="007036D1">
        <w:rPr>
          <w:sz w:val="22"/>
          <w:szCs w:val="22"/>
        </w:rPr>
        <w:t xml:space="preserve">This effort will require appropriate oversight for success and will likely necessitate some systems change </w:t>
      </w:r>
      <w:r w:rsidR="00681C85">
        <w:rPr>
          <w:sz w:val="22"/>
          <w:szCs w:val="22"/>
        </w:rPr>
        <w:t>and reprioritization within local jurisdictions</w:t>
      </w:r>
      <w:r w:rsidR="007036D1" w:rsidRPr="007036D1">
        <w:rPr>
          <w:sz w:val="22"/>
          <w:szCs w:val="22"/>
        </w:rPr>
        <w:t xml:space="preserve">. </w:t>
      </w:r>
    </w:p>
    <w:p w:rsidR="007036D1" w:rsidRDefault="007036D1" w:rsidP="007821F5">
      <w:pPr>
        <w:outlineLvl w:val="0"/>
        <w:rPr>
          <w:b/>
          <w:bCs/>
          <w:sz w:val="22"/>
          <w:szCs w:val="22"/>
        </w:rPr>
      </w:pPr>
    </w:p>
    <w:p w:rsidR="001E4EEC" w:rsidRDefault="001E4EEC" w:rsidP="001E4EEC">
      <w:pPr>
        <w:spacing w:after="200" w:line="276" w:lineRule="auto"/>
        <w:jc w:val="both"/>
        <w:rPr>
          <w:sz w:val="22"/>
          <w:szCs w:val="22"/>
        </w:rPr>
      </w:pPr>
      <w:r>
        <w:rPr>
          <w:sz w:val="22"/>
          <w:szCs w:val="22"/>
        </w:rPr>
        <w:t>In its discussions on new construction versus rehabilitation and on targeting household types, the Task Force reached consensus on the following guiding principle:</w:t>
      </w:r>
    </w:p>
    <w:p w:rsidR="001E4EEC" w:rsidRPr="007821F5" w:rsidRDefault="001E4EEC" w:rsidP="007821F5">
      <w:pPr>
        <w:outlineLvl w:val="0"/>
        <w:rPr>
          <w:b/>
          <w:bCs/>
          <w:sz w:val="22"/>
          <w:szCs w:val="22"/>
        </w:rPr>
      </w:pPr>
    </w:p>
    <w:p w:rsidR="00926939" w:rsidRDefault="001A4C46" w:rsidP="00926939">
      <w:pPr>
        <w:rPr>
          <w:noProof/>
          <w:sz w:val="22"/>
          <w:szCs w:val="22"/>
        </w:rPr>
      </w:pPr>
      <w:r>
        <w:rPr>
          <w:noProof/>
          <w:sz w:val="22"/>
          <w:szCs w:val="22"/>
        </w:rPr>
        <mc:AlternateContent>
          <mc:Choice Requires="wps">
            <w:drawing>
              <wp:inline distT="0" distB="0" distL="0" distR="0">
                <wp:extent cx="5943600" cy="1341120"/>
                <wp:effectExtent l="19050" t="19050" r="19050" b="11430"/>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341120"/>
                        </a:xfrm>
                        <a:prstGeom prst="rect">
                          <a:avLst/>
                        </a:prstGeom>
                        <a:solidFill>
                          <a:srgbClr val="FFFFFF"/>
                        </a:solidFill>
                        <a:ln w="38100" cmpd="dbl">
                          <a:solidFill>
                            <a:schemeClr val="tx1">
                              <a:lumMod val="100000"/>
                              <a:lumOff val="0"/>
                            </a:schemeClr>
                          </a:solidFill>
                          <a:miter lim="800000"/>
                          <a:headEnd/>
                          <a:tailEnd/>
                        </a:ln>
                      </wps:spPr>
                      <wps:txbx>
                        <w:txbxContent>
                          <w:p w:rsidR="00CE2A47" w:rsidRPr="00963617" w:rsidRDefault="00CE2A47" w:rsidP="001E4EEC">
                            <w:pPr>
                              <w:jc w:val="center"/>
                            </w:pPr>
                          </w:p>
                          <w:p w:rsidR="00CE2A47" w:rsidRDefault="00CE2A47" w:rsidP="001E4EEC">
                            <w:pPr>
                              <w:jc w:val="center"/>
                              <w:rPr>
                                <w:b/>
                                <w:i/>
                                <w:sz w:val="32"/>
                                <w:szCs w:val="32"/>
                              </w:rPr>
                            </w:pPr>
                            <w:r w:rsidRPr="00963617">
                              <w:rPr>
                                <w:b/>
                                <w:i/>
                                <w:sz w:val="32"/>
                                <w:szCs w:val="32"/>
                              </w:rPr>
                              <w:t>Strong leadership is required to guide the endeavor to success.</w:t>
                            </w:r>
                          </w:p>
                          <w:p w:rsidR="00CE2A47" w:rsidRDefault="00CE2A47" w:rsidP="001E4EEC">
                            <w:pPr>
                              <w:jc w:val="center"/>
                              <w:rPr>
                                <w:b/>
                                <w:i/>
                                <w:sz w:val="22"/>
                                <w:szCs w:val="22"/>
                              </w:rPr>
                            </w:pPr>
                          </w:p>
                          <w:p w:rsidR="00CE2A47" w:rsidRDefault="00CE2A47" w:rsidP="001E4EEC">
                            <w:pPr>
                              <w:jc w:val="center"/>
                              <w:rPr>
                                <w:sz w:val="22"/>
                                <w:szCs w:val="22"/>
                              </w:rPr>
                            </w:pPr>
                            <w:r>
                              <w:rPr>
                                <w:sz w:val="22"/>
                                <w:szCs w:val="22"/>
                              </w:rPr>
                              <w:t xml:space="preserve">Provide a collaborative process for advising cities and the County on matters associated with funding of affordable housing and development and monitoring and providing feedback within </w:t>
                            </w:r>
                          </w:p>
                          <w:p w:rsidR="00CE2A47" w:rsidRPr="001E4EEC" w:rsidRDefault="00CE2A47" w:rsidP="001E4EEC">
                            <w:pPr>
                              <w:jc w:val="center"/>
                              <w:rPr>
                                <w:sz w:val="22"/>
                                <w:szCs w:val="22"/>
                              </w:rPr>
                            </w:pPr>
                            <w:r>
                              <w:rPr>
                                <w:sz w:val="22"/>
                                <w:szCs w:val="22"/>
                              </w:rPr>
                              <w:t>Napa County to encourage success of the Action Plan</w:t>
                            </w:r>
                          </w:p>
                        </w:txbxContent>
                      </wps:txbx>
                      <wps:bodyPr rot="0" vert="horz" wrap="square" lIns="91440" tIns="45720" rIns="91440" bIns="45720" anchor="t" anchorCtr="0" upright="1">
                        <a:noAutofit/>
                      </wps:bodyPr>
                    </wps:wsp>
                  </a:graphicData>
                </a:graphic>
              </wp:inline>
            </w:drawing>
          </mc:Choice>
          <mc:Fallback>
            <w:pict>
              <v:shape id="Text Box 8" o:spid="_x0000_s1035" type="#_x0000_t202" style="width:468pt;height:10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" strokecolor="black [3213]" strokeweight="3pt">
                <v:stroke linestyle="thinThin"/>
                <v:textbox>
                  <w:txbxContent>
                    <w:p w:rsidR="00CE2A47" w:rsidRPr="00963617" w:rsidRDefault="00CE2A47" w:rsidP="001E4EEC">
                      <w:pPr>
                        <w:jc w:val="center"/>
                      </w:pPr>
                    </w:p>
                    <w:p w:rsidR="00CE2A47" w:rsidRDefault="00CE2A47" w:rsidP="001E4EEC">
                      <w:pPr>
                        <w:jc w:val="center"/>
                        <w:rPr>
                          <w:b/>
                          <w:i/>
                          <w:sz w:val="32"/>
                          <w:szCs w:val="32"/>
                        </w:rPr>
                      </w:pPr>
                      <w:r w:rsidRPr="00963617">
                        <w:rPr>
                          <w:b/>
                          <w:i/>
                          <w:sz w:val="32"/>
                          <w:szCs w:val="32"/>
                        </w:rPr>
                        <w:t>Strong leadership is required to guide the endeavor to success.</w:t>
                      </w:r>
                    </w:p>
                    <w:p w:rsidR="00CE2A47" w:rsidRDefault="00CE2A47" w:rsidP="001E4EEC">
                      <w:pPr>
                        <w:jc w:val="center"/>
                        <w:rPr>
                          <w:b/>
                          <w:i/>
                          <w:sz w:val="22"/>
                          <w:szCs w:val="22"/>
                        </w:rPr>
                      </w:pPr>
                    </w:p>
                    <w:p w:rsidR="00CE2A47" w:rsidRDefault="00CE2A47" w:rsidP="001E4EEC">
                      <w:pPr>
                        <w:jc w:val="center"/>
                        <w:rPr>
                          <w:sz w:val="22"/>
                          <w:szCs w:val="22"/>
                        </w:rPr>
                      </w:pPr>
                      <w:r>
                        <w:rPr>
                          <w:sz w:val="22"/>
                          <w:szCs w:val="22"/>
                        </w:rPr>
                        <w:t xml:space="preserve">Provide a collaborative process for advising cities and the County on matters associated with funding of affordable housing and development and monitoring and providing feedback within </w:t>
                      </w:r>
                    </w:p>
                    <w:p w:rsidR="00CE2A47" w:rsidRPr="001E4EEC" w:rsidRDefault="00CE2A47" w:rsidP="001E4EEC">
                      <w:pPr>
                        <w:jc w:val="center"/>
                        <w:rPr>
                          <w:sz w:val="22"/>
                          <w:szCs w:val="22"/>
                        </w:rPr>
                      </w:pPr>
                      <w:r>
                        <w:rPr>
                          <w:sz w:val="22"/>
                          <w:szCs w:val="22"/>
                        </w:rPr>
                        <w:t>Napa County to encourage success of the Action Plan</w:t>
                      </w:r>
                    </w:p>
                  </w:txbxContent>
                </v:textbox>
                <w10:anchorlock/>
              </v:shape>
            </w:pict>
          </mc:Fallback>
        </mc:AlternateContent>
      </w:r>
    </w:p>
    <w:p w:rsidR="001E4EEC" w:rsidRDefault="001E4EEC" w:rsidP="00926939">
      <w:pPr>
        <w:rPr>
          <w:noProof/>
          <w:sz w:val="22"/>
          <w:szCs w:val="22"/>
        </w:rPr>
      </w:pPr>
    </w:p>
    <w:p w:rsidR="001E4EEC" w:rsidRPr="007A25B3" w:rsidRDefault="001E4EEC" w:rsidP="00926939">
      <w:pPr>
        <w:rPr>
          <w:sz w:val="22"/>
          <w:szCs w:val="22"/>
        </w:rPr>
      </w:pPr>
    </w:p>
    <w:p w:rsidR="00F53490" w:rsidRDefault="007036D1" w:rsidP="00F436FD">
      <w:pPr>
        <w:spacing w:after="200" w:line="276" w:lineRule="auto"/>
        <w:contextualSpacing/>
        <w:jc w:val="both"/>
        <w:rPr>
          <w:sz w:val="22"/>
          <w:szCs w:val="22"/>
        </w:rPr>
      </w:pPr>
      <w:r w:rsidRPr="007036D1">
        <w:rPr>
          <w:sz w:val="22"/>
          <w:szCs w:val="22"/>
        </w:rPr>
        <w:t>The action steps below propose the cre</w:t>
      </w:r>
      <w:r w:rsidR="007821F5">
        <w:rPr>
          <w:sz w:val="22"/>
          <w:szCs w:val="22"/>
        </w:rPr>
        <w:t>ation of a public-private oversight</w:t>
      </w:r>
      <w:r w:rsidR="00681C85">
        <w:rPr>
          <w:sz w:val="22"/>
          <w:szCs w:val="22"/>
        </w:rPr>
        <w:t xml:space="preserve"> group, which </w:t>
      </w:r>
      <w:r w:rsidRPr="007036D1">
        <w:rPr>
          <w:sz w:val="22"/>
          <w:szCs w:val="22"/>
        </w:rPr>
        <w:t xml:space="preserve">would serve </w:t>
      </w:r>
      <w:r w:rsidR="00F53490">
        <w:rPr>
          <w:sz w:val="22"/>
          <w:szCs w:val="22"/>
        </w:rPr>
        <w:t xml:space="preserve">at the discretion of the </w:t>
      </w:r>
      <w:r w:rsidR="00542548">
        <w:rPr>
          <w:sz w:val="22"/>
          <w:szCs w:val="22"/>
        </w:rPr>
        <w:t xml:space="preserve">City Councils </w:t>
      </w:r>
      <w:r w:rsidR="00F53490">
        <w:rPr>
          <w:sz w:val="22"/>
          <w:szCs w:val="22"/>
        </w:rPr>
        <w:t xml:space="preserve">of </w:t>
      </w:r>
      <w:r w:rsidR="00181F6C">
        <w:rPr>
          <w:sz w:val="22"/>
          <w:szCs w:val="22"/>
        </w:rPr>
        <w:t xml:space="preserve">the City of </w:t>
      </w:r>
      <w:r w:rsidR="00F53490">
        <w:rPr>
          <w:sz w:val="22"/>
          <w:szCs w:val="22"/>
        </w:rPr>
        <w:t xml:space="preserve">Napa and </w:t>
      </w:r>
      <w:r w:rsidR="00181F6C">
        <w:rPr>
          <w:sz w:val="22"/>
          <w:szCs w:val="22"/>
        </w:rPr>
        <w:t xml:space="preserve">City of </w:t>
      </w:r>
      <w:r w:rsidR="00F53490">
        <w:rPr>
          <w:sz w:val="22"/>
          <w:szCs w:val="22"/>
        </w:rPr>
        <w:t xml:space="preserve">American Canyon and the </w:t>
      </w:r>
      <w:r w:rsidR="00542548">
        <w:rPr>
          <w:sz w:val="22"/>
          <w:szCs w:val="22"/>
        </w:rPr>
        <w:t xml:space="preserve">Board </w:t>
      </w:r>
      <w:r w:rsidR="00F53490">
        <w:rPr>
          <w:sz w:val="22"/>
          <w:szCs w:val="22"/>
        </w:rPr>
        <w:t xml:space="preserve">of </w:t>
      </w:r>
      <w:r w:rsidR="00542548">
        <w:rPr>
          <w:sz w:val="22"/>
          <w:szCs w:val="22"/>
        </w:rPr>
        <w:t xml:space="preserve">Supervisors </w:t>
      </w:r>
      <w:r w:rsidR="00D6008B">
        <w:rPr>
          <w:sz w:val="22"/>
          <w:szCs w:val="22"/>
        </w:rPr>
        <w:t>of the County of Napa</w:t>
      </w:r>
      <w:r w:rsidR="0003040E">
        <w:rPr>
          <w:sz w:val="22"/>
          <w:szCs w:val="22"/>
        </w:rPr>
        <w:t xml:space="preserve">. </w:t>
      </w:r>
      <w:r w:rsidRPr="007036D1">
        <w:rPr>
          <w:sz w:val="22"/>
          <w:szCs w:val="22"/>
        </w:rPr>
        <w:t xml:space="preserve">This </w:t>
      </w:r>
      <w:r w:rsidR="007821F5">
        <w:rPr>
          <w:sz w:val="22"/>
          <w:szCs w:val="22"/>
        </w:rPr>
        <w:t xml:space="preserve">oversight </w:t>
      </w:r>
      <w:r w:rsidR="00F53490">
        <w:rPr>
          <w:sz w:val="22"/>
          <w:szCs w:val="22"/>
        </w:rPr>
        <w:t>group would:</w:t>
      </w:r>
    </w:p>
    <w:p w:rsidR="00F53490" w:rsidRDefault="00F53490" w:rsidP="007036D1">
      <w:pPr>
        <w:rPr>
          <w:sz w:val="22"/>
          <w:szCs w:val="22"/>
        </w:rPr>
      </w:pPr>
    </w:p>
    <w:p w:rsidR="00F53490" w:rsidRPr="00F53490" w:rsidRDefault="00F53490" w:rsidP="004C794B">
      <w:pPr>
        <w:pStyle w:val="ListParagraph"/>
        <w:numPr>
          <w:ilvl w:val="0"/>
          <w:numId w:val="24"/>
        </w:numPr>
      </w:pPr>
      <w:r w:rsidRPr="00F53490">
        <w:t>review progress against the Action Plan</w:t>
      </w:r>
    </w:p>
    <w:p w:rsidR="00F53490" w:rsidRPr="00F53490" w:rsidRDefault="007036D1" w:rsidP="004C794B">
      <w:pPr>
        <w:pStyle w:val="ListParagraph"/>
        <w:numPr>
          <w:ilvl w:val="0"/>
          <w:numId w:val="24"/>
        </w:numPr>
      </w:pPr>
      <w:r w:rsidRPr="00F53490">
        <w:t>provide feedback and assistance to accomplish the actions step</w:t>
      </w:r>
      <w:r w:rsidR="007821F5" w:rsidRPr="00F53490">
        <w:t>s and tasks</w:t>
      </w:r>
      <w:r w:rsidR="00F53490" w:rsidRPr="00F53490">
        <w:t>, and</w:t>
      </w:r>
    </w:p>
    <w:p w:rsidR="007036D1" w:rsidRPr="00F53490" w:rsidRDefault="00F53490" w:rsidP="004C794B">
      <w:pPr>
        <w:pStyle w:val="ListParagraph"/>
        <w:numPr>
          <w:ilvl w:val="0"/>
          <w:numId w:val="24"/>
        </w:numPr>
      </w:pPr>
      <w:r w:rsidRPr="00F53490">
        <w:t>amend the Action Plan, if necessary</w:t>
      </w:r>
    </w:p>
    <w:bookmarkStart w:id="73" w:name="_Toc301441952"/>
    <w:p w:rsidR="007036D1" w:rsidRPr="007036D1" w:rsidRDefault="00426CC0" w:rsidP="00F9576E">
      <w:pPr>
        <w:pStyle w:val="TOC30"/>
      </w:pPr>
      <w:r>
        <w:fldChar w:fldCharType="begin"/>
      </w:r>
      <w:r w:rsidR="00AF0984">
        <w:instrText xml:space="preserve"> HYPERLINK  \l "Table_of_Contents" </w:instrText>
      </w:r>
      <w:r>
        <w:fldChar w:fldCharType="separate"/>
      </w:r>
      <w:bookmarkStart w:id="74" w:name="_Toc359933719"/>
      <w:bookmarkStart w:id="75" w:name="_Toc352584385"/>
      <w:r w:rsidR="00902F41" w:rsidRPr="00AF0984">
        <w:rPr>
          <w:rStyle w:val="Hyperlink"/>
        </w:rPr>
        <w:t>Action Step #1:</w:t>
      </w:r>
      <w:r w:rsidR="00902F41" w:rsidRPr="00AF0984">
        <w:rPr>
          <w:rStyle w:val="Hyperlink"/>
        </w:rPr>
        <w:tab/>
      </w:r>
      <w:r w:rsidR="007036D1" w:rsidRPr="00AF0984">
        <w:rPr>
          <w:rStyle w:val="Hyperlink"/>
        </w:rPr>
        <w:t>P</w:t>
      </w:r>
      <w:r w:rsidR="00D6008B" w:rsidRPr="00D6008B">
        <w:rPr>
          <w:rStyle w:val="Hyperlink"/>
        </w:rPr>
        <w:t xml:space="preserve">rovide </w:t>
      </w:r>
      <w:r w:rsidR="00C20DB6">
        <w:rPr>
          <w:rStyle w:val="Hyperlink"/>
        </w:rPr>
        <w:t xml:space="preserve">an </w:t>
      </w:r>
      <w:r w:rsidR="00D6008B" w:rsidRPr="00D6008B">
        <w:rPr>
          <w:rStyle w:val="Hyperlink"/>
        </w:rPr>
        <w:t>Internal Monitoring System that will Produce Feedback on Opportunities for Enhanced Collaboration</w:t>
      </w:r>
      <w:bookmarkEnd w:id="73"/>
      <w:bookmarkEnd w:id="74"/>
      <w:bookmarkEnd w:id="75"/>
      <w:r>
        <w:fldChar w:fldCharType="end"/>
      </w:r>
    </w:p>
    <w:p w:rsidR="007036D1" w:rsidRPr="007036D1" w:rsidRDefault="007036D1" w:rsidP="007036D1">
      <w:pPr>
        <w:rPr>
          <w:sz w:val="22"/>
          <w:szCs w:val="22"/>
        </w:rPr>
      </w:pPr>
    </w:p>
    <w:p w:rsidR="00D6008B" w:rsidRDefault="00A37FCC" w:rsidP="00F436FD">
      <w:pPr>
        <w:spacing w:after="200" w:line="276" w:lineRule="auto"/>
        <w:contextualSpacing/>
        <w:jc w:val="both"/>
        <w:rPr>
          <w:sz w:val="22"/>
          <w:szCs w:val="22"/>
        </w:rPr>
      </w:pPr>
      <w:r>
        <w:rPr>
          <w:sz w:val="22"/>
          <w:szCs w:val="22"/>
        </w:rPr>
        <w:t xml:space="preserve">The </w:t>
      </w:r>
      <w:r w:rsidR="00D92281">
        <w:rPr>
          <w:sz w:val="22"/>
          <w:szCs w:val="22"/>
        </w:rPr>
        <w:t xml:space="preserve">Housing </w:t>
      </w:r>
      <w:r>
        <w:rPr>
          <w:sz w:val="22"/>
          <w:szCs w:val="22"/>
        </w:rPr>
        <w:t>Task Force recommends d</w:t>
      </w:r>
      <w:r w:rsidR="00D6008B" w:rsidRPr="00D6008B">
        <w:rPr>
          <w:sz w:val="22"/>
          <w:szCs w:val="22"/>
        </w:rPr>
        <w:t>evelop</w:t>
      </w:r>
      <w:r>
        <w:rPr>
          <w:sz w:val="22"/>
          <w:szCs w:val="22"/>
        </w:rPr>
        <w:t>ment of</w:t>
      </w:r>
      <w:r w:rsidR="00D6008B" w:rsidRPr="00D6008B">
        <w:rPr>
          <w:sz w:val="22"/>
          <w:szCs w:val="22"/>
        </w:rPr>
        <w:t xml:space="preserve"> </w:t>
      </w:r>
      <w:r w:rsidR="00D92281">
        <w:rPr>
          <w:sz w:val="22"/>
          <w:szCs w:val="22"/>
        </w:rPr>
        <w:t xml:space="preserve">a </w:t>
      </w:r>
      <w:r w:rsidR="00D6008B" w:rsidRPr="00D6008B">
        <w:rPr>
          <w:sz w:val="22"/>
          <w:szCs w:val="22"/>
        </w:rPr>
        <w:t>monitoring system to promote internal collaboration and feedback.</w:t>
      </w:r>
      <w:r>
        <w:rPr>
          <w:sz w:val="22"/>
          <w:szCs w:val="22"/>
        </w:rPr>
        <w:t xml:space="preserve"> This system should include a plan for periodic review of progress in meeting Action Plan objectives</w:t>
      </w:r>
      <w:r w:rsidR="00580747">
        <w:rPr>
          <w:sz w:val="22"/>
          <w:szCs w:val="22"/>
        </w:rPr>
        <w:t xml:space="preserve">. This will include evaluation of progress towards the generation of $5 million annually for the creation of </w:t>
      </w:r>
      <w:r w:rsidR="000F60A1">
        <w:rPr>
          <w:sz w:val="22"/>
          <w:szCs w:val="22"/>
        </w:rPr>
        <w:t xml:space="preserve">at least </w:t>
      </w:r>
      <w:r w:rsidR="00580747">
        <w:rPr>
          <w:sz w:val="22"/>
          <w:szCs w:val="22"/>
        </w:rPr>
        <w:t>60 affordable housing units per year beginning by 2018</w:t>
      </w:r>
      <w:r>
        <w:rPr>
          <w:sz w:val="22"/>
          <w:szCs w:val="22"/>
        </w:rPr>
        <w:t>.</w:t>
      </w:r>
    </w:p>
    <w:p w:rsidR="007036D1" w:rsidRPr="007036D1" w:rsidRDefault="007036D1" w:rsidP="007036D1">
      <w:pPr>
        <w:rPr>
          <w:b/>
          <w:sz w:val="22"/>
          <w:szCs w:val="22"/>
        </w:rPr>
      </w:pPr>
    </w:p>
    <w:bookmarkStart w:id="76" w:name="_Toc301441954"/>
    <w:p w:rsidR="007036D1" w:rsidRPr="007036D1" w:rsidRDefault="00426CC0" w:rsidP="00F9576E">
      <w:pPr>
        <w:pStyle w:val="TOC30"/>
      </w:pPr>
      <w:r>
        <w:fldChar w:fldCharType="begin"/>
      </w:r>
      <w:r w:rsidR="00AF0984">
        <w:instrText xml:space="preserve"> HYPERLINK  \l "Table_of_Contents" </w:instrText>
      </w:r>
      <w:r>
        <w:fldChar w:fldCharType="separate"/>
      </w:r>
      <w:bookmarkStart w:id="77" w:name="_Toc359933720"/>
      <w:bookmarkStart w:id="78" w:name="_Toc352584386"/>
      <w:r w:rsidR="00681C85" w:rsidRPr="00AF0984">
        <w:rPr>
          <w:rStyle w:val="Hyperlink"/>
        </w:rPr>
        <w:t>Action Step #2</w:t>
      </w:r>
      <w:r w:rsidR="00902F41" w:rsidRPr="00AF0984">
        <w:rPr>
          <w:rStyle w:val="Hyperlink"/>
        </w:rPr>
        <w:t>:</w:t>
      </w:r>
      <w:r w:rsidR="00902F41" w:rsidRPr="00AF0984">
        <w:rPr>
          <w:rStyle w:val="Hyperlink"/>
        </w:rPr>
        <w:tab/>
      </w:r>
      <w:r w:rsidR="007036D1" w:rsidRPr="00AF0984">
        <w:rPr>
          <w:rStyle w:val="Hyperlink"/>
        </w:rPr>
        <w:t>P</w:t>
      </w:r>
      <w:bookmarkEnd w:id="76"/>
      <w:r w:rsidR="00D6008B" w:rsidRPr="00D6008B">
        <w:rPr>
          <w:rStyle w:val="Hyperlink"/>
        </w:rPr>
        <w:t>rovide Adequate Oversight for Plan Implementation</w:t>
      </w:r>
      <w:bookmarkEnd w:id="77"/>
      <w:bookmarkEnd w:id="78"/>
      <w:r>
        <w:fldChar w:fldCharType="end"/>
      </w:r>
    </w:p>
    <w:p w:rsidR="007036D1" w:rsidRDefault="007036D1" w:rsidP="00926939">
      <w:pPr>
        <w:outlineLvl w:val="0"/>
        <w:rPr>
          <w:sz w:val="22"/>
          <w:szCs w:val="22"/>
          <w:u w:val="single"/>
        </w:rPr>
      </w:pPr>
    </w:p>
    <w:p w:rsidR="00580747" w:rsidRPr="00D6008B" w:rsidRDefault="00D6008B" w:rsidP="00D1679E">
      <w:pPr>
        <w:spacing w:after="200" w:line="276" w:lineRule="auto"/>
        <w:jc w:val="both"/>
        <w:rPr>
          <w:sz w:val="22"/>
          <w:szCs w:val="22"/>
        </w:rPr>
      </w:pPr>
      <w:r w:rsidRPr="00D6008B">
        <w:rPr>
          <w:sz w:val="22"/>
          <w:szCs w:val="22"/>
        </w:rPr>
        <w:t>Goal completion relies on clear lines of authority and responsibility at the overall plan level as well as at the task and outcomes delivery level. Responsibility for oversight, evaluation and the success of this plan will be delegated to a public-private oversight group, who will assign tasks and responsibilities internally and annotate the Action Plan to reflect any internal assignments for implementation of strategies, action steps and tasks.</w:t>
      </w:r>
    </w:p>
    <w:p w:rsidR="000E2AC0" w:rsidRDefault="000F60A1" w:rsidP="002B2962">
      <w:pPr>
        <w:rPr>
          <w:sz w:val="22"/>
          <w:szCs w:val="22"/>
        </w:rPr>
        <w:sectPr w:rsidR="000E2AC0" w:rsidSect="00D83BF4">
          <w:type w:val="continuous"/>
          <w:pgSz w:w="12240" w:h="15840" w:code="1"/>
          <w:pgMar w:top="720" w:right="1440" w:bottom="634" w:left="1440" w:header="720" w:footer="720" w:gutter="0"/>
          <w:pgBorders w:offsetFrom="page">
            <w:top w:val="single" w:sz="4" w:space="24" w:color="00008C"/>
            <w:left w:val="single" w:sz="4" w:space="24" w:color="00008C"/>
            <w:bottom w:val="single" w:sz="4" w:space="24" w:color="00008C"/>
            <w:right w:val="single" w:sz="4" w:space="24" w:color="00008C"/>
          </w:pgBorders>
          <w:cols w:space="720"/>
          <w:titlePg/>
          <w:docGrid w:linePitch="360"/>
        </w:sectPr>
      </w:pPr>
      <w:r>
        <w:rPr>
          <w:sz w:val="22"/>
          <w:szCs w:val="22"/>
        </w:rPr>
        <w:t>The Housing Task Force strongly encourages interest groups continue to meet to discuss how new units can be added to the current inventory.</w:t>
      </w:r>
    </w:p>
    <w:tbl>
      <w:tblPr>
        <w:tblW w:w="5478" w:type="pct"/>
        <w:jc w:val="center"/>
        <w:tblInd w:w="-7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594"/>
        <w:gridCol w:w="2938"/>
        <w:gridCol w:w="1353"/>
        <w:gridCol w:w="1168"/>
        <w:gridCol w:w="2973"/>
        <w:gridCol w:w="1240"/>
      </w:tblGrid>
      <w:tr w:rsidR="00BA318D" w:rsidRPr="0099428A" w:rsidTr="00E77E4E">
        <w:trPr>
          <w:trHeight w:val="452"/>
          <w:jc w:val="center"/>
        </w:trPr>
        <w:tc>
          <w:tcPr>
            <w:tcW w:w="289" w:type="pct"/>
            <w:tcBorders>
              <w:top w:val="single" w:sz="4" w:space="0" w:color="auto"/>
              <w:left w:val="single" w:sz="4" w:space="0" w:color="auto"/>
              <w:bottom w:val="single" w:sz="4" w:space="0" w:color="auto"/>
              <w:right w:val="nil"/>
            </w:tcBorders>
            <w:shd w:val="clear" w:color="auto" w:fill="A6A6A6" w:themeFill="background1" w:themeFillShade="A6"/>
          </w:tcPr>
          <w:p w:rsidR="00BA318D" w:rsidRPr="0099428A" w:rsidRDefault="00BA318D" w:rsidP="00E77E4E">
            <w:pPr>
              <w:suppressAutoHyphens/>
              <w:autoSpaceDE w:val="0"/>
              <w:autoSpaceDN w:val="0"/>
              <w:adjustRightInd w:val="0"/>
              <w:jc w:val="center"/>
              <w:textAlignment w:val="center"/>
              <w:rPr>
                <w:b/>
                <w:bCs/>
                <w:color w:val="000000"/>
                <w:sz w:val="20"/>
                <w:szCs w:val="20"/>
              </w:rPr>
            </w:pPr>
          </w:p>
        </w:tc>
        <w:tc>
          <w:tcPr>
            <w:tcW w:w="4711" w:type="pct"/>
            <w:gridSpan w:val="5"/>
            <w:tcBorders>
              <w:top w:val="single" w:sz="4" w:space="0" w:color="auto"/>
              <w:left w:val="nil"/>
              <w:bottom w:val="single" w:sz="4" w:space="0" w:color="auto"/>
              <w:right w:val="single" w:sz="4" w:space="0" w:color="auto"/>
            </w:tcBorders>
            <w:shd w:val="clear" w:color="auto" w:fill="A6A6A6" w:themeFill="background1" w:themeFillShade="A6"/>
            <w:tcMar>
              <w:top w:w="0" w:type="dxa"/>
              <w:left w:w="0" w:type="dxa"/>
              <w:bottom w:w="0" w:type="dxa"/>
              <w:right w:w="0" w:type="dxa"/>
            </w:tcMar>
            <w:vAlign w:val="center"/>
          </w:tcPr>
          <w:p w:rsidR="00BA318D" w:rsidRPr="0099428A" w:rsidRDefault="00BA318D" w:rsidP="00E77E4E">
            <w:pPr>
              <w:suppressAutoHyphens/>
              <w:autoSpaceDE w:val="0"/>
              <w:autoSpaceDN w:val="0"/>
              <w:adjustRightInd w:val="0"/>
              <w:jc w:val="center"/>
              <w:textAlignment w:val="center"/>
              <w:rPr>
                <w:b/>
                <w:bCs/>
                <w:color w:val="000000"/>
                <w:sz w:val="20"/>
                <w:szCs w:val="20"/>
              </w:rPr>
            </w:pPr>
            <w:r w:rsidRPr="0099428A">
              <w:rPr>
                <w:b/>
                <w:bCs/>
                <w:color w:val="000000"/>
                <w:sz w:val="20"/>
                <w:szCs w:val="20"/>
              </w:rPr>
              <w:t>STRATEGY #</w:t>
            </w:r>
            <w:r>
              <w:rPr>
                <w:b/>
                <w:bCs/>
                <w:color w:val="000000"/>
                <w:sz w:val="20"/>
                <w:szCs w:val="20"/>
              </w:rPr>
              <w:t>1</w:t>
            </w:r>
            <w:r w:rsidRPr="0099428A">
              <w:rPr>
                <w:b/>
                <w:bCs/>
                <w:color w:val="000000"/>
                <w:sz w:val="20"/>
                <w:szCs w:val="20"/>
              </w:rPr>
              <w:t>:</w:t>
            </w:r>
          </w:p>
          <w:p w:rsidR="00BA318D" w:rsidRPr="0099428A" w:rsidRDefault="00BA318D" w:rsidP="00E77E4E">
            <w:pPr>
              <w:suppressAutoHyphens/>
              <w:autoSpaceDE w:val="0"/>
              <w:autoSpaceDN w:val="0"/>
              <w:adjustRightInd w:val="0"/>
              <w:jc w:val="center"/>
              <w:textAlignment w:val="center"/>
              <w:rPr>
                <w:b/>
                <w:bCs/>
                <w:color w:val="000000"/>
                <w:sz w:val="20"/>
                <w:szCs w:val="20"/>
              </w:rPr>
            </w:pPr>
            <w:r w:rsidRPr="0099428A">
              <w:rPr>
                <w:b/>
                <w:bCs/>
                <w:color w:val="000000"/>
                <w:sz w:val="20"/>
                <w:szCs w:val="20"/>
              </w:rPr>
              <w:t>PROMOTE COST EFFICIENCIES</w:t>
            </w:r>
          </w:p>
        </w:tc>
      </w:tr>
      <w:tr w:rsidR="00BA318D" w:rsidRPr="0099428A" w:rsidTr="00E77E4E">
        <w:trPr>
          <w:trHeight w:val="476"/>
          <w:jc w:val="center"/>
        </w:trPr>
        <w:tc>
          <w:tcPr>
            <w:tcW w:w="5000" w:type="pct"/>
            <w:gridSpan w:val="6"/>
            <w:tcBorders>
              <w:top w:val="single" w:sz="4" w:space="0" w:color="auto"/>
            </w:tcBorders>
            <w:shd w:val="clear" w:color="auto" w:fill="A6A6A6" w:themeFill="background1" w:themeFillShade="A6"/>
            <w:tcMar>
              <w:top w:w="0" w:type="dxa"/>
              <w:left w:w="0" w:type="dxa"/>
              <w:bottom w:w="0" w:type="dxa"/>
              <w:right w:w="0" w:type="dxa"/>
            </w:tcMar>
            <w:vAlign w:val="center"/>
          </w:tcPr>
          <w:p w:rsidR="00BA318D" w:rsidRPr="0099428A" w:rsidRDefault="00BA318D" w:rsidP="00E77E4E">
            <w:pPr>
              <w:suppressAutoHyphens/>
              <w:autoSpaceDE w:val="0"/>
              <w:autoSpaceDN w:val="0"/>
              <w:adjustRightInd w:val="0"/>
              <w:textAlignment w:val="center"/>
              <w:rPr>
                <w:b/>
                <w:bCs/>
                <w:color w:val="000000"/>
                <w:sz w:val="20"/>
                <w:szCs w:val="20"/>
              </w:rPr>
            </w:pPr>
            <w:r w:rsidRPr="0099428A">
              <w:rPr>
                <w:b/>
                <w:bCs/>
                <w:color w:val="000000"/>
                <w:sz w:val="20"/>
                <w:szCs w:val="20"/>
              </w:rPr>
              <w:t xml:space="preserve">  Action Step #1:  Study Alternate Ways to Lower Costs</w:t>
            </w:r>
          </w:p>
        </w:tc>
      </w:tr>
      <w:tr w:rsidR="00BA318D" w:rsidRPr="0099428A" w:rsidTr="00E77E4E">
        <w:trPr>
          <w:trHeight w:val="530"/>
          <w:jc w:val="center"/>
        </w:trPr>
        <w:tc>
          <w:tcPr>
            <w:tcW w:w="1720" w:type="pct"/>
            <w:gridSpan w:val="2"/>
            <w:shd w:val="clear" w:color="auto" w:fill="A6A6A6" w:themeFill="background1" w:themeFillShade="A6"/>
            <w:tcMar>
              <w:top w:w="0" w:type="dxa"/>
              <w:left w:w="0" w:type="dxa"/>
              <w:bottom w:w="0" w:type="dxa"/>
              <w:right w:w="0" w:type="dxa"/>
            </w:tcMar>
            <w:vAlign w:val="center"/>
          </w:tcPr>
          <w:p w:rsidR="00BA318D" w:rsidRPr="0099428A" w:rsidRDefault="00BA318D" w:rsidP="00E77E4E">
            <w:pPr>
              <w:suppressAutoHyphens/>
              <w:autoSpaceDE w:val="0"/>
              <w:autoSpaceDN w:val="0"/>
              <w:adjustRightInd w:val="0"/>
              <w:jc w:val="center"/>
              <w:textAlignment w:val="center"/>
              <w:rPr>
                <w:b/>
                <w:bCs/>
                <w:color w:val="000000"/>
                <w:sz w:val="20"/>
                <w:szCs w:val="20"/>
              </w:rPr>
            </w:pPr>
            <w:r w:rsidRPr="0099428A">
              <w:rPr>
                <w:b/>
                <w:bCs/>
                <w:color w:val="000000"/>
                <w:sz w:val="20"/>
                <w:szCs w:val="20"/>
              </w:rPr>
              <w:t>Tasks</w:t>
            </w:r>
          </w:p>
        </w:tc>
        <w:tc>
          <w:tcPr>
            <w:tcW w:w="1228" w:type="pct"/>
            <w:gridSpan w:val="2"/>
            <w:shd w:val="clear" w:color="auto" w:fill="A6A6A6" w:themeFill="background1" w:themeFillShade="A6"/>
            <w:tcMar>
              <w:top w:w="0" w:type="dxa"/>
              <w:left w:w="0" w:type="dxa"/>
              <w:bottom w:w="0" w:type="dxa"/>
              <w:right w:w="0" w:type="dxa"/>
            </w:tcMar>
            <w:vAlign w:val="center"/>
          </w:tcPr>
          <w:p w:rsidR="00BA318D" w:rsidRPr="0099428A" w:rsidRDefault="00BA318D" w:rsidP="00E77E4E">
            <w:pPr>
              <w:suppressAutoHyphens/>
              <w:autoSpaceDE w:val="0"/>
              <w:autoSpaceDN w:val="0"/>
              <w:adjustRightInd w:val="0"/>
              <w:jc w:val="center"/>
              <w:textAlignment w:val="center"/>
              <w:rPr>
                <w:b/>
                <w:bCs/>
                <w:color w:val="000000"/>
                <w:sz w:val="20"/>
                <w:szCs w:val="20"/>
              </w:rPr>
            </w:pPr>
            <w:r w:rsidRPr="0099428A">
              <w:rPr>
                <w:b/>
                <w:bCs/>
                <w:color w:val="000000"/>
                <w:sz w:val="20"/>
                <w:szCs w:val="20"/>
              </w:rPr>
              <w:t>Required Approvals</w:t>
            </w:r>
          </w:p>
        </w:tc>
        <w:tc>
          <w:tcPr>
            <w:tcW w:w="1448" w:type="pct"/>
            <w:shd w:val="clear" w:color="auto" w:fill="A6A6A6" w:themeFill="background1" w:themeFillShade="A6"/>
            <w:tcMar>
              <w:top w:w="0" w:type="dxa"/>
              <w:left w:w="0" w:type="dxa"/>
              <w:bottom w:w="0" w:type="dxa"/>
              <w:right w:w="0" w:type="dxa"/>
            </w:tcMar>
            <w:vAlign w:val="center"/>
          </w:tcPr>
          <w:p w:rsidR="00BA318D" w:rsidRPr="0099428A" w:rsidRDefault="00BA318D" w:rsidP="00E77E4E">
            <w:pPr>
              <w:suppressAutoHyphens/>
              <w:autoSpaceDE w:val="0"/>
              <w:autoSpaceDN w:val="0"/>
              <w:adjustRightInd w:val="0"/>
              <w:jc w:val="center"/>
              <w:textAlignment w:val="center"/>
              <w:rPr>
                <w:b/>
                <w:bCs/>
                <w:color w:val="000000"/>
                <w:sz w:val="20"/>
                <w:szCs w:val="20"/>
              </w:rPr>
            </w:pPr>
            <w:r w:rsidRPr="0099428A">
              <w:rPr>
                <w:b/>
                <w:bCs/>
                <w:color w:val="000000"/>
                <w:sz w:val="20"/>
                <w:szCs w:val="20"/>
              </w:rPr>
              <w:t>Measurable Outcome(s)</w:t>
            </w:r>
          </w:p>
        </w:tc>
        <w:tc>
          <w:tcPr>
            <w:tcW w:w="604" w:type="pct"/>
            <w:shd w:val="clear" w:color="auto" w:fill="A6A6A6" w:themeFill="background1" w:themeFillShade="A6"/>
            <w:tcMar>
              <w:top w:w="0" w:type="dxa"/>
              <w:left w:w="0" w:type="dxa"/>
              <w:bottom w:w="0" w:type="dxa"/>
              <w:right w:w="0" w:type="dxa"/>
            </w:tcMar>
            <w:vAlign w:val="center"/>
          </w:tcPr>
          <w:p w:rsidR="00BA318D" w:rsidRPr="0099428A" w:rsidRDefault="00BA318D" w:rsidP="00E77E4E">
            <w:pPr>
              <w:suppressAutoHyphens/>
              <w:autoSpaceDE w:val="0"/>
              <w:autoSpaceDN w:val="0"/>
              <w:adjustRightInd w:val="0"/>
              <w:jc w:val="center"/>
              <w:textAlignment w:val="center"/>
              <w:rPr>
                <w:b/>
                <w:bCs/>
                <w:color w:val="000000"/>
                <w:sz w:val="20"/>
                <w:szCs w:val="20"/>
                <w:u w:color="000000"/>
              </w:rPr>
            </w:pPr>
            <w:r w:rsidRPr="0099428A">
              <w:rPr>
                <w:b/>
                <w:bCs/>
                <w:color w:val="000000"/>
                <w:sz w:val="20"/>
                <w:szCs w:val="20"/>
                <w:u w:color="000000"/>
              </w:rPr>
              <w:t>Target Completion Date(s)</w:t>
            </w:r>
          </w:p>
        </w:tc>
      </w:tr>
      <w:tr w:rsidR="00BA318D" w:rsidRPr="0099428A" w:rsidTr="00E77E4E">
        <w:trPr>
          <w:trHeight w:val="656"/>
          <w:jc w:val="center"/>
        </w:trPr>
        <w:tc>
          <w:tcPr>
            <w:tcW w:w="1720" w:type="pct"/>
            <w:gridSpan w:val="2"/>
            <w:vMerge w:val="restart"/>
            <w:shd w:val="clear" w:color="auto" w:fill="auto"/>
            <w:tcMar>
              <w:top w:w="90" w:type="dxa"/>
              <w:left w:w="90" w:type="dxa"/>
              <w:bottom w:w="90" w:type="dxa"/>
              <w:right w:w="90" w:type="dxa"/>
            </w:tcMar>
          </w:tcPr>
          <w:p w:rsidR="00BA318D" w:rsidRPr="0099428A" w:rsidRDefault="00BA318D" w:rsidP="00E77E4E">
            <w:pPr>
              <w:numPr>
                <w:ilvl w:val="0"/>
                <w:numId w:val="3"/>
              </w:numPr>
              <w:suppressAutoHyphens/>
              <w:autoSpaceDE w:val="0"/>
              <w:autoSpaceDN w:val="0"/>
              <w:adjustRightInd w:val="0"/>
              <w:spacing w:after="200" w:line="276" w:lineRule="auto"/>
              <w:textAlignment w:val="center"/>
              <w:rPr>
                <w:color w:val="000000"/>
                <w:sz w:val="20"/>
                <w:szCs w:val="20"/>
              </w:rPr>
            </w:pPr>
            <w:r w:rsidRPr="0099428A">
              <w:rPr>
                <w:color w:val="000000"/>
                <w:sz w:val="20"/>
                <w:szCs w:val="20"/>
              </w:rPr>
              <w:t>Identify best practices in use by other jurisdictions</w:t>
            </w:r>
          </w:p>
          <w:p w:rsidR="00BA318D" w:rsidRPr="0099428A" w:rsidRDefault="00BA318D" w:rsidP="00E77E4E">
            <w:pPr>
              <w:suppressAutoHyphens/>
              <w:autoSpaceDE w:val="0"/>
              <w:autoSpaceDN w:val="0"/>
              <w:adjustRightInd w:val="0"/>
              <w:textAlignment w:val="center"/>
              <w:rPr>
                <w:color w:val="000000"/>
                <w:sz w:val="20"/>
                <w:szCs w:val="20"/>
              </w:rPr>
            </w:pPr>
          </w:p>
        </w:tc>
        <w:tc>
          <w:tcPr>
            <w:tcW w:w="659" w:type="pct"/>
            <w:shd w:val="clear" w:color="auto" w:fill="auto"/>
            <w:tcMar>
              <w:top w:w="90" w:type="dxa"/>
              <w:left w:w="90" w:type="dxa"/>
              <w:bottom w:w="90" w:type="dxa"/>
              <w:right w:w="90" w:type="dxa"/>
            </w:tcMar>
            <w:vAlign w:val="center"/>
          </w:tcPr>
          <w:p w:rsidR="00BA318D" w:rsidRPr="0099428A" w:rsidRDefault="00BA318D" w:rsidP="00E77E4E">
            <w:pPr>
              <w:suppressAutoHyphens/>
              <w:autoSpaceDE w:val="0"/>
              <w:autoSpaceDN w:val="0"/>
              <w:adjustRightInd w:val="0"/>
              <w:jc w:val="center"/>
              <w:textAlignment w:val="center"/>
              <w:rPr>
                <w:color w:val="000000"/>
                <w:sz w:val="20"/>
                <w:szCs w:val="20"/>
              </w:rPr>
            </w:pPr>
            <w:r w:rsidRPr="0099428A">
              <w:rPr>
                <w:color w:val="000000"/>
                <w:sz w:val="20"/>
                <w:szCs w:val="20"/>
              </w:rPr>
              <w:t>Local</w:t>
            </w:r>
          </w:p>
        </w:tc>
        <w:tc>
          <w:tcPr>
            <w:tcW w:w="569" w:type="pct"/>
            <w:shd w:val="clear" w:color="auto" w:fill="auto"/>
            <w:vAlign w:val="center"/>
          </w:tcPr>
          <w:p w:rsidR="00BA318D" w:rsidRPr="0099428A" w:rsidRDefault="00BA318D" w:rsidP="00E77E4E">
            <w:pPr>
              <w:suppressAutoHyphens/>
              <w:autoSpaceDE w:val="0"/>
              <w:autoSpaceDN w:val="0"/>
              <w:adjustRightInd w:val="0"/>
              <w:jc w:val="center"/>
              <w:textAlignment w:val="center"/>
              <w:rPr>
                <w:color w:val="000000"/>
                <w:sz w:val="20"/>
                <w:szCs w:val="20"/>
              </w:rPr>
            </w:pPr>
            <w:r>
              <w:rPr>
                <w:color w:val="000000"/>
                <w:sz w:val="20"/>
                <w:szCs w:val="20"/>
              </w:rPr>
              <w:t>X</w:t>
            </w:r>
          </w:p>
        </w:tc>
        <w:tc>
          <w:tcPr>
            <w:tcW w:w="1448" w:type="pct"/>
            <w:vMerge w:val="restart"/>
            <w:shd w:val="clear" w:color="auto" w:fill="auto"/>
            <w:tcMar>
              <w:top w:w="90" w:type="dxa"/>
              <w:left w:w="90" w:type="dxa"/>
              <w:bottom w:w="90" w:type="dxa"/>
              <w:right w:w="90" w:type="dxa"/>
            </w:tcMar>
          </w:tcPr>
          <w:p w:rsidR="00BA318D" w:rsidRPr="0099428A" w:rsidRDefault="00BA318D" w:rsidP="00E77E4E">
            <w:pPr>
              <w:numPr>
                <w:ilvl w:val="0"/>
                <w:numId w:val="3"/>
              </w:numPr>
              <w:suppressAutoHyphens/>
              <w:autoSpaceDE w:val="0"/>
              <w:autoSpaceDN w:val="0"/>
              <w:adjustRightInd w:val="0"/>
              <w:spacing w:after="200" w:line="276" w:lineRule="auto"/>
              <w:textAlignment w:val="center"/>
              <w:rPr>
                <w:color w:val="000000"/>
                <w:sz w:val="20"/>
                <w:szCs w:val="20"/>
              </w:rPr>
            </w:pPr>
            <w:r w:rsidRPr="0099428A">
              <w:rPr>
                <w:color w:val="000000"/>
                <w:sz w:val="20"/>
                <w:szCs w:val="20"/>
              </w:rPr>
              <w:t>Recommendations are adopted and implemented</w:t>
            </w:r>
            <w:r>
              <w:rPr>
                <w:color w:val="000000"/>
                <w:sz w:val="20"/>
                <w:szCs w:val="20"/>
              </w:rPr>
              <w:t>.</w:t>
            </w:r>
          </w:p>
        </w:tc>
        <w:tc>
          <w:tcPr>
            <w:tcW w:w="604" w:type="pct"/>
            <w:vMerge w:val="restart"/>
            <w:shd w:val="clear" w:color="auto" w:fill="auto"/>
            <w:tcMar>
              <w:top w:w="90" w:type="dxa"/>
              <w:left w:w="90" w:type="dxa"/>
              <w:bottom w:w="90" w:type="dxa"/>
              <w:right w:w="90" w:type="dxa"/>
            </w:tcMar>
          </w:tcPr>
          <w:p w:rsidR="00BA318D" w:rsidRPr="0099428A" w:rsidRDefault="00BA318D" w:rsidP="00E77E4E">
            <w:pPr>
              <w:suppressAutoHyphens/>
              <w:autoSpaceDE w:val="0"/>
              <w:autoSpaceDN w:val="0"/>
              <w:adjustRightInd w:val="0"/>
              <w:jc w:val="center"/>
              <w:textAlignment w:val="center"/>
              <w:rPr>
                <w:color w:val="000000"/>
                <w:sz w:val="20"/>
                <w:szCs w:val="20"/>
              </w:rPr>
            </w:pPr>
          </w:p>
        </w:tc>
      </w:tr>
      <w:tr w:rsidR="00BA318D" w:rsidRPr="0099428A" w:rsidTr="00E77E4E">
        <w:trPr>
          <w:trHeight w:val="620"/>
          <w:jc w:val="center"/>
        </w:trPr>
        <w:tc>
          <w:tcPr>
            <w:tcW w:w="1720" w:type="pct"/>
            <w:gridSpan w:val="2"/>
            <w:vMerge/>
            <w:shd w:val="clear" w:color="auto" w:fill="auto"/>
            <w:tcMar>
              <w:top w:w="90" w:type="dxa"/>
              <w:left w:w="90" w:type="dxa"/>
              <w:bottom w:w="90" w:type="dxa"/>
              <w:right w:w="90" w:type="dxa"/>
            </w:tcMar>
          </w:tcPr>
          <w:p w:rsidR="00BA318D" w:rsidRPr="0099428A" w:rsidRDefault="00BA318D" w:rsidP="00E77E4E">
            <w:pPr>
              <w:numPr>
                <w:ilvl w:val="0"/>
                <w:numId w:val="3"/>
              </w:numPr>
              <w:suppressAutoHyphens/>
              <w:autoSpaceDE w:val="0"/>
              <w:autoSpaceDN w:val="0"/>
              <w:adjustRightInd w:val="0"/>
              <w:spacing w:after="200" w:line="276" w:lineRule="auto"/>
              <w:textAlignment w:val="center"/>
              <w:rPr>
                <w:color w:val="000000"/>
                <w:sz w:val="20"/>
                <w:szCs w:val="20"/>
              </w:rPr>
            </w:pPr>
          </w:p>
        </w:tc>
        <w:tc>
          <w:tcPr>
            <w:tcW w:w="659" w:type="pct"/>
            <w:shd w:val="clear" w:color="auto" w:fill="auto"/>
            <w:tcMar>
              <w:top w:w="90" w:type="dxa"/>
              <w:left w:w="90" w:type="dxa"/>
              <w:bottom w:w="90" w:type="dxa"/>
              <w:right w:w="90" w:type="dxa"/>
            </w:tcMar>
            <w:vAlign w:val="center"/>
          </w:tcPr>
          <w:p w:rsidR="00BA318D" w:rsidRPr="0099428A" w:rsidRDefault="00BA318D" w:rsidP="00E77E4E">
            <w:pPr>
              <w:suppressAutoHyphens/>
              <w:autoSpaceDE w:val="0"/>
              <w:autoSpaceDN w:val="0"/>
              <w:adjustRightInd w:val="0"/>
              <w:jc w:val="center"/>
              <w:textAlignment w:val="center"/>
              <w:rPr>
                <w:color w:val="000000"/>
                <w:sz w:val="20"/>
                <w:szCs w:val="20"/>
              </w:rPr>
            </w:pPr>
            <w:r w:rsidRPr="0099428A">
              <w:rPr>
                <w:color w:val="000000"/>
                <w:sz w:val="20"/>
                <w:szCs w:val="20"/>
              </w:rPr>
              <w:t>State</w:t>
            </w:r>
          </w:p>
        </w:tc>
        <w:tc>
          <w:tcPr>
            <w:tcW w:w="569" w:type="pct"/>
            <w:shd w:val="clear" w:color="auto" w:fill="auto"/>
            <w:vAlign w:val="center"/>
          </w:tcPr>
          <w:p w:rsidR="00BA318D" w:rsidRPr="0099428A" w:rsidRDefault="00BA318D" w:rsidP="00E77E4E">
            <w:pPr>
              <w:suppressAutoHyphens/>
              <w:autoSpaceDE w:val="0"/>
              <w:autoSpaceDN w:val="0"/>
              <w:adjustRightInd w:val="0"/>
              <w:jc w:val="center"/>
              <w:textAlignment w:val="center"/>
              <w:rPr>
                <w:color w:val="000000"/>
                <w:sz w:val="20"/>
                <w:szCs w:val="20"/>
              </w:rPr>
            </w:pPr>
          </w:p>
        </w:tc>
        <w:tc>
          <w:tcPr>
            <w:tcW w:w="1448" w:type="pct"/>
            <w:vMerge/>
            <w:shd w:val="clear" w:color="auto" w:fill="auto"/>
            <w:tcMar>
              <w:top w:w="90" w:type="dxa"/>
              <w:left w:w="90" w:type="dxa"/>
              <w:bottom w:w="90" w:type="dxa"/>
              <w:right w:w="90" w:type="dxa"/>
            </w:tcMar>
          </w:tcPr>
          <w:p w:rsidR="00BA318D" w:rsidRPr="0099428A" w:rsidRDefault="00BA318D" w:rsidP="00E77E4E">
            <w:pPr>
              <w:numPr>
                <w:ilvl w:val="0"/>
                <w:numId w:val="3"/>
              </w:numPr>
              <w:suppressAutoHyphens/>
              <w:autoSpaceDE w:val="0"/>
              <w:autoSpaceDN w:val="0"/>
              <w:adjustRightInd w:val="0"/>
              <w:spacing w:after="200" w:line="276" w:lineRule="auto"/>
              <w:textAlignment w:val="center"/>
              <w:rPr>
                <w:color w:val="000000"/>
                <w:sz w:val="20"/>
                <w:szCs w:val="20"/>
              </w:rPr>
            </w:pPr>
          </w:p>
        </w:tc>
        <w:tc>
          <w:tcPr>
            <w:tcW w:w="604" w:type="pct"/>
            <w:vMerge/>
            <w:shd w:val="clear" w:color="auto" w:fill="auto"/>
            <w:tcMar>
              <w:top w:w="90" w:type="dxa"/>
              <w:left w:w="90" w:type="dxa"/>
              <w:bottom w:w="90" w:type="dxa"/>
              <w:right w:w="90" w:type="dxa"/>
            </w:tcMar>
          </w:tcPr>
          <w:p w:rsidR="00BA318D" w:rsidRPr="0099428A" w:rsidRDefault="00BA318D" w:rsidP="00E77E4E">
            <w:pPr>
              <w:suppressAutoHyphens/>
              <w:autoSpaceDE w:val="0"/>
              <w:autoSpaceDN w:val="0"/>
              <w:adjustRightInd w:val="0"/>
              <w:jc w:val="center"/>
              <w:textAlignment w:val="center"/>
              <w:rPr>
                <w:color w:val="000000"/>
                <w:sz w:val="20"/>
                <w:szCs w:val="20"/>
              </w:rPr>
            </w:pPr>
          </w:p>
        </w:tc>
      </w:tr>
      <w:tr w:rsidR="00BA318D" w:rsidRPr="0099428A" w:rsidTr="00E77E4E">
        <w:trPr>
          <w:trHeight w:val="539"/>
          <w:jc w:val="center"/>
        </w:trPr>
        <w:tc>
          <w:tcPr>
            <w:tcW w:w="1720" w:type="pct"/>
            <w:gridSpan w:val="2"/>
            <w:vMerge/>
            <w:shd w:val="clear" w:color="auto" w:fill="auto"/>
            <w:tcMar>
              <w:top w:w="90" w:type="dxa"/>
              <w:left w:w="90" w:type="dxa"/>
              <w:bottom w:w="90" w:type="dxa"/>
              <w:right w:w="90" w:type="dxa"/>
            </w:tcMar>
          </w:tcPr>
          <w:p w:rsidR="00BA318D" w:rsidRPr="0099428A" w:rsidRDefault="00BA318D" w:rsidP="00E77E4E">
            <w:pPr>
              <w:numPr>
                <w:ilvl w:val="0"/>
                <w:numId w:val="3"/>
              </w:numPr>
              <w:suppressAutoHyphens/>
              <w:autoSpaceDE w:val="0"/>
              <w:autoSpaceDN w:val="0"/>
              <w:adjustRightInd w:val="0"/>
              <w:spacing w:after="200" w:line="276" w:lineRule="auto"/>
              <w:textAlignment w:val="center"/>
              <w:rPr>
                <w:color w:val="000000"/>
                <w:sz w:val="20"/>
                <w:szCs w:val="20"/>
              </w:rPr>
            </w:pPr>
          </w:p>
        </w:tc>
        <w:tc>
          <w:tcPr>
            <w:tcW w:w="659" w:type="pct"/>
            <w:shd w:val="clear" w:color="auto" w:fill="auto"/>
            <w:tcMar>
              <w:top w:w="90" w:type="dxa"/>
              <w:left w:w="90" w:type="dxa"/>
              <w:bottom w:w="90" w:type="dxa"/>
              <w:right w:w="90" w:type="dxa"/>
            </w:tcMar>
            <w:vAlign w:val="center"/>
          </w:tcPr>
          <w:p w:rsidR="00BA318D" w:rsidRPr="0099428A" w:rsidRDefault="00BA318D" w:rsidP="00E77E4E">
            <w:pPr>
              <w:suppressAutoHyphens/>
              <w:autoSpaceDE w:val="0"/>
              <w:autoSpaceDN w:val="0"/>
              <w:adjustRightInd w:val="0"/>
              <w:jc w:val="center"/>
              <w:textAlignment w:val="center"/>
              <w:rPr>
                <w:color w:val="000000"/>
                <w:sz w:val="20"/>
                <w:szCs w:val="20"/>
              </w:rPr>
            </w:pPr>
            <w:r w:rsidRPr="0099428A">
              <w:rPr>
                <w:color w:val="000000"/>
                <w:sz w:val="20"/>
                <w:szCs w:val="20"/>
              </w:rPr>
              <w:t>Voter</w:t>
            </w:r>
          </w:p>
        </w:tc>
        <w:tc>
          <w:tcPr>
            <w:tcW w:w="569" w:type="pct"/>
            <w:shd w:val="clear" w:color="auto" w:fill="auto"/>
            <w:vAlign w:val="center"/>
          </w:tcPr>
          <w:p w:rsidR="00BA318D" w:rsidRPr="0099428A" w:rsidRDefault="00BA318D" w:rsidP="00E77E4E">
            <w:pPr>
              <w:suppressAutoHyphens/>
              <w:autoSpaceDE w:val="0"/>
              <w:autoSpaceDN w:val="0"/>
              <w:adjustRightInd w:val="0"/>
              <w:jc w:val="center"/>
              <w:textAlignment w:val="center"/>
              <w:rPr>
                <w:color w:val="000000"/>
                <w:sz w:val="20"/>
                <w:szCs w:val="20"/>
              </w:rPr>
            </w:pPr>
          </w:p>
        </w:tc>
        <w:tc>
          <w:tcPr>
            <w:tcW w:w="1448" w:type="pct"/>
            <w:vMerge/>
            <w:shd w:val="clear" w:color="auto" w:fill="auto"/>
            <w:tcMar>
              <w:top w:w="90" w:type="dxa"/>
              <w:left w:w="90" w:type="dxa"/>
              <w:bottom w:w="90" w:type="dxa"/>
              <w:right w:w="90" w:type="dxa"/>
            </w:tcMar>
          </w:tcPr>
          <w:p w:rsidR="00BA318D" w:rsidRPr="0099428A" w:rsidRDefault="00BA318D" w:rsidP="00E77E4E">
            <w:pPr>
              <w:numPr>
                <w:ilvl w:val="0"/>
                <w:numId w:val="3"/>
              </w:numPr>
              <w:suppressAutoHyphens/>
              <w:autoSpaceDE w:val="0"/>
              <w:autoSpaceDN w:val="0"/>
              <w:adjustRightInd w:val="0"/>
              <w:spacing w:after="200" w:line="276" w:lineRule="auto"/>
              <w:textAlignment w:val="center"/>
              <w:rPr>
                <w:color w:val="000000"/>
                <w:sz w:val="20"/>
                <w:szCs w:val="20"/>
              </w:rPr>
            </w:pPr>
          </w:p>
        </w:tc>
        <w:tc>
          <w:tcPr>
            <w:tcW w:w="604" w:type="pct"/>
            <w:vMerge/>
            <w:shd w:val="clear" w:color="auto" w:fill="auto"/>
            <w:tcMar>
              <w:top w:w="90" w:type="dxa"/>
              <w:left w:w="90" w:type="dxa"/>
              <w:bottom w:w="90" w:type="dxa"/>
              <w:right w:w="90" w:type="dxa"/>
            </w:tcMar>
          </w:tcPr>
          <w:p w:rsidR="00BA318D" w:rsidRPr="0099428A" w:rsidRDefault="00BA318D" w:rsidP="00E77E4E">
            <w:pPr>
              <w:suppressAutoHyphens/>
              <w:autoSpaceDE w:val="0"/>
              <w:autoSpaceDN w:val="0"/>
              <w:adjustRightInd w:val="0"/>
              <w:jc w:val="center"/>
              <w:textAlignment w:val="center"/>
              <w:rPr>
                <w:color w:val="000000"/>
                <w:sz w:val="20"/>
                <w:szCs w:val="20"/>
              </w:rPr>
            </w:pPr>
          </w:p>
        </w:tc>
      </w:tr>
      <w:tr w:rsidR="00BA318D" w:rsidRPr="0099428A" w:rsidTr="00E77E4E">
        <w:trPr>
          <w:trHeight w:val="548"/>
          <w:jc w:val="center"/>
        </w:trPr>
        <w:tc>
          <w:tcPr>
            <w:tcW w:w="1720" w:type="pct"/>
            <w:gridSpan w:val="2"/>
            <w:vMerge w:val="restart"/>
            <w:shd w:val="clear" w:color="auto" w:fill="auto"/>
            <w:tcMar>
              <w:top w:w="90" w:type="dxa"/>
              <w:left w:w="90" w:type="dxa"/>
              <w:bottom w:w="90" w:type="dxa"/>
              <w:right w:w="90" w:type="dxa"/>
            </w:tcMar>
          </w:tcPr>
          <w:p w:rsidR="00BA318D" w:rsidRPr="0099428A" w:rsidRDefault="00BA318D" w:rsidP="00E77E4E">
            <w:pPr>
              <w:numPr>
                <w:ilvl w:val="0"/>
                <w:numId w:val="3"/>
              </w:numPr>
              <w:suppressAutoHyphens/>
              <w:autoSpaceDE w:val="0"/>
              <w:autoSpaceDN w:val="0"/>
              <w:adjustRightInd w:val="0"/>
              <w:spacing w:after="200" w:line="276" w:lineRule="auto"/>
              <w:textAlignment w:val="center"/>
              <w:rPr>
                <w:color w:val="000000"/>
                <w:sz w:val="20"/>
                <w:szCs w:val="20"/>
              </w:rPr>
            </w:pPr>
            <w:r w:rsidRPr="0099428A">
              <w:rPr>
                <w:color w:val="000000"/>
                <w:sz w:val="20"/>
                <w:szCs w:val="20"/>
              </w:rPr>
              <w:t>Research off-site, pre-fabricated, modular construction</w:t>
            </w:r>
          </w:p>
        </w:tc>
        <w:tc>
          <w:tcPr>
            <w:tcW w:w="659" w:type="pct"/>
            <w:shd w:val="clear" w:color="auto" w:fill="auto"/>
            <w:tcMar>
              <w:top w:w="90" w:type="dxa"/>
              <w:left w:w="90" w:type="dxa"/>
              <w:bottom w:w="90" w:type="dxa"/>
              <w:right w:w="90" w:type="dxa"/>
            </w:tcMar>
            <w:vAlign w:val="center"/>
          </w:tcPr>
          <w:p w:rsidR="00BA318D" w:rsidRPr="0099428A" w:rsidRDefault="00BA318D" w:rsidP="00E77E4E">
            <w:pPr>
              <w:suppressAutoHyphens/>
              <w:autoSpaceDE w:val="0"/>
              <w:autoSpaceDN w:val="0"/>
              <w:adjustRightInd w:val="0"/>
              <w:jc w:val="center"/>
              <w:textAlignment w:val="center"/>
              <w:rPr>
                <w:color w:val="000000"/>
                <w:sz w:val="20"/>
                <w:szCs w:val="20"/>
              </w:rPr>
            </w:pPr>
            <w:r w:rsidRPr="0099428A">
              <w:rPr>
                <w:color w:val="000000"/>
                <w:sz w:val="20"/>
                <w:szCs w:val="20"/>
              </w:rPr>
              <w:t>Local</w:t>
            </w:r>
          </w:p>
        </w:tc>
        <w:tc>
          <w:tcPr>
            <w:tcW w:w="569" w:type="pct"/>
            <w:shd w:val="clear" w:color="auto" w:fill="auto"/>
            <w:vAlign w:val="center"/>
          </w:tcPr>
          <w:p w:rsidR="00BA318D" w:rsidRPr="0099428A" w:rsidRDefault="00BA318D" w:rsidP="00E77E4E">
            <w:pPr>
              <w:suppressAutoHyphens/>
              <w:autoSpaceDE w:val="0"/>
              <w:autoSpaceDN w:val="0"/>
              <w:adjustRightInd w:val="0"/>
              <w:jc w:val="center"/>
              <w:textAlignment w:val="center"/>
              <w:rPr>
                <w:color w:val="000000"/>
                <w:sz w:val="20"/>
                <w:szCs w:val="20"/>
              </w:rPr>
            </w:pPr>
            <w:r>
              <w:rPr>
                <w:color w:val="000000"/>
                <w:sz w:val="20"/>
                <w:szCs w:val="20"/>
              </w:rPr>
              <w:t>X</w:t>
            </w:r>
          </w:p>
        </w:tc>
        <w:tc>
          <w:tcPr>
            <w:tcW w:w="1448" w:type="pct"/>
            <w:vMerge w:val="restart"/>
            <w:shd w:val="clear" w:color="auto" w:fill="auto"/>
            <w:tcMar>
              <w:top w:w="90" w:type="dxa"/>
              <w:left w:w="90" w:type="dxa"/>
              <w:bottom w:w="90" w:type="dxa"/>
              <w:right w:w="90" w:type="dxa"/>
            </w:tcMar>
          </w:tcPr>
          <w:p w:rsidR="00BA318D" w:rsidRPr="0099428A" w:rsidRDefault="00BA318D" w:rsidP="00E77E4E">
            <w:pPr>
              <w:numPr>
                <w:ilvl w:val="0"/>
                <w:numId w:val="3"/>
              </w:numPr>
              <w:suppressAutoHyphens/>
              <w:autoSpaceDE w:val="0"/>
              <w:autoSpaceDN w:val="0"/>
              <w:adjustRightInd w:val="0"/>
              <w:spacing w:after="200" w:line="276" w:lineRule="auto"/>
              <w:textAlignment w:val="center"/>
              <w:rPr>
                <w:color w:val="000000"/>
                <w:sz w:val="20"/>
                <w:szCs w:val="20"/>
              </w:rPr>
            </w:pPr>
            <w:r w:rsidRPr="0099428A">
              <w:rPr>
                <w:color w:val="000000"/>
                <w:sz w:val="20"/>
                <w:szCs w:val="20"/>
              </w:rPr>
              <w:t>NOFA’s prioritize cost efficient strategies including pre-fabricated construction</w:t>
            </w:r>
            <w:r>
              <w:rPr>
                <w:color w:val="000000"/>
                <w:sz w:val="20"/>
                <w:szCs w:val="20"/>
              </w:rPr>
              <w:t>.</w:t>
            </w:r>
          </w:p>
        </w:tc>
        <w:tc>
          <w:tcPr>
            <w:tcW w:w="604" w:type="pct"/>
            <w:vMerge w:val="restart"/>
            <w:shd w:val="clear" w:color="auto" w:fill="auto"/>
            <w:tcMar>
              <w:top w:w="90" w:type="dxa"/>
              <w:left w:w="90" w:type="dxa"/>
              <w:bottom w:w="90" w:type="dxa"/>
              <w:right w:w="90" w:type="dxa"/>
            </w:tcMar>
          </w:tcPr>
          <w:p w:rsidR="00BA318D" w:rsidRPr="0099428A" w:rsidRDefault="00BA318D" w:rsidP="00E77E4E">
            <w:pPr>
              <w:rPr>
                <w:sz w:val="20"/>
                <w:szCs w:val="20"/>
              </w:rPr>
            </w:pPr>
          </w:p>
        </w:tc>
      </w:tr>
      <w:tr w:rsidR="00BA318D" w:rsidRPr="0099428A" w:rsidTr="00E77E4E">
        <w:trPr>
          <w:trHeight w:val="584"/>
          <w:jc w:val="center"/>
        </w:trPr>
        <w:tc>
          <w:tcPr>
            <w:tcW w:w="1720" w:type="pct"/>
            <w:gridSpan w:val="2"/>
            <w:vMerge/>
            <w:shd w:val="clear" w:color="auto" w:fill="auto"/>
            <w:tcMar>
              <w:top w:w="90" w:type="dxa"/>
              <w:left w:w="90" w:type="dxa"/>
              <w:bottom w:w="90" w:type="dxa"/>
              <w:right w:w="90" w:type="dxa"/>
            </w:tcMar>
          </w:tcPr>
          <w:p w:rsidR="00BA318D" w:rsidRPr="0099428A" w:rsidRDefault="00BA318D" w:rsidP="00E77E4E">
            <w:pPr>
              <w:numPr>
                <w:ilvl w:val="0"/>
                <w:numId w:val="3"/>
              </w:numPr>
              <w:suppressAutoHyphens/>
              <w:autoSpaceDE w:val="0"/>
              <w:autoSpaceDN w:val="0"/>
              <w:adjustRightInd w:val="0"/>
              <w:spacing w:after="200" w:line="276" w:lineRule="auto"/>
              <w:textAlignment w:val="center"/>
              <w:rPr>
                <w:color w:val="000000"/>
                <w:sz w:val="20"/>
                <w:szCs w:val="20"/>
              </w:rPr>
            </w:pPr>
          </w:p>
        </w:tc>
        <w:tc>
          <w:tcPr>
            <w:tcW w:w="659" w:type="pct"/>
            <w:shd w:val="clear" w:color="auto" w:fill="auto"/>
            <w:tcMar>
              <w:top w:w="90" w:type="dxa"/>
              <w:left w:w="90" w:type="dxa"/>
              <w:bottom w:w="90" w:type="dxa"/>
              <w:right w:w="90" w:type="dxa"/>
            </w:tcMar>
            <w:vAlign w:val="center"/>
          </w:tcPr>
          <w:p w:rsidR="00BA318D" w:rsidRPr="0099428A" w:rsidRDefault="00BA318D" w:rsidP="00E77E4E">
            <w:pPr>
              <w:suppressAutoHyphens/>
              <w:autoSpaceDE w:val="0"/>
              <w:autoSpaceDN w:val="0"/>
              <w:adjustRightInd w:val="0"/>
              <w:jc w:val="center"/>
              <w:textAlignment w:val="center"/>
              <w:rPr>
                <w:color w:val="000000"/>
                <w:sz w:val="20"/>
                <w:szCs w:val="20"/>
              </w:rPr>
            </w:pPr>
            <w:r w:rsidRPr="0099428A">
              <w:rPr>
                <w:color w:val="000000"/>
                <w:sz w:val="20"/>
                <w:szCs w:val="20"/>
              </w:rPr>
              <w:t>State</w:t>
            </w:r>
          </w:p>
        </w:tc>
        <w:tc>
          <w:tcPr>
            <w:tcW w:w="569" w:type="pct"/>
            <w:shd w:val="clear" w:color="auto" w:fill="auto"/>
            <w:vAlign w:val="center"/>
          </w:tcPr>
          <w:p w:rsidR="00BA318D" w:rsidRPr="0099428A" w:rsidRDefault="00BA318D" w:rsidP="00E77E4E">
            <w:pPr>
              <w:suppressAutoHyphens/>
              <w:autoSpaceDE w:val="0"/>
              <w:autoSpaceDN w:val="0"/>
              <w:adjustRightInd w:val="0"/>
              <w:jc w:val="center"/>
              <w:textAlignment w:val="center"/>
              <w:rPr>
                <w:color w:val="000000"/>
                <w:sz w:val="20"/>
                <w:szCs w:val="20"/>
              </w:rPr>
            </w:pPr>
          </w:p>
        </w:tc>
        <w:tc>
          <w:tcPr>
            <w:tcW w:w="1448" w:type="pct"/>
            <w:vMerge/>
            <w:shd w:val="clear" w:color="auto" w:fill="auto"/>
            <w:tcMar>
              <w:top w:w="90" w:type="dxa"/>
              <w:left w:w="90" w:type="dxa"/>
              <w:bottom w:w="90" w:type="dxa"/>
              <w:right w:w="90" w:type="dxa"/>
            </w:tcMar>
          </w:tcPr>
          <w:p w:rsidR="00BA318D" w:rsidRPr="0099428A" w:rsidRDefault="00BA318D" w:rsidP="00E77E4E">
            <w:pPr>
              <w:numPr>
                <w:ilvl w:val="0"/>
                <w:numId w:val="3"/>
              </w:numPr>
              <w:suppressAutoHyphens/>
              <w:autoSpaceDE w:val="0"/>
              <w:autoSpaceDN w:val="0"/>
              <w:adjustRightInd w:val="0"/>
              <w:spacing w:after="200" w:line="276" w:lineRule="auto"/>
              <w:textAlignment w:val="center"/>
              <w:rPr>
                <w:color w:val="000000"/>
                <w:sz w:val="20"/>
                <w:szCs w:val="20"/>
              </w:rPr>
            </w:pPr>
          </w:p>
        </w:tc>
        <w:tc>
          <w:tcPr>
            <w:tcW w:w="604" w:type="pct"/>
            <w:vMerge/>
            <w:shd w:val="clear" w:color="auto" w:fill="auto"/>
            <w:tcMar>
              <w:top w:w="90" w:type="dxa"/>
              <w:left w:w="90" w:type="dxa"/>
              <w:bottom w:w="90" w:type="dxa"/>
              <w:right w:w="90" w:type="dxa"/>
            </w:tcMar>
          </w:tcPr>
          <w:p w:rsidR="00BA318D" w:rsidRPr="0099428A" w:rsidRDefault="00BA318D" w:rsidP="00E77E4E">
            <w:pPr>
              <w:rPr>
                <w:sz w:val="20"/>
                <w:szCs w:val="20"/>
              </w:rPr>
            </w:pPr>
          </w:p>
        </w:tc>
      </w:tr>
      <w:tr w:rsidR="00BA318D" w:rsidRPr="0099428A" w:rsidTr="00E77E4E">
        <w:trPr>
          <w:trHeight w:val="665"/>
          <w:jc w:val="center"/>
        </w:trPr>
        <w:tc>
          <w:tcPr>
            <w:tcW w:w="1720" w:type="pct"/>
            <w:gridSpan w:val="2"/>
            <w:vMerge/>
            <w:shd w:val="clear" w:color="auto" w:fill="auto"/>
            <w:tcMar>
              <w:top w:w="90" w:type="dxa"/>
              <w:left w:w="90" w:type="dxa"/>
              <w:bottom w:w="90" w:type="dxa"/>
              <w:right w:w="90" w:type="dxa"/>
            </w:tcMar>
          </w:tcPr>
          <w:p w:rsidR="00BA318D" w:rsidRPr="0099428A" w:rsidRDefault="00BA318D" w:rsidP="00E77E4E">
            <w:pPr>
              <w:numPr>
                <w:ilvl w:val="0"/>
                <w:numId w:val="3"/>
              </w:numPr>
              <w:suppressAutoHyphens/>
              <w:autoSpaceDE w:val="0"/>
              <w:autoSpaceDN w:val="0"/>
              <w:adjustRightInd w:val="0"/>
              <w:spacing w:after="200" w:line="276" w:lineRule="auto"/>
              <w:textAlignment w:val="center"/>
              <w:rPr>
                <w:color w:val="000000"/>
                <w:sz w:val="20"/>
                <w:szCs w:val="20"/>
              </w:rPr>
            </w:pPr>
          </w:p>
        </w:tc>
        <w:tc>
          <w:tcPr>
            <w:tcW w:w="659" w:type="pct"/>
            <w:shd w:val="clear" w:color="auto" w:fill="auto"/>
            <w:tcMar>
              <w:top w:w="90" w:type="dxa"/>
              <w:left w:w="90" w:type="dxa"/>
              <w:bottom w:w="90" w:type="dxa"/>
              <w:right w:w="90" w:type="dxa"/>
            </w:tcMar>
            <w:vAlign w:val="center"/>
          </w:tcPr>
          <w:p w:rsidR="00BA318D" w:rsidRPr="0099428A" w:rsidRDefault="00BA318D" w:rsidP="00E77E4E">
            <w:pPr>
              <w:suppressAutoHyphens/>
              <w:autoSpaceDE w:val="0"/>
              <w:autoSpaceDN w:val="0"/>
              <w:adjustRightInd w:val="0"/>
              <w:jc w:val="center"/>
              <w:textAlignment w:val="center"/>
              <w:rPr>
                <w:color w:val="000000"/>
                <w:sz w:val="20"/>
                <w:szCs w:val="20"/>
              </w:rPr>
            </w:pPr>
            <w:r w:rsidRPr="0099428A">
              <w:rPr>
                <w:color w:val="000000"/>
                <w:sz w:val="20"/>
                <w:szCs w:val="20"/>
              </w:rPr>
              <w:t>Voter</w:t>
            </w:r>
          </w:p>
        </w:tc>
        <w:tc>
          <w:tcPr>
            <w:tcW w:w="569" w:type="pct"/>
            <w:shd w:val="clear" w:color="auto" w:fill="auto"/>
            <w:vAlign w:val="center"/>
          </w:tcPr>
          <w:p w:rsidR="00BA318D" w:rsidRPr="0099428A" w:rsidRDefault="00BA318D" w:rsidP="00E77E4E">
            <w:pPr>
              <w:suppressAutoHyphens/>
              <w:autoSpaceDE w:val="0"/>
              <w:autoSpaceDN w:val="0"/>
              <w:adjustRightInd w:val="0"/>
              <w:jc w:val="center"/>
              <w:textAlignment w:val="center"/>
              <w:rPr>
                <w:color w:val="000000"/>
                <w:sz w:val="20"/>
                <w:szCs w:val="20"/>
              </w:rPr>
            </w:pPr>
          </w:p>
        </w:tc>
        <w:tc>
          <w:tcPr>
            <w:tcW w:w="1448" w:type="pct"/>
            <w:vMerge/>
            <w:shd w:val="clear" w:color="auto" w:fill="auto"/>
            <w:tcMar>
              <w:top w:w="90" w:type="dxa"/>
              <w:left w:w="90" w:type="dxa"/>
              <w:bottom w:w="90" w:type="dxa"/>
              <w:right w:w="90" w:type="dxa"/>
            </w:tcMar>
          </w:tcPr>
          <w:p w:rsidR="00BA318D" w:rsidRPr="0099428A" w:rsidRDefault="00BA318D" w:rsidP="00E77E4E">
            <w:pPr>
              <w:numPr>
                <w:ilvl w:val="0"/>
                <w:numId w:val="3"/>
              </w:numPr>
              <w:suppressAutoHyphens/>
              <w:autoSpaceDE w:val="0"/>
              <w:autoSpaceDN w:val="0"/>
              <w:adjustRightInd w:val="0"/>
              <w:spacing w:after="200" w:line="276" w:lineRule="auto"/>
              <w:textAlignment w:val="center"/>
              <w:rPr>
                <w:color w:val="000000"/>
                <w:sz w:val="20"/>
                <w:szCs w:val="20"/>
              </w:rPr>
            </w:pPr>
          </w:p>
        </w:tc>
        <w:tc>
          <w:tcPr>
            <w:tcW w:w="604" w:type="pct"/>
            <w:vMerge/>
            <w:shd w:val="clear" w:color="auto" w:fill="auto"/>
            <w:tcMar>
              <w:top w:w="90" w:type="dxa"/>
              <w:left w:w="90" w:type="dxa"/>
              <w:bottom w:w="90" w:type="dxa"/>
              <w:right w:w="90" w:type="dxa"/>
            </w:tcMar>
          </w:tcPr>
          <w:p w:rsidR="00BA318D" w:rsidRPr="0099428A" w:rsidRDefault="00BA318D" w:rsidP="00E77E4E">
            <w:pPr>
              <w:rPr>
                <w:sz w:val="20"/>
                <w:szCs w:val="20"/>
              </w:rPr>
            </w:pPr>
          </w:p>
        </w:tc>
      </w:tr>
      <w:tr w:rsidR="00BA318D" w:rsidRPr="0099428A" w:rsidTr="00E77E4E">
        <w:trPr>
          <w:trHeight w:val="60"/>
          <w:jc w:val="center"/>
        </w:trPr>
        <w:tc>
          <w:tcPr>
            <w:tcW w:w="5000" w:type="pct"/>
            <w:gridSpan w:val="6"/>
            <w:shd w:val="clear" w:color="auto" w:fill="A6A6A6" w:themeFill="background1" w:themeFillShade="A6"/>
            <w:tcMar>
              <w:top w:w="90" w:type="dxa"/>
              <w:left w:w="90" w:type="dxa"/>
              <w:bottom w:w="90" w:type="dxa"/>
              <w:right w:w="90" w:type="dxa"/>
            </w:tcMar>
            <w:vAlign w:val="center"/>
          </w:tcPr>
          <w:p w:rsidR="00BA318D" w:rsidRPr="0099428A" w:rsidRDefault="00BA318D" w:rsidP="00E77E4E">
            <w:pPr>
              <w:autoSpaceDE w:val="0"/>
              <w:autoSpaceDN w:val="0"/>
              <w:adjustRightInd w:val="0"/>
              <w:spacing w:line="288" w:lineRule="auto"/>
              <w:textAlignment w:val="center"/>
              <w:rPr>
                <w:color w:val="000000"/>
                <w:sz w:val="20"/>
                <w:szCs w:val="20"/>
              </w:rPr>
            </w:pPr>
            <w:r w:rsidRPr="0099428A">
              <w:rPr>
                <w:b/>
                <w:bCs/>
                <w:color w:val="000000"/>
                <w:sz w:val="20"/>
                <w:szCs w:val="20"/>
              </w:rPr>
              <w:t>Action Step #2:  Tie Fees to Actual Costs for Affordable Units</w:t>
            </w:r>
          </w:p>
        </w:tc>
      </w:tr>
      <w:tr w:rsidR="00BA318D" w:rsidRPr="0099428A" w:rsidTr="00E77E4E">
        <w:trPr>
          <w:trHeight w:val="60"/>
          <w:jc w:val="center"/>
        </w:trPr>
        <w:tc>
          <w:tcPr>
            <w:tcW w:w="1720" w:type="pct"/>
            <w:gridSpan w:val="2"/>
            <w:shd w:val="clear" w:color="auto" w:fill="A6A6A6" w:themeFill="background1" w:themeFillShade="A6"/>
            <w:tcMar>
              <w:top w:w="90" w:type="dxa"/>
              <w:left w:w="90" w:type="dxa"/>
              <w:bottom w:w="90" w:type="dxa"/>
              <w:right w:w="90" w:type="dxa"/>
            </w:tcMar>
            <w:vAlign w:val="center"/>
          </w:tcPr>
          <w:p w:rsidR="00BA318D" w:rsidRPr="0099428A" w:rsidRDefault="00BA318D" w:rsidP="00E77E4E">
            <w:pPr>
              <w:suppressAutoHyphens/>
              <w:autoSpaceDE w:val="0"/>
              <w:autoSpaceDN w:val="0"/>
              <w:adjustRightInd w:val="0"/>
              <w:jc w:val="center"/>
              <w:textAlignment w:val="center"/>
              <w:rPr>
                <w:b/>
                <w:bCs/>
                <w:color w:val="000000"/>
                <w:sz w:val="20"/>
                <w:szCs w:val="20"/>
              </w:rPr>
            </w:pPr>
            <w:r w:rsidRPr="0099428A">
              <w:rPr>
                <w:b/>
                <w:bCs/>
                <w:color w:val="000000"/>
                <w:sz w:val="20"/>
                <w:szCs w:val="20"/>
              </w:rPr>
              <w:t>Tasks</w:t>
            </w:r>
          </w:p>
        </w:tc>
        <w:tc>
          <w:tcPr>
            <w:tcW w:w="1228" w:type="pct"/>
            <w:gridSpan w:val="2"/>
            <w:shd w:val="clear" w:color="auto" w:fill="A6A6A6" w:themeFill="background1" w:themeFillShade="A6"/>
            <w:tcMar>
              <w:top w:w="90" w:type="dxa"/>
              <w:left w:w="90" w:type="dxa"/>
              <w:bottom w:w="90" w:type="dxa"/>
              <w:right w:w="90" w:type="dxa"/>
            </w:tcMar>
            <w:vAlign w:val="center"/>
          </w:tcPr>
          <w:p w:rsidR="00BA318D" w:rsidRPr="0099428A" w:rsidRDefault="00BA318D" w:rsidP="00E77E4E">
            <w:pPr>
              <w:suppressAutoHyphens/>
              <w:autoSpaceDE w:val="0"/>
              <w:autoSpaceDN w:val="0"/>
              <w:adjustRightInd w:val="0"/>
              <w:jc w:val="center"/>
              <w:textAlignment w:val="center"/>
              <w:rPr>
                <w:b/>
                <w:bCs/>
                <w:color w:val="000000"/>
                <w:sz w:val="20"/>
                <w:szCs w:val="20"/>
              </w:rPr>
            </w:pPr>
            <w:r w:rsidRPr="0099428A">
              <w:rPr>
                <w:b/>
                <w:bCs/>
                <w:color w:val="000000"/>
                <w:sz w:val="20"/>
                <w:szCs w:val="20"/>
              </w:rPr>
              <w:t>Required Approvals</w:t>
            </w:r>
          </w:p>
        </w:tc>
        <w:tc>
          <w:tcPr>
            <w:tcW w:w="1448" w:type="pct"/>
            <w:shd w:val="clear" w:color="auto" w:fill="A6A6A6" w:themeFill="background1" w:themeFillShade="A6"/>
            <w:tcMar>
              <w:top w:w="90" w:type="dxa"/>
              <w:left w:w="90" w:type="dxa"/>
              <w:bottom w:w="90" w:type="dxa"/>
              <w:right w:w="90" w:type="dxa"/>
            </w:tcMar>
            <w:vAlign w:val="center"/>
          </w:tcPr>
          <w:p w:rsidR="00BA318D" w:rsidRPr="0099428A" w:rsidRDefault="00BA318D" w:rsidP="00E77E4E">
            <w:pPr>
              <w:suppressAutoHyphens/>
              <w:autoSpaceDE w:val="0"/>
              <w:autoSpaceDN w:val="0"/>
              <w:adjustRightInd w:val="0"/>
              <w:jc w:val="center"/>
              <w:textAlignment w:val="center"/>
              <w:rPr>
                <w:b/>
                <w:bCs/>
                <w:color w:val="000000"/>
                <w:sz w:val="20"/>
                <w:szCs w:val="20"/>
              </w:rPr>
            </w:pPr>
            <w:r w:rsidRPr="0099428A">
              <w:rPr>
                <w:b/>
                <w:bCs/>
                <w:color w:val="000000"/>
                <w:sz w:val="20"/>
                <w:szCs w:val="20"/>
              </w:rPr>
              <w:t>Measurable Outcome(s)</w:t>
            </w:r>
          </w:p>
        </w:tc>
        <w:tc>
          <w:tcPr>
            <w:tcW w:w="604" w:type="pct"/>
            <w:shd w:val="clear" w:color="auto" w:fill="A6A6A6" w:themeFill="background1" w:themeFillShade="A6"/>
            <w:tcMar>
              <w:top w:w="90" w:type="dxa"/>
              <w:left w:w="90" w:type="dxa"/>
              <w:bottom w:w="90" w:type="dxa"/>
              <w:right w:w="90" w:type="dxa"/>
            </w:tcMar>
            <w:vAlign w:val="center"/>
          </w:tcPr>
          <w:p w:rsidR="00BA318D" w:rsidRPr="0099428A" w:rsidRDefault="00BA318D" w:rsidP="00E77E4E">
            <w:pPr>
              <w:suppressAutoHyphens/>
              <w:autoSpaceDE w:val="0"/>
              <w:autoSpaceDN w:val="0"/>
              <w:adjustRightInd w:val="0"/>
              <w:jc w:val="center"/>
              <w:textAlignment w:val="center"/>
              <w:rPr>
                <w:b/>
                <w:bCs/>
                <w:color w:val="000000"/>
                <w:sz w:val="20"/>
                <w:szCs w:val="20"/>
                <w:u w:color="000000"/>
              </w:rPr>
            </w:pPr>
            <w:r w:rsidRPr="0099428A">
              <w:rPr>
                <w:b/>
                <w:bCs/>
                <w:color w:val="000000"/>
                <w:sz w:val="20"/>
                <w:szCs w:val="20"/>
                <w:u w:color="000000"/>
              </w:rPr>
              <w:t>Target Completion Date(s)</w:t>
            </w:r>
          </w:p>
        </w:tc>
      </w:tr>
      <w:tr w:rsidR="00BA318D" w:rsidRPr="0099428A" w:rsidTr="00E77E4E">
        <w:trPr>
          <w:trHeight w:val="548"/>
          <w:jc w:val="center"/>
        </w:trPr>
        <w:tc>
          <w:tcPr>
            <w:tcW w:w="1720" w:type="pct"/>
            <w:gridSpan w:val="2"/>
            <w:vMerge w:val="restart"/>
            <w:shd w:val="clear" w:color="auto" w:fill="auto"/>
            <w:tcMar>
              <w:top w:w="90" w:type="dxa"/>
              <w:left w:w="90" w:type="dxa"/>
              <w:bottom w:w="90" w:type="dxa"/>
              <w:right w:w="90" w:type="dxa"/>
            </w:tcMar>
          </w:tcPr>
          <w:p w:rsidR="00BA318D" w:rsidRPr="0099428A" w:rsidRDefault="00BA318D" w:rsidP="00E77E4E">
            <w:pPr>
              <w:numPr>
                <w:ilvl w:val="0"/>
                <w:numId w:val="3"/>
              </w:numPr>
              <w:suppressAutoHyphens/>
              <w:autoSpaceDE w:val="0"/>
              <w:autoSpaceDN w:val="0"/>
              <w:adjustRightInd w:val="0"/>
              <w:spacing w:after="200" w:line="276" w:lineRule="auto"/>
              <w:textAlignment w:val="center"/>
              <w:rPr>
                <w:color w:val="000000"/>
                <w:sz w:val="20"/>
                <w:szCs w:val="20"/>
              </w:rPr>
            </w:pPr>
            <w:r w:rsidRPr="0099428A">
              <w:rPr>
                <w:color w:val="000000"/>
                <w:sz w:val="20"/>
                <w:szCs w:val="20"/>
              </w:rPr>
              <w:t>Review and amend fee structures to ensure that affordable units pay lower or deferred fees</w:t>
            </w:r>
          </w:p>
        </w:tc>
        <w:tc>
          <w:tcPr>
            <w:tcW w:w="659" w:type="pct"/>
            <w:shd w:val="clear" w:color="auto" w:fill="auto"/>
            <w:tcMar>
              <w:top w:w="90" w:type="dxa"/>
              <w:left w:w="90" w:type="dxa"/>
              <w:bottom w:w="90" w:type="dxa"/>
              <w:right w:w="90" w:type="dxa"/>
            </w:tcMar>
            <w:vAlign w:val="center"/>
          </w:tcPr>
          <w:p w:rsidR="00BA318D" w:rsidRPr="0099428A" w:rsidRDefault="00BA318D" w:rsidP="00E77E4E">
            <w:pPr>
              <w:suppressAutoHyphens/>
              <w:autoSpaceDE w:val="0"/>
              <w:autoSpaceDN w:val="0"/>
              <w:adjustRightInd w:val="0"/>
              <w:jc w:val="center"/>
              <w:textAlignment w:val="center"/>
              <w:rPr>
                <w:color w:val="000000"/>
                <w:sz w:val="20"/>
                <w:szCs w:val="20"/>
              </w:rPr>
            </w:pPr>
            <w:r w:rsidRPr="0099428A">
              <w:rPr>
                <w:color w:val="000000"/>
                <w:sz w:val="20"/>
                <w:szCs w:val="20"/>
              </w:rPr>
              <w:t>Local</w:t>
            </w:r>
          </w:p>
        </w:tc>
        <w:tc>
          <w:tcPr>
            <w:tcW w:w="569" w:type="pct"/>
            <w:shd w:val="clear" w:color="auto" w:fill="auto"/>
            <w:vAlign w:val="center"/>
          </w:tcPr>
          <w:p w:rsidR="00BA318D" w:rsidRPr="0099428A" w:rsidRDefault="00BA318D" w:rsidP="00E77E4E">
            <w:pPr>
              <w:suppressAutoHyphens/>
              <w:autoSpaceDE w:val="0"/>
              <w:autoSpaceDN w:val="0"/>
              <w:adjustRightInd w:val="0"/>
              <w:jc w:val="center"/>
              <w:textAlignment w:val="center"/>
              <w:rPr>
                <w:color w:val="000000"/>
                <w:sz w:val="20"/>
                <w:szCs w:val="20"/>
              </w:rPr>
            </w:pPr>
            <w:r>
              <w:rPr>
                <w:color w:val="000000"/>
                <w:sz w:val="20"/>
                <w:szCs w:val="20"/>
              </w:rPr>
              <w:t>X</w:t>
            </w:r>
          </w:p>
        </w:tc>
        <w:tc>
          <w:tcPr>
            <w:tcW w:w="1448" w:type="pct"/>
            <w:vMerge w:val="restart"/>
            <w:shd w:val="clear" w:color="auto" w:fill="auto"/>
            <w:tcMar>
              <w:top w:w="90" w:type="dxa"/>
              <w:left w:w="90" w:type="dxa"/>
              <w:bottom w:w="90" w:type="dxa"/>
              <w:right w:w="90" w:type="dxa"/>
            </w:tcMar>
          </w:tcPr>
          <w:p w:rsidR="00BA318D" w:rsidRPr="0099428A" w:rsidRDefault="00BA318D" w:rsidP="00BA318D">
            <w:pPr>
              <w:numPr>
                <w:ilvl w:val="0"/>
                <w:numId w:val="3"/>
              </w:numPr>
              <w:suppressAutoHyphens/>
              <w:autoSpaceDE w:val="0"/>
              <w:autoSpaceDN w:val="0"/>
              <w:adjustRightInd w:val="0"/>
              <w:spacing w:after="200" w:line="276" w:lineRule="auto"/>
              <w:textAlignment w:val="center"/>
              <w:rPr>
                <w:color w:val="000000"/>
                <w:sz w:val="20"/>
                <w:szCs w:val="20"/>
              </w:rPr>
            </w:pPr>
            <w:r>
              <w:rPr>
                <w:color w:val="000000"/>
                <w:sz w:val="20"/>
                <w:szCs w:val="20"/>
              </w:rPr>
              <w:t xml:space="preserve">Make fee structure work within the </w:t>
            </w:r>
            <w:r w:rsidRPr="0099428A">
              <w:rPr>
                <w:color w:val="000000"/>
                <w:sz w:val="20"/>
                <w:szCs w:val="20"/>
              </w:rPr>
              <w:t xml:space="preserve">development </w:t>
            </w:r>
            <w:r>
              <w:rPr>
                <w:color w:val="000000"/>
                <w:sz w:val="20"/>
                <w:szCs w:val="20"/>
              </w:rPr>
              <w:t>process.</w:t>
            </w:r>
          </w:p>
        </w:tc>
        <w:tc>
          <w:tcPr>
            <w:tcW w:w="604" w:type="pct"/>
            <w:vMerge w:val="restart"/>
            <w:shd w:val="clear" w:color="auto" w:fill="auto"/>
            <w:tcMar>
              <w:top w:w="90" w:type="dxa"/>
              <w:left w:w="90" w:type="dxa"/>
              <w:bottom w:w="90" w:type="dxa"/>
              <w:right w:w="90" w:type="dxa"/>
            </w:tcMar>
          </w:tcPr>
          <w:p w:rsidR="00BA318D" w:rsidRPr="0099428A" w:rsidRDefault="00BA318D" w:rsidP="00E77E4E">
            <w:pPr>
              <w:suppressAutoHyphens/>
              <w:autoSpaceDE w:val="0"/>
              <w:autoSpaceDN w:val="0"/>
              <w:adjustRightInd w:val="0"/>
              <w:jc w:val="center"/>
              <w:textAlignment w:val="center"/>
              <w:rPr>
                <w:color w:val="000000"/>
                <w:sz w:val="20"/>
                <w:szCs w:val="20"/>
              </w:rPr>
            </w:pPr>
          </w:p>
        </w:tc>
      </w:tr>
      <w:tr w:rsidR="00BA318D" w:rsidRPr="0099428A" w:rsidTr="00E77E4E">
        <w:trPr>
          <w:trHeight w:val="584"/>
          <w:jc w:val="center"/>
        </w:trPr>
        <w:tc>
          <w:tcPr>
            <w:tcW w:w="1720" w:type="pct"/>
            <w:gridSpan w:val="2"/>
            <w:vMerge/>
            <w:shd w:val="clear" w:color="auto" w:fill="auto"/>
            <w:tcMar>
              <w:top w:w="90" w:type="dxa"/>
              <w:left w:w="90" w:type="dxa"/>
              <w:bottom w:w="90" w:type="dxa"/>
              <w:right w:w="90" w:type="dxa"/>
            </w:tcMar>
          </w:tcPr>
          <w:p w:rsidR="00BA318D" w:rsidRPr="0099428A" w:rsidRDefault="00BA318D" w:rsidP="00E77E4E">
            <w:pPr>
              <w:numPr>
                <w:ilvl w:val="0"/>
                <w:numId w:val="3"/>
              </w:numPr>
              <w:suppressAutoHyphens/>
              <w:autoSpaceDE w:val="0"/>
              <w:autoSpaceDN w:val="0"/>
              <w:adjustRightInd w:val="0"/>
              <w:spacing w:after="200" w:line="276" w:lineRule="auto"/>
              <w:textAlignment w:val="center"/>
              <w:rPr>
                <w:color w:val="000000"/>
                <w:sz w:val="20"/>
                <w:szCs w:val="20"/>
              </w:rPr>
            </w:pPr>
          </w:p>
        </w:tc>
        <w:tc>
          <w:tcPr>
            <w:tcW w:w="659" w:type="pct"/>
            <w:shd w:val="clear" w:color="auto" w:fill="auto"/>
            <w:tcMar>
              <w:top w:w="90" w:type="dxa"/>
              <w:left w:w="90" w:type="dxa"/>
              <w:bottom w:w="90" w:type="dxa"/>
              <w:right w:w="90" w:type="dxa"/>
            </w:tcMar>
            <w:vAlign w:val="center"/>
          </w:tcPr>
          <w:p w:rsidR="00BA318D" w:rsidRPr="0099428A" w:rsidRDefault="00BA318D" w:rsidP="00E77E4E">
            <w:pPr>
              <w:suppressAutoHyphens/>
              <w:autoSpaceDE w:val="0"/>
              <w:autoSpaceDN w:val="0"/>
              <w:adjustRightInd w:val="0"/>
              <w:jc w:val="center"/>
              <w:textAlignment w:val="center"/>
              <w:rPr>
                <w:color w:val="000000"/>
                <w:sz w:val="20"/>
                <w:szCs w:val="20"/>
              </w:rPr>
            </w:pPr>
            <w:r w:rsidRPr="0099428A">
              <w:rPr>
                <w:color w:val="000000"/>
                <w:sz w:val="20"/>
                <w:szCs w:val="20"/>
              </w:rPr>
              <w:t>State</w:t>
            </w:r>
          </w:p>
        </w:tc>
        <w:tc>
          <w:tcPr>
            <w:tcW w:w="569" w:type="pct"/>
            <w:shd w:val="clear" w:color="auto" w:fill="auto"/>
            <w:vAlign w:val="center"/>
          </w:tcPr>
          <w:p w:rsidR="00BA318D" w:rsidRPr="0099428A" w:rsidRDefault="00BA318D" w:rsidP="00E77E4E">
            <w:pPr>
              <w:suppressAutoHyphens/>
              <w:autoSpaceDE w:val="0"/>
              <w:autoSpaceDN w:val="0"/>
              <w:adjustRightInd w:val="0"/>
              <w:jc w:val="center"/>
              <w:textAlignment w:val="center"/>
              <w:rPr>
                <w:color w:val="000000"/>
                <w:sz w:val="20"/>
                <w:szCs w:val="20"/>
              </w:rPr>
            </w:pPr>
          </w:p>
        </w:tc>
        <w:tc>
          <w:tcPr>
            <w:tcW w:w="1448" w:type="pct"/>
            <w:vMerge/>
            <w:shd w:val="clear" w:color="auto" w:fill="auto"/>
            <w:tcMar>
              <w:top w:w="90" w:type="dxa"/>
              <w:left w:w="90" w:type="dxa"/>
              <w:bottom w:w="90" w:type="dxa"/>
              <w:right w:w="90" w:type="dxa"/>
            </w:tcMar>
          </w:tcPr>
          <w:p w:rsidR="00BA318D" w:rsidRPr="0099428A" w:rsidRDefault="00BA318D" w:rsidP="00E77E4E">
            <w:pPr>
              <w:numPr>
                <w:ilvl w:val="0"/>
                <w:numId w:val="3"/>
              </w:numPr>
              <w:suppressAutoHyphens/>
              <w:autoSpaceDE w:val="0"/>
              <w:autoSpaceDN w:val="0"/>
              <w:adjustRightInd w:val="0"/>
              <w:spacing w:after="200" w:line="276" w:lineRule="auto"/>
              <w:textAlignment w:val="center"/>
              <w:rPr>
                <w:color w:val="000000"/>
                <w:sz w:val="20"/>
                <w:szCs w:val="20"/>
              </w:rPr>
            </w:pPr>
          </w:p>
        </w:tc>
        <w:tc>
          <w:tcPr>
            <w:tcW w:w="604" w:type="pct"/>
            <w:vMerge/>
            <w:shd w:val="clear" w:color="auto" w:fill="auto"/>
            <w:tcMar>
              <w:top w:w="90" w:type="dxa"/>
              <w:left w:w="90" w:type="dxa"/>
              <w:bottom w:w="90" w:type="dxa"/>
              <w:right w:w="90" w:type="dxa"/>
            </w:tcMar>
          </w:tcPr>
          <w:p w:rsidR="00BA318D" w:rsidRPr="0099428A" w:rsidRDefault="00BA318D" w:rsidP="00E77E4E">
            <w:pPr>
              <w:suppressAutoHyphens/>
              <w:autoSpaceDE w:val="0"/>
              <w:autoSpaceDN w:val="0"/>
              <w:adjustRightInd w:val="0"/>
              <w:jc w:val="center"/>
              <w:textAlignment w:val="center"/>
              <w:rPr>
                <w:color w:val="000000"/>
                <w:sz w:val="20"/>
                <w:szCs w:val="20"/>
              </w:rPr>
            </w:pPr>
          </w:p>
        </w:tc>
      </w:tr>
      <w:tr w:rsidR="00BA318D" w:rsidRPr="0099428A" w:rsidTr="00E77E4E">
        <w:trPr>
          <w:trHeight w:val="719"/>
          <w:jc w:val="center"/>
        </w:trPr>
        <w:tc>
          <w:tcPr>
            <w:tcW w:w="1720" w:type="pct"/>
            <w:gridSpan w:val="2"/>
            <w:vMerge/>
            <w:shd w:val="clear" w:color="auto" w:fill="auto"/>
            <w:tcMar>
              <w:top w:w="90" w:type="dxa"/>
              <w:left w:w="90" w:type="dxa"/>
              <w:bottom w:w="90" w:type="dxa"/>
              <w:right w:w="90" w:type="dxa"/>
            </w:tcMar>
          </w:tcPr>
          <w:p w:rsidR="00BA318D" w:rsidRPr="0099428A" w:rsidRDefault="00BA318D" w:rsidP="00E77E4E">
            <w:pPr>
              <w:numPr>
                <w:ilvl w:val="0"/>
                <w:numId w:val="3"/>
              </w:numPr>
              <w:suppressAutoHyphens/>
              <w:autoSpaceDE w:val="0"/>
              <w:autoSpaceDN w:val="0"/>
              <w:adjustRightInd w:val="0"/>
              <w:spacing w:after="200" w:line="276" w:lineRule="auto"/>
              <w:textAlignment w:val="center"/>
              <w:rPr>
                <w:color w:val="000000"/>
                <w:sz w:val="20"/>
                <w:szCs w:val="20"/>
              </w:rPr>
            </w:pPr>
          </w:p>
        </w:tc>
        <w:tc>
          <w:tcPr>
            <w:tcW w:w="659" w:type="pct"/>
            <w:shd w:val="clear" w:color="auto" w:fill="auto"/>
            <w:tcMar>
              <w:top w:w="90" w:type="dxa"/>
              <w:left w:w="90" w:type="dxa"/>
              <w:bottom w:w="90" w:type="dxa"/>
              <w:right w:w="90" w:type="dxa"/>
            </w:tcMar>
            <w:vAlign w:val="center"/>
          </w:tcPr>
          <w:p w:rsidR="00BA318D" w:rsidRPr="0099428A" w:rsidRDefault="00BA318D" w:rsidP="00E77E4E">
            <w:pPr>
              <w:suppressAutoHyphens/>
              <w:autoSpaceDE w:val="0"/>
              <w:autoSpaceDN w:val="0"/>
              <w:adjustRightInd w:val="0"/>
              <w:jc w:val="center"/>
              <w:textAlignment w:val="center"/>
              <w:rPr>
                <w:color w:val="000000"/>
                <w:sz w:val="20"/>
                <w:szCs w:val="20"/>
              </w:rPr>
            </w:pPr>
            <w:r w:rsidRPr="0099428A">
              <w:rPr>
                <w:color w:val="000000"/>
                <w:sz w:val="20"/>
                <w:szCs w:val="20"/>
              </w:rPr>
              <w:t>Voter</w:t>
            </w:r>
          </w:p>
        </w:tc>
        <w:tc>
          <w:tcPr>
            <w:tcW w:w="569" w:type="pct"/>
            <w:shd w:val="clear" w:color="auto" w:fill="auto"/>
            <w:vAlign w:val="center"/>
          </w:tcPr>
          <w:p w:rsidR="00BA318D" w:rsidRPr="0099428A" w:rsidRDefault="00BA318D" w:rsidP="00E77E4E">
            <w:pPr>
              <w:suppressAutoHyphens/>
              <w:autoSpaceDE w:val="0"/>
              <w:autoSpaceDN w:val="0"/>
              <w:adjustRightInd w:val="0"/>
              <w:jc w:val="center"/>
              <w:textAlignment w:val="center"/>
              <w:rPr>
                <w:color w:val="000000"/>
                <w:sz w:val="20"/>
                <w:szCs w:val="20"/>
              </w:rPr>
            </w:pPr>
          </w:p>
        </w:tc>
        <w:tc>
          <w:tcPr>
            <w:tcW w:w="1448" w:type="pct"/>
            <w:vMerge/>
            <w:shd w:val="clear" w:color="auto" w:fill="auto"/>
            <w:tcMar>
              <w:top w:w="90" w:type="dxa"/>
              <w:left w:w="90" w:type="dxa"/>
              <w:bottom w:w="90" w:type="dxa"/>
              <w:right w:w="90" w:type="dxa"/>
            </w:tcMar>
          </w:tcPr>
          <w:p w:rsidR="00BA318D" w:rsidRPr="0099428A" w:rsidRDefault="00BA318D" w:rsidP="00E77E4E">
            <w:pPr>
              <w:numPr>
                <w:ilvl w:val="0"/>
                <w:numId w:val="3"/>
              </w:numPr>
              <w:suppressAutoHyphens/>
              <w:autoSpaceDE w:val="0"/>
              <w:autoSpaceDN w:val="0"/>
              <w:adjustRightInd w:val="0"/>
              <w:spacing w:after="200" w:line="276" w:lineRule="auto"/>
              <w:textAlignment w:val="center"/>
              <w:rPr>
                <w:color w:val="000000"/>
                <w:sz w:val="20"/>
                <w:szCs w:val="20"/>
              </w:rPr>
            </w:pPr>
          </w:p>
        </w:tc>
        <w:tc>
          <w:tcPr>
            <w:tcW w:w="604" w:type="pct"/>
            <w:vMerge/>
            <w:shd w:val="clear" w:color="auto" w:fill="auto"/>
            <w:tcMar>
              <w:top w:w="90" w:type="dxa"/>
              <w:left w:w="90" w:type="dxa"/>
              <w:bottom w:w="90" w:type="dxa"/>
              <w:right w:w="90" w:type="dxa"/>
            </w:tcMar>
          </w:tcPr>
          <w:p w:rsidR="00BA318D" w:rsidRPr="0099428A" w:rsidRDefault="00BA318D" w:rsidP="00E77E4E">
            <w:pPr>
              <w:suppressAutoHyphens/>
              <w:autoSpaceDE w:val="0"/>
              <w:autoSpaceDN w:val="0"/>
              <w:adjustRightInd w:val="0"/>
              <w:jc w:val="center"/>
              <w:textAlignment w:val="center"/>
              <w:rPr>
                <w:color w:val="000000"/>
                <w:sz w:val="20"/>
                <w:szCs w:val="20"/>
              </w:rPr>
            </w:pPr>
          </w:p>
        </w:tc>
      </w:tr>
      <w:tr w:rsidR="00BA318D" w:rsidRPr="0099428A" w:rsidTr="00E77E4E">
        <w:trPr>
          <w:trHeight w:val="475"/>
          <w:jc w:val="center"/>
        </w:trPr>
        <w:tc>
          <w:tcPr>
            <w:tcW w:w="5000" w:type="pct"/>
            <w:gridSpan w:val="6"/>
            <w:shd w:val="clear" w:color="auto" w:fill="A6A6A6" w:themeFill="background1" w:themeFillShade="A6"/>
            <w:tcMar>
              <w:top w:w="0" w:type="dxa"/>
              <w:left w:w="0" w:type="dxa"/>
              <w:bottom w:w="0" w:type="dxa"/>
              <w:right w:w="0" w:type="dxa"/>
            </w:tcMar>
            <w:vAlign w:val="center"/>
          </w:tcPr>
          <w:p w:rsidR="00BA318D" w:rsidRPr="0099428A" w:rsidRDefault="00BA318D" w:rsidP="00E77E4E">
            <w:pPr>
              <w:rPr>
                <w:b/>
                <w:bCs/>
                <w:sz w:val="20"/>
                <w:szCs w:val="20"/>
              </w:rPr>
            </w:pPr>
            <w:r w:rsidRPr="0099428A">
              <w:rPr>
                <w:b/>
                <w:bCs/>
                <w:sz w:val="20"/>
                <w:szCs w:val="20"/>
              </w:rPr>
              <w:t xml:space="preserve"> Action Step #3:  Facilitate Legalization of 2</w:t>
            </w:r>
            <w:r w:rsidRPr="0099428A">
              <w:rPr>
                <w:b/>
                <w:bCs/>
                <w:sz w:val="20"/>
                <w:szCs w:val="20"/>
                <w:vertAlign w:val="superscript"/>
              </w:rPr>
              <w:t>nd</w:t>
            </w:r>
            <w:r w:rsidRPr="0099428A">
              <w:rPr>
                <w:b/>
                <w:bCs/>
                <w:sz w:val="20"/>
                <w:szCs w:val="20"/>
              </w:rPr>
              <w:t xml:space="preserve"> Units</w:t>
            </w:r>
          </w:p>
        </w:tc>
      </w:tr>
      <w:tr w:rsidR="00BA318D" w:rsidRPr="0099428A" w:rsidTr="00E77E4E">
        <w:trPr>
          <w:trHeight w:val="503"/>
          <w:jc w:val="center"/>
        </w:trPr>
        <w:tc>
          <w:tcPr>
            <w:tcW w:w="1720" w:type="pct"/>
            <w:gridSpan w:val="2"/>
            <w:shd w:val="clear" w:color="auto" w:fill="A6A6A6" w:themeFill="background1" w:themeFillShade="A6"/>
            <w:tcMar>
              <w:top w:w="0" w:type="dxa"/>
              <w:left w:w="0" w:type="dxa"/>
              <w:bottom w:w="0" w:type="dxa"/>
              <w:right w:w="0" w:type="dxa"/>
            </w:tcMar>
            <w:vAlign w:val="center"/>
          </w:tcPr>
          <w:p w:rsidR="00BA318D" w:rsidRPr="0099428A" w:rsidRDefault="00BA318D" w:rsidP="00E77E4E">
            <w:pPr>
              <w:suppressAutoHyphens/>
              <w:autoSpaceDE w:val="0"/>
              <w:autoSpaceDN w:val="0"/>
              <w:adjustRightInd w:val="0"/>
              <w:jc w:val="center"/>
              <w:textAlignment w:val="center"/>
              <w:rPr>
                <w:b/>
                <w:bCs/>
                <w:color w:val="000000"/>
                <w:sz w:val="20"/>
                <w:szCs w:val="20"/>
              </w:rPr>
            </w:pPr>
            <w:r w:rsidRPr="0099428A">
              <w:rPr>
                <w:b/>
                <w:bCs/>
                <w:color w:val="000000"/>
                <w:sz w:val="20"/>
                <w:szCs w:val="20"/>
              </w:rPr>
              <w:t>Tasks</w:t>
            </w:r>
          </w:p>
        </w:tc>
        <w:tc>
          <w:tcPr>
            <w:tcW w:w="1228" w:type="pct"/>
            <w:gridSpan w:val="2"/>
            <w:shd w:val="clear" w:color="auto" w:fill="A6A6A6" w:themeFill="background1" w:themeFillShade="A6"/>
            <w:tcMar>
              <w:top w:w="0" w:type="dxa"/>
              <w:left w:w="0" w:type="dxa"/>
              <w:bottom w:w="0" w:type="dxa"/>
              <w:right w:w="0" w:type="dxa"/>
            </w:tcMar>
            <w:vAlign w:val="center"/>
          </w:tcPr>
          <w:p w:rsidR="00BA318D" w:rsidRPr="0099428A" w:rsidRDefault="00BA318D" w:rsidP="00E77E4E">
            <w:pPr>
              <w:suppressAutoHyphens/>
              <w:autoSpaceDE w:val="0"/>
              <w:autoSpaceDN w:val="0"/>
              <w:adjustRightInd w:val="0"/>
              <w:jc w:val="center"/>
              <w:textAlignment w:val="center"/>
              <w:rPr>
                <w:b/>
                <w:bCs/>
                <w:color w:val="000000"/>
                <w:sz w:val="20"/>
                <w:szCs w:val="20"/>
              </w:rPr>
            </w:pPr>
            <w:r w:rsidRPr="0099428A">
              <w:rPr>
                <w:b/>
                <w:bCs/>
                <w:color w:val="000000"/>
                <w:sz w:val="20"/>
                <w:szCs w:val="20"/>
              </w:rPr>
              <w:t>Required Approvals</w:t>
            </w:r>
          </w:p>
        </w:tc>
        <w:tc>
          <w:tcPr>
            <w:tcW w:w="1448" w:type="pct"/>
            <w:shd w:val="clear" w:color="auto" w:fill="A6A6A6" w:themeFill="background1" w:themeFillShade="A6"/>
            <w:tcMar>
              <w:top w:w="0" w:type="dxa"/>
              <w:left w:w="0" w:type="dxa"/>
              <w:bottom w:w="0" w:type="dxa"/>
              <w:right w:w="0" w:type="dxa"/>
            </w:tcMar>
            <w:vAlign w:val="center"/>
          </w:tcPr>
          <w:p w:rsidR="00BA318D" w:rsidRPr="0099428A" w:rsidRDefault="00BA318D" w:rsidP="00E77E4E">
            <w:pPr>
              <w:suppressAutoHyphens/>
              <w:autoSpaceDE w:val="0"/>
              <w:autoSpaceDN w:val="0"/>
              <w:adjustRightInd w:val="0"/>
              <w:jc w:val="center"/>
              <w:textAlignment w:val="center"/>
              <w:rPr>
                <w:b/>
                <w:bCs/>
                <w:color w:val="000000"/>
                <w:sz w:val="20"/>
                <w:szCs w:val="20"/>
              </w:rPr>
            </w:pPr>
            <w:r w:rsidRPr="0099428A">
              <w:rPr>
                <w:b/>
                <w:bCs/>
                <w:color w:val="000000"/>
                <w:sz w:val="20"/>
                <w:szCs w:val="20"/>
              </w:rPr>
              <w:t>Measurable Outcome(s)</w:t>
            </w:r>
          </w:p>
        </w:tc>
        <w:tc>
          <w:tcPr>
            <w:tcW w:w="604" w:type="pct"/>
            <w:shd w:val="clear" w:color="auto" w:fill="A6A6A6" w:themeFill="background1" w:themeFillShade="A6"/>
            <w:tcMar>
              <w:top w:w="0" w:type="dxa"/>
              <w:left w:w="0" w:type="dxa"/>
              <w:bottom w:w="0" w:type="dxa"/>
              <w:right w:w="0" w:type="dxa"/>
            </w:tcMar>
            <w:vAlign w:val="center"/>
          </w:tcPr>
          <w:p w:rsidR="00BA318D" w:rsidRPr="0099428A" w:rsidRDefault="00BA318D" w:rsidP="00E77E4E">
            <w:pPr>
              <w:suppressAutoHyphens/>
              <w:autoSpaceDE w:val="0"/>
              <w:autoSpaceDN w:val="0"/>
              <w:adjustRightInd w:val="0"/>
              <w:jc w:val="center"/>
              <w:textAlignment w:val="center"/>
              <w:rPr>
                <w:b/>
                <w:bCs/>
                <w:color w:val="000000"/>
                <w:sz w:val="20"/>
                <w:szCs w:val="20"/>
                <w:u w:color="000000"/>
              </w:rPr>
            </w:pPr>
            <w:r w:rsidRPr="0099428A">
              <w:rPr>
                <w:b/>
                <w:bCs/>
                <w:color w:val="000000"/>
                <w:sz w:val="20"/>
                <w:szCs w:val="20"/>
                <w:u w:color="000000"/>
              </w:rPr>
              <w:t>Target Completion Date(s)</w:t>
            </w:r>
          </w:p>
        </w:tc>
      </w:tr>
      <w:tr w:rsidR="00BA318D" w:rsidRPr="0099428A" w:rsidTr="00E77E4E">
        <w:trPr>
          <w:trHeight w:val="458"/>
          <w:jc w:val="center"/>
        </w:trPr>
        <w:tc>
          <w:tcPr>
            <w:tcW w:w="1720" w:type="pct"/>
            <w:gridSpan w:val="2"/>
            <w:vMerge w:val="restart"/>
            <w:shd w:val="clear" w:color="auto" w:fill="auto"/>
            <w:tcMar>
              <w:top w:w="90" w:type="dxa"/>
              <w:left w:w="90" w:type="dxa"/>
              <w:bottom w:w="90" w:type="dxa"/>
              <w:right w:w="90" w:type="dxa"/>
            </w:tcMar>
          </w:tcPr>
          <w:p w:rsidR="00BA318D" w:rsidRPr="0099428A" w:rsidRDefault="00BA318D" w:rsidP="00E77E4E">
            <w:pPr>
              <w:numPr>
                <w:ilvl w:val="0"/>
                <w:numId w:val="2"/>
              </w:numPr>
              <w:suppressAutoHyphens/>
              <w:autoSpaceDE w:val="0"/>
              <w:autoSpaceDN w:val="0"/>
              <w:adjustRightInd w:val="0"/>
              <w:spacing w:after="200" w:line="276" w:lineRule="auto"/>
              <w:textAlignment w:val="center"/>
              <w:rPr>
                <w:color w:val="000000"/>
                <w:sz w:val="20"/>
                <w:szCs w:val="20"/>
              </w:rPr>
            </w:pPr>
            <w:r w:rsidRPr="0099428A">
              <w:rPr>
                <w:color w:val="000000"/>
                <w:sz w:val="20"/>
                <w:szCs w:val="20"/>
              </w:rPr>
              <w:t>Explore incentives for encouraging 2</w:t>
            </w:r>
            <w:r w:rsidRPr="0099428A">
              <w:rPr>
                <w:color w:val="000000"/>
                <w:sz w:val="20"/>
                <w:szCs w:val="20"/>
                <w:vertAlign w:val="superscript"/>
              </w:rPr>
              <w:t>nd</w:t>
            </w:r>
            <w:r w:rsidRPr="0099428A">
              <w:rPr>
                <w:color w:val="000000"/>
                <w:sz w:val="20"/>
                <w:szCs w:val="20"/>
              </w:rPr>
              <w:t xml:space="preserve"> units that will contribute to increasing the housing supply</w:t>
            </w:r>
          </w:p>
          <w:p w:rsidR="00BA318D" w:rsidRPr="0099428A" w:rsidRDefault="00BA318D" w:rsidP="00E77E4E">
            <w:pPr>
              <w:suppressAutoHyphens/>
              <w:autoSpaceDE w:val="0"/>
              <w:autoSpaceDN w:val="0"/>
              <w:adjustRightInd w:val="0"/>
              <w:textAlignment w:val="center"/>
              <w:rPr>
                <w:color w:val="000000"/>
                <w:sz w:val="20"/>
                <w:szCs w:val="20"/>
              </w:rPr>
            </w:pPr>
          </w:p>
        </w:tc>
        <w:tc>
          <w:tcPr>
            <w:tcW w:w="659" w:type="pct"/>
            <w:tcBorders>
              <w:bottom w:val="single" w:sz="4" w:space="0" w:color="000000"/>
            </w:tcBorders>
            <w:shd w:val="clear" w:color="auto" w:fill="auto"/>
            <w:tcMar>
              <w:top w:w="90" w:type="dxa"/>
              <w:left w:w="90" w:type="dxa"/>
              <w:bottom w:w="90" w:type="dxa"/>
              <w:right w:w="90" w:type="dxa"/>
            </w:tcMar>
            <w:vAlign w:val="center"/>
          </w:tcPr>
          <w:p w:rsidR="00BA318D" w:rsidRPr="0099428A" w:rsidRDefault="00BA318D" w:rsidP="00E77E4E">
            <w:pPr>
              <w:suppressAutoHyphens/>
              <w:autoSpaceDE w:val="0"/>
              <w:autoSpaceDN w:val="0"/>
              <w:adjustRightInd w:val="0"/>
              <w:jc w:val="center"/>
              <w:textAlignment w:val="center"/>
              <w:rPr>
                <w:color w:val="000000"/>
                <w:sz w:val="20"/>
                <w:szCs w:val="20"/>
              </w:rPr>
            </w:pPr>
            <w:r w:rsidRPr="0099428A">
              <w:rPr>
                <w:color w:val="000000"/>
                <w:sz w:val="20"/>
                <w:szCs w:val="20"/>
              </w:rPr>
              <w:t>Local</w:t>
            </w:r>
          </w:p>
        </w:tc>
        <w:tc>
          <w:tcPr>
            <w:tcW w:w="569" w:type="pct"/>
            <w:tcBorders>
              <w:bottom w:val="single" w:sz="4" w:space="0" w:color="000000"/>
            </w:tcBorders>
            <w:shd w:val="clear" w:color="auto" w:fill="auto"/>
            <w:vAlign w:val="center"/>
          </w:tcPr>
          <w:p w:rsidR="00BA318D" w:rsidRPr="0099428A" w:rsidRDefault="00BA318D" w:rsidP="00E77E4E">
            <w:pPr>
              <w:suppressAutoHyphens/>
              <w:autoSpaceDE w:val="0"/>
              <w:autoSpaceDN w:val="0"/>
              <w:adjustRightInd w:val="0"/>
              <w:jc w:val="center"/>
              <w:textAlignment w:val="center"/>
              <w:rPr>
                <w:color w:val="000000"/>
                <w:sz w:val="20"/>
                <w:szCs w:val="20"/>
              </w:rPr>
            </w:pPr>
            <w:r>
              <w:rPr>
                <w:color w:val="000000"/>
                <w:sz w:val="20"/>
                <w:szCs w:val="20"/>
              </w:rPr>
              <w:t>X</w:t>
            </w:r>
          </w:p>
        </w:tc>
        <w:tc>
          <w:tcPr>
            <w:tcW w:w="1448" w:type="pct"/>
            <w:vMerge w:val="restart"/>
            <w:shd w:val="clear" w:color="auto" w:fill="auto"/>
            <w:tcMar>
              <w:top w:w="90" w:type="dxa"/>
              <w:left w:w="90" w:type="dxa"/>
              <w:bottom w:w="90" w:type="dxa"/>
              <w:right w:w="90" w:type="dxa"/>
            </w:tcMar>
          </w:tcPr>
          <w:p w:rsidR="00BA318D" w:rsidRPr="0099428A" w:rsidRDefault="00BA318D" w:rsidP="00E77E4E">
            <w:pPr>
              <w:numPr>
                <w:ilvl w:val="0"/>
                <w:numId w:val="2"/>
              </w:numPr>
              <w:suppressAutoHyphens/>
              <w:autoSpaceDE w:val="0"/>
              <w:autoSpaceDN w:val="0"/>
              <w:adjustRightInd w:val="0"/>
              <w:spacing w:after="200" w:line="276" w:lineRule="auto"/>
              <w:textAlignment w:val="center"/>
              <w:rPr>
                <w:color w:val="000000"/>
                <w:sz w:val="20"/>
                <w:szCs w:val="20"/>
              </w:rPr>
            </w:pPr>
            <w:r>
              <w:rPr>
                <w:color w:val="000000"/>
                <w:sz w:val="20"/>
                <w:szCs w:val="20"/>
              </w:rPr>
              <w:t>Second</w:t>
            </w:r>
            <w:r w:rsidRPr="0099428A">
              <w:rPr>
                <w:color w:val="000000"/>
                <w:sz w:val="20"/>
                <w:szCs w:val="20"/>
              </w:rPr>
              <w:t xml:space="preserve"> unit policies and programs are adopted</w:t>
            </w:r>
            <w:r>
              <w:rPr>
                <w:color w:val="000000"/>
                <w:sz w:val="20"/>
                <w:szCs w:val="20"/>
              </w:rPr>
              <w:t>.</w:t>
            </w:r>
          </w:p>
        </w:tc>
        <w:tc>
          <w:tcPr>
            <w:tcW w:w="604" w:type="pct"/>
            <w:vMerge w:val="restart"/>
            <w:shd w:val="clear" w:color="auto" w:fill="auto"/>
            <w:tcMar>
              <w:top w:w="90" w:type="dxa"/>
              <w:left w:w="90" w:type="dxa"/>
              <w:bottom w:w="90" w:type="dxa"/>
              <w:right w:w="90" w:type="dxa"/>
            </w:tcMar>
          </w:tcPr>
          <w:p w:rsidR="00BA318D" w:rsidRPr="0099428A" w:rsidRDefault="00BA318D" w:rsidP="00E77E4E">
            <w:pPr>
              <w:autoSpaceDE w:val="0"/>
              <w:autoSpaceDN w:val="0"/>
              <w:adjustRightInd w:val="0"/>
              <w:spacing w:line="288" w:lineRule="auto"/>
              <w:textAlignment w:val="center"/>
              <w:rPr>
                <w:color w:val="000000"/>
                <w:sz w:val="20"/>
                <w:szCs w:val="20"/>
              </w:rPr>
            </w:pPr>
          </w:p>
        </w:tc>
      </w:tr>
      <w:tr w:rsidR="00BA318D" w:rsidRPr="0099428A" w:rsidTr="00E77E4E">
        <w:trPr>
          <w:trHeight w:val="530"/>
          <w:jc w:val="center"/>
        </w:trPr>
        <w:tc>
          <w:tcPr>
            <w:tcW w:w="1720" w:type="pct"/>
            <w:gridSpan w:val="2"/>
            <w:vMerge/>
            <w:shd w:val="clear" w:color="auto" w:fill="auto"/>
            <w:tcMar>
              <w:top w:w="90" w:type="dxa"/>
              <w:left w:w="90" w:type="dxa"/>
              <w:bottom w:w="90" w:type="dxa"/>
              <w:right w:w="90" w:type="dxa"/>
            </w:tcMar>
          </w:tcPr>
          <w:p w:rsidR="00BA318D" w:rsidRPr="0099428A" w:rsidRDefault="00BA318D" w:rsidP="00E77E4E">
            <w:pPr>
              <w:numPr>
                <w:ilvl w:val="0"/>
                <w:numId w:val="2"/>
              </w:numPr>
              <w:suppressAutoHyphens/>
              <w:autoSpaceDE w:val="0"/>
              <w:autoSpaceDN w:val="0"/>
              <w:adjustRightInd w:val="0"/>
              <w:spacing w:after="200" w:line="276" w:lineRule="auto"/>
              <w:textAlignment w:val="center"/>
              <w:rPr>
                <w:color w:val="000000"/>
                <w:sz w:val="20"/>
                <w:szCs w:val="20"/>
              </w:rPr>
            </w:pPr>
          </w:p>
        </w:tc>
        <w:tc>
          <w:tcPr>
            <w:tcW w:w="659" w:type="pct"/>
            <w:tcBorders>
              <w:bottom w:val="single" w:sz="4" w:space="0" w:color="000000"/>
            </w:tcBorders>
            <w:shd w:val="clear" w:color="auto" w:fill="auto"/>
            <w:tcMar>
              <w:top w:w="90" w:type="dxa"/>
              <w:left w:w="90" w:type="dxa"/>
              <w:bottom w:w="90" w:type="dxa"/>
              <w:right w:w="90" w:type="dxa"/>
            </w:tcMar>
            <w:vAlign w:val="center"/>
          </w:tcPr>
          <w:p w:rsidR="00BA318D" w:rsidRPr="0099428A" w:rsidRDefault="00BA318D" w:rsidP="00E77E4E">
            <w:pPr>
              <w:suppressAutoHyphens/>
              <w:autoSpaceDE w:val="0"/>
              <w:autoSpaceDN w:val="0"/>
              <w:adjustRightInd w:val="0"/>
              <w:jc w:val="center"/>
              <w:textAlignment w:val="center"/>
              <w:rPr>
                <w:color w:val="000000"/>
                <w:sz w:val="20"/>
                <w:szCs w:val="20"/>
              </w:rPr>
            </w:pPr>
            <w:r w:rsidRPr="0099428A">
              <w:rPr>
                <w:color w:val="000000"/>
                <w:sz w:val="20"/>
                <w:szCs w:val="20"/>
              </w:rPr>
              <w:t>State</w:t>
            </w:r>
          </w:p>
        </w:tc>
        <w:tc>
          <w:tcPr>
            <w:tcW w:w="569" w:type="pct"/>
            <w:tcBorders>
              <w:bottom w:val="single" w:sz="4" w:space="0" w:color="000000"/>
            </w:tcBorders>
            <w:shd w:val="clear" w:color="auto" w:fill="auto"/>
            <w:vAlign w:val="center"/>
          </w:tcPr>
          <w:p w:rsidR="00BA318D" w:rsidRPr="0099428A" w:rsidRDefault="00BA318D" w:rsidP="00E77E4E">
            <w:pPr>
              <w:suppressAutoHyphens/>
              <w:autoSpaceDE w:val="0"/>
              <w:autoSpaceDN w:val="0"/>
              <w:adjustRightInd w:val="0"/>
              <w:jc w:val="center"/>
              <w:textAlignment w:val="center"/>
              <w:rPr>
                <w:color w:val="000000"/>
                <w:sz w:val="20"/>
                <w:szCs w:val="20"/>
              </w:rPr>
            </w:pPr>
          </w:p>
        </w:tc>
        <w:tc>
          <w:tcPr>
            <w:tcW w:w="1448" w:type="pct"/>
            <w:vMerge/>
            <w:shd w:val="clear" w:color="auto" w:fill="auto"/>
            <w:tcMar>
              <w:top w:w="90" w:type="dxa"/>
              <w:left w:w="90" w:type="dxa"/>
              <w:bottom w:w="90" w:type="dxa"/>
              <w:right w:w="90" w:type="dxa"/>
            </w:tcMar>
          </w:tcPr>
          <w:p w:rsidR="00BA318D" w:rsidRPr="0099428A" w:rsidRDefault="00BA318D" w:rsidP="00E77E4E">
            <w:pPr>
              <w:numPr>
                <w:ilvl w:val="0"/>
                <w:numId w:val="2"/>
              </w:numPr>
              <w:suppressAutoHyphens/>
              <w:autoSpaceDE w:val="0"/>
              <w:autoSpaceDN w:val="0"/>
              <w:adjustRightInd w:val="0"/>
              <w:spacing w:after="200" w:line="276" w:lineRule="auto"/>
              <w:textAlignment w:val="center"/>
              <w:rPr>
                <w:color w:val="000000"/>
                <w:sz w:val="20"/>
                <w:szCs w:val="20"/>
              </w:rPr>
            </w:pPr>
          </w:p>
        </w:tc>
        <w:tc>
          <w:tcPr>
            <w:tcW w:w="604" w:type="pct"/>
            <w:vMerge/>
            <w:shd w:val="clear" w:color="auto" w:fill="auto"/>
            <w:tcMar>
              <w:top w:w="90" w:type="dxa"/>
              <w:left w:w="90" w:type="dxa"/>
              <w:bottom w:w="90" w:type="dxa"/>
              <w:right w:w="90" w:type="dxa"/>
            </w:tcMar>
          </w:tcPr>
          <w:p w:rsidR="00BA318D" w:rsidRPr="0099428A" w:rsidRDefault="00BA318D" w:rsidP="00E77E4E">
            <w:pPr>
              <w:autoSpaceDE w:val="0"/>
              <w:autoSpaceDN w:val="0"/>
              <w:adjustRightInd w:val="0"/>
              <w:spacing w:line="288" w:lineRule="auto"/>
              <w:textAlignment w:val="center"/>
              <w:rPr>
                <w:color w:val="000000"/>
                <w:sz w:val="20"/>
                <w:szCs w:val="20"/>
              </w:rPr>
            </w:pPr>
          </w:p>
        </w:tc>
      </w:tr>
      <w:tr w:rsidR="00BA318D" w:rsidRPr="0099428A" w:rsidTr="00E77E4E">
        <w:trPr>
          <w:trHeight w:val="575"/>
          <w:jc w:val="center"/>
        </w:trPr>
        <w:tc>
          <w:tcPr>
            <w:tcW w:w="1720" w:type="pct"/>
            <w:gridSpan w:val="2"/>
            <w:vMerge/>
            <w:tcBorders>
              <w:bottom w:val="single" w:sz="4" w:space="0" w:color="000000"/>
            </w:tcBorders>
            <w:shd w:val="clear" w:color="auto" w:fill="auto"/>
            <w:tcMar>
              <w:top w:w="90" w:type="dxa"/>
              <w:left w:w="90" w:type="dxa"/>
              <w:bottom w:w="90" w:type="dxa"/>
              <w:right w:w="90" w:type="dxa"/>
            </w:tcMar>
          </w:tcPr>
          <w:p w:rsidR="00BA318D" w:rsidRPr="0099428A" w:rsidRDefault="00BA318D" w:rsidP="00E77E4E">
            <w:pPr>
              <w:numPr>
                <w:ilvl w:val="0"/>
                <w:numId w:val="2"/>
              </w:numPr>
              <w:suppressAutoHyphens/>
              <w:autoSpaceDE w:val="0"/>
              <w:autoSpaceDN w:val="0"/>
              <w:adjustRightInd w:val="0"/>
              <w:spacing w:after="200" w:line="276" w:lineRule="auto"/>
              <w:textAlignment w:val="center"/>
              <w:rPr>
                <w:color w:val="000000"/>
                <w:sz w:val="20"/>
                <w:szCs w:val="20"/>
              </w:rPr>
            </w:pPr>
          </w:p>
        </w:tc>
        <w:tc>
          <w:tcPr>
            <w:tcW w:w="659" w:type="pct"/>
            <w:tcBorders>
              <w:bottom w:val="single" w:sz="4" w:space="0" w:color="000000"/>
            </w:tcBorders>
            <w:shd w:val="clear" w:color="auto" w:fill="auto"/>
            <w:tcMar>
              <w:top w:w="90" w:type="dxa"/>
              <w:left w:w="90" w:type="dxa"/>
              <w:bottom w:w="90" w:type="dxa"/>
              <w:right w:w="90" w:type="dxa"/>
            </w:tcMar>
            <w:vAlign w:val="center"/>
          </w:tcPr>
          <w:p w:rsidR="00BA318D" w:rsidRPr="0099428A" w:rsidRDefault="00BA318D" w:rsidP="00E77E4E">
            <w:pPr>
              <w:suppressAutoHyphens/>
              <w:autoSpaceDE w:val="0"/>
              <w:autoSpaceDN w:val="0"/>
              <w:adjustRightInd w:val="0"/>
              <w:jc w:val="center"/>
              <w:textAlignment w:val="center"/>
              <w:rPr>
                <w:color w:val="000000"/>
                <w:sz w:val="20"/>
                <w:szCs w:val="20"/>
              </w:rPr>
            </w:pPr>
            <w:r w:rsidRPr="0099428A">
              <w:rPr>
                <w:color w:val="000000"/>
                <w:sz w:val="20"/>
                <w:szCs w:val="20"/>
              </w:rPr>
              <w:t>Voter</w:t>
            </w:r>
          </w:p>
        </w:tc>
        <w:tc>
          <w:tcPr>
            <w:tcW w:w="569" w:type="pct"/>
            <w:tcBorders>
              <w:bottom w:val="single" w:sz="4" w:space="0" w:color="000000"/>
            </w:tcBorders>
            <w:shd w:val="clear" w:color="auto" w:fill="auto"/>
            <w:vAlign w:val="center"/>
          </w:tcPr>
          <w:p w:rsidR="00BA318D" w:rsidRPr="0099428A" w:rsidRDefault="00BA318D" w:rsidP="00E77E4E">
            <w:pPr>
              <w:suppressAutoHyphens/>
              <w:autoSpaceDE w:val="0"/>
              <w:autoSpaceDN w:val="0"/>
              <w:adjustRightInd w:val="0"/>
              <w:jc w:val="center"/>
              <w:textAlignment w:val="center"/>
              <w:rPr>
                <w:color w:val="000000"/>
                <w:sz w:val="20"/>
                <w:szCs w:val="20"/>
              </w:rPr>
            </w:pPr>
          </w:p>
        </w:tc>
        <w:tc>
          <w:tcPr>
            <w:tcW w:w="1448" w:type="pct"/>
            <w:vMerge/>
            <w:tcBorders>
              <w:bottom w:val="single" w:sz="4" w:space="0" w:color="000000"/>
            </w:tcBorders>
            <w:shd w:val="clear" w:color="auto" w:fill="auto"/>
            <w:tcMar>
              <w:top w:w="90" w:type="dxa"/>
              <w:left w:w="90" w:type="dxa"/>
              <w:bottom w:w="90" w:type="dxa"/>
              <w:right w:w="90" w:type="dxa"/>
            </w:tcMar>
          </w:tcPr>
          <w:p w:rsidR="00BA318D" w:rsidRPr="0099428A" w:rsidRDefault="00BA318D" w:rsidP="00E77E4E">
            <w:pPr>
              <w:numPr>
                <w:ilvl w:val="0"/>
                <w:numId w:val="2"/>
              </w:numPr>
              <w:suppressAutoHyphens/>
              <w:autoSpaceDE w:val="0"/>
              <w:autoSpaceDN w:val="0"/>
              <w:adjustRightInd w:val="0"/>
              <w:spacing w:after="200" w:line="276" w:lineRule="auto"/>
              <w:textAlignment w:val="center"/>
              <w:rPr>
                <w:color w:val="000000"/>
                <w:sz w:val="20"/>
                <w:szCs w:val="20"/>
              </w:rPr>
            </w:pPr>
          </w:p>
        </w:tc>
        <w:tc>
          <w:tcPr>
            <w:tcW w:w="604" w:type="pct"/>
            <w:vMerge/>
            <w:tcBorders>
              <w:bottom w:val="single" w:sz="4" w:space="0" w:color="000000"/>
            </w:tcBorders>
            <w:shd w:val="clear" w:color="auto" w:fill="auto"/>
            <w:tcMar>
              <w:top w:w="90" w:type="dxa"/>
              <w:left w:w="90" w:type="dxa"/>
              <w:bottom w:w="90" w:type="dxa"/>
              <w:right w:w="90" w:type="dxa"/>
            </w:tcMar>
          </w:tcPr>
          <w:p w:rsidR="00BA318D" w:rsidRPr="0099428A" w:rsidRDefault="00BA318D" w:rsidP="00E77E4E">
            <w:pPr>
              <w:autoSpaceDE w:val="0"/>
              <w:autoSpaceDN w:val="0"/>
              <w:adjustRightInd w:val="0"/>
              <w:spacing w:line="288" w:lineRule="auto"/>
              <w:textAlignment w:val="center"/>
              <w:rPr>
                <w:color w:val="000000"/>
                <w:sz w:val="20"/>
                <w:szCs w:val="20"/>
              </w:rPr>
            </w:pPr>
          </w:p>
        </w:tc>
      </w:tr>
    </w:tbl>
    <w:p w:rsidR="00BA318D" w:rsidRDefault="00BA318D">
      <w:r>
        <w:br w:type="page"/>
      </w:r>
    </w:p>
    <w:tbl>
      <w:tblPr>
        <w:tblW w:w="5478" w:type="pct"/>
        <w:jc w:val="center"/>
        <w:tblInd w:w="-7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3532"/>
        <w:gridCol w:w="1353"/>
        <w:gridCol w:w="1168"/>
        <w:gridCol w:w="2973"/>
        <w:gridCol w:w="1240"/>
      </w:tblGrid>
      <w:tr w:rsidR="00BA318D" w:rsidRPr="0099428A" w:rsidTr="00E77E4E">
        <w:trPr>
          <w:trHeight w:val="475"/>
          <w:jc w:val="center"/>
        </w:trPr>
        <w:tc>
          <w:tcPr>
            <w:tcW w:w="5000" w:type="pct"/>
            <w:gridSpan w:val="5"/>
            <w:shd w:val="clear" w:color="auto" w:fill="A6A6A6" w:themeFill="background1" w:themeFillShade="A6"/>
            <w:tcMar>
              <w:top w:w="0" w:type="dxa"/>
              <w:left w:w="0" w:type="dxa"/>
              <w:bottom w:w="0" w:type="dxa"/>
              <w:right w:w="0" w:type="dxa"/>
            </w:tcMar>
            <w:vAlign w:val="center"/>
          </w:tcPr>
          <w:p w:rsidR="00BA318D" w:rsidRPr="0099428A" w:rsidRDefault="00BA318D" w:rsidP="00BA318D">
            <w:pPr>
              <w:suppressAutoHyphens/>
              <w:autoSpaceDE w:val="0"/>
              <w:autoSpaceDN w:val="0"/>
              <w:adjustRightInd w:val="0"/>
              <w:jc w:val="center"/>
              <w:textAlignment w:val="center"/>
              <w:rPr>
                <w:b/>
                <w:bCs/>
                <w:color w:val="000000"/>
                <w:sz w:val="20"/>
                <w:szCs w:val="20"/>
              </w:rPr>
            </w:pPr>
            <w:r w:rsidRPr="0099428A">
              <w:rPr>
                <w:b/>
                <w:bCs/>
                <w:color w:val="000000"/>
                <w:sz w:val="20"/>
                <w:szCs w:val="20"/>
              </w:rPr>
              <w:t>STRATEGY #</w:t>
            </w:r>
            <w:r>
              <w:rPr>
                <w:b/>
                <w:bCs/>
                <w:color w:val="000000"/>
                <w:sz w:val="20"/>
                <w:szCs w:val="20"/>
              </w:rPr>
              <w:t>1</w:t>
            </w:r>
            <w:r w:rsidRPr="0099428A">
              <w:rPr>
                <w:b/>
                <w:bCs/>
                <w:color w:val="000000"/>
                <w:sz w:val="20"/>
                <w:szCs w:val="20"/>
              </w:rPr>
              <w:t>:</w:t>
            </w:r>
          </w:p>
          <w:p w:rsidR="00BA318D" w:rsidRDefault="00BA318D" w:rsidP="00BA318D">
            <w:pPr>
              <w:suppressAutoHyphens/>
              <w:autoSpaceDE w:val="0"/>
              <w:autoSpaceDN w:val="0"/>
              <w:adjustRightInd w:val="0"/>
              <w:jc w:val="center"/>
              <w:textAlignment w:val="center"/>
              <w:rPr>
                <w:b/>
                <w:bCs/>
                <w:color w:val="000000"/>
                <w:sz w:val="20"/>
                <w:szCs w:val="20"/>
              </w:rPr>
            </w:pPr>
            <w:r w:rsidRPr="0099428A">
              <w:rPr>
                <w:b/>
                <w:bCs/>
                <w:color w:val="000000"/>
                <w:sz w:val="20"/>
                <w:szCs w:val="20"/>
              </w:rPr>
              <w:t>PROMOTE COST EFFICIENCIES</w:t>
            </w:r>
          </w:p>
        </w:tc>
      </w:tr>
      <w:tr w:rsidR="00BA318D" w:rsidRPr="0099428A" w:rsidTr="00E77E4E">
        <w:trPr>
          <w:trHeight w:val="475"/>
          <w:jc w:val="center"/>
        </w:trPr>
        <w:tc>
          <w:tcPr>
            <w:tcW w:w="5000" w:type="pct"/>
            <w:gridSpan w:val="5"/>
            <w:shd w:val="clear" w:color="auto" w:fill="A6A6A6" w:themeFill="background1" w:themeFillShade="A6"/>
            <w:tcMar>
              <w:top w:w="0" w:type="dxa"/>
              <w:left w:w="0" w:type="dxa"/>
              <w:bottom w:w="0" w:type="dxa"/>
              <w:right w:w="0" w:type="dxa"/>
            </w:tcMar>
            <w:vAlign w:val="center"/>
          </w:tcPr>
          <w:p w:rsidR="00BA318D" w:rsidRPr="0099428A" w:rsidRDefault="00BA318D" w:rsidP="00E77E4E">
            <w:pPr>
              <w:suppressAutoHyphens/>
              <w:autoSpaceDE w:val="0"/>
              <w:autoSpaceDN w:val="0"/>
              <w:adjustRightInd w:val="0"/>
              <w:textAlignment w:val="center"/>
              <w:rPr>
                <w:b/>
                <w:bCs/>
                <w:color w:val="000000"/>
                <w:sz w:val="20"/>
                <w:szCs w:val="20"/>
              </w:rPr>
            </w:pPr>
            <w:r>
              <w:rPr>
                <w:b/>
                <w:bCs/>
                <w:color w:val="000000"/>
                <w:sz w:val="20"/>
                <w:szCs w:val="20"/>
              </w:rPr>
              <w:t xml:space="preserve"> </w:t>
            </w:r>
            <w:r w:rsidRPr="0099428A">
              <w:rPr>
                <w:b/>
                <w:bCs/>
                <w:color w:val="000000"/>
                <w:sz w:val="20"/>
                <w:szCs w:val="20"/>
              </w:rPr>
              <w:t xml:space="preserve">Action Step #4:  Establish </w:t>
            </w:r>
            <w:r>
              <w:rPr>
                <w:b/>
                <w:bCs/>
                <w:color w:val="000000"/>
                <w:sz w:val="20"/>
                <w:szCs w:val="20"/>
              </w:rPr>
              <w:t xml:space="preserve">a </w:t>
            </w:r>
            <w:r w:rsidRPr="0099428A">
              <w:rPr>
                <w:b/>
                <w:bCs/>
                <w:color w:val="000000"/>
                <w:sz w:val="20"/>
                <w:szCs w:val="20"/>
              </w:rPr>
              <w:t>Countywide Green Ordinance</w:t>
            </w:r>
          </w:p>
        </w:tc>
      </w:tr>
      <w:tr w:rsidR="00BA318D" w:rsidRPr="0099428A" w:rsidTr="00E77E4E">
        <w:trPr>
          <w:trHeight w:val="503"/>
          <w:jc w:val="center"/>
        </w:trPr>
        <w:tc>
          <w:tcPr>
            <w:tcW w:w="1720" w:type="pct"/>
            <w:shd w:val="clear" w:color="auto" w:fill="A6A6A6" w:themeFill="background1" w:themeFillShade="A6"/>
            <w:tcMar>
              <w:top w:w="0" w:type="dxa"/>
              <w:left w:w="0" w:type="dxa"/>
              <w:bottom w:w="0" w:type="dxa"/>
              <w:right w:w="0" w:type="dxa"/>
            </w:tcMar>
            <w:vAlign w:val="center"/>
          </w:tcPr>
          <w:p w:rsidR="00BA318D" w:rsidRPr="0099428A" w:rsidRDefault="00BA318D" w:rsidP="00E77E4E">
            <w:pPr>
              <w:suppressAutoHyphens/>
              <w:autoSpaceDE w:val="0"/>
              <w:autoSpaceDN w:val="0"/>
              <w:adjustRightInd w:val="0"/>
              <w:jc w:val="center"/>
              <w:textAlignment w:val="center"/>
              <w:rPr>
                <w:b/>
                <w:bCs/>
                <w:color w:val="000000"/>
                <w:sz w:val="20"/>
                <w:szCs w:val="20"/>
              </w:rPr>
            </w:pPr>
            <w:r w:rsidRPr="0099428A">
              <w:rPr>
                <w:b/>
                <w:bCs/>
                <w:color w:val="000000"/>
                <w:sz w:val="20"/>
                <w:szCs w:val="20"/>
              </w:rPr>
              <w:t>Tasks</w:t>
            </w:r>
          </w:p>
        </w:tc>
        <w:tc>
          <w:tcPr>
            <w:tcW w:w="1228" w:type="pct"/>
            <w:gridSpan w:val="2"/>
            <w:shd w:val="clear" w:color="auto" w:fill="A6A6A6" w:themeFill="background1" w:themeFillShade="A6"/>
            <w:tcMar>
              <w:top w:w="0" w:type="dxa"/>
              <w:left w:w="0" w:type="dxa"/>
              <w:bottom w:w="0" w:type="dxa"/>
              <w:right w:w="0" w:type="dxa"/>
            </w:tcMar>
            <w:vAlign w:val="center"/>
          </w:tcPr>
          <w:p w:rsidR="00BA318D" w:rsidRPr="0099428A" w:rsidRDefault="00BA318D" w:rsidP="00E77E4E">
            <w:pPr>
              <w:suppressAutoHyphens/>
              <w:autoSpaceDE w:val="0"/>
              <w:autoSpaceDN w:val="0"/>
              <w:adjustRightInd w:val="0"/>
              <w:jc w:val="center"/>
              <w:textAlignment w:val="center"/>
              <w:rPr>
                <w:b/>
                <w:bCs/>
                <w:color w:val="000000"/>
                <w:sz w:val="20"/>
                <w:szCs w:val="20"/>
              </w:rPr>
            </w:pPr>
            <w:r w:rsidRPr="0099428A">
              <w:rPr>
                <w:b/>
                <w:bCs/>
                <w:color w:val="000000"/>
                <w:sz w:val="20"/>
                <w:szCs w:val="20"/>
              </w:rPr>
              <w:t>Required Approvals</w:t>
            </w:r>
          </w:p>
        </w:tc>
        <w:tc>
          <w:tcPr>
            <w:tcW w:w="1448" w:type="pct"/>
            <w:shd w:val="clear" w:color="auto" w:fill="A6A6A6" w:themeFill="background1" w:themeFillShade="A6"/>
            <w:tcMar>
              <w:top w:w="0" w:type="dxa"/>
              <w:left w:w="0" w:type="dxa"/>
              <w:bottom w:w="0" w:type="dxa"/>
              <w:right w:w="0" w:type="dxa"/>
            </w:tcMar>
            <w:vAlign w:val="center"/>
          </w:tcPr>
          <w:p w:rsidR="00BA318D" w:rsidRPr="0099428A" w:rsidRDefault="00BA318D" w:rsidP="00E77E4E">
            <w:pPr>
              <w:suppressAutoHyphens/>
              <w:autoSpaceDE w:val="0"/>
              <w:autoSpaceDN w:val="0"/>
              <w:adjustRightInd w:val="0"/>
              <w:jc w:val="center"/>
              <w:textAlignment w:val="center"/>
              <w:rPr>
                <w:b/>
                <w:bCs/>
                <w:color w:val="000000"/>
                <w:sz w:val="20"/>
                <w:szCs w:val="20"/>
              </w:rPr>
            </w:pPr>
            <w:r w:rsidRPr="0099428A">
              <w:rPr>
                <w:b/>
                <w:bCs/>
                <w:color w:val="000000"/>
                <w:sz w:val="20"/>
                <w:szCs w:val="20"/>
              </w:rPr>
              <w:t>Measurable Outcome(s)</w:t>
            </w:r>
          </w:p>
        </w:tc>
        <w:tc>
          <w:tcPr>
            <w:tcW w:w="604" w:type="pct"/>
            <w:shd w:val="clear" w:color="auto" w:fill="A6A6A6" w:themeFill="background1" w:themeFillShade="A6"/>
            <w:tcMar>
              <w:top w:w="0" w:type="dxa"/>
              <w:left w:w="0" w:type="dxa"/>
              <w:bottom w:w="0" w:type="dxa"/>
              <w:right w:w="0" w:type="dxa"/>
            </w:tcMar>
            <w:vAlign w:val="center"/>
          </w:tcPr>
          <w:p w:rsidR="00BA318D" w:rsidRPr="0099428A" w:rsidRDefault="00BA318D" w:rsidP="00E77E4E">
            <w:pPr>
              <w:suppressAutoHyphens/>
              <w:autoSpaceDE w:val="0"/>
              <w:autoSpaceDN w:val="0"/>
              <w:adjustRightInd w:val="0"/>
              <w:jc w:val="center"/>
              <w:textAlignment w:val="center"/>
              <w:rPr>
                <w:b/>
                <w:bCs/>
                <w:color w:val="000000"/>
                <w:sz w:val="20"/>
                <w:szCs w:val="20"/>
                <w:u w:color="000000"/>
              </w:rPr>
            </w:pPr>
            <w:r w:rsidRPr="0099428A">
              <w:rPr>
                <w:b/>
                <w:bCs/>
                <w:color w:val="000000"/>
                <w:sz w:val="20"/>
                <w:szCs w:val="20"/>
                <w:u w:color="000000"/>
              </w:rPr>
              <w:t>Target Completion Date(s)</w:t>
            </w:r>
          </w:p>
        </w:tc>
      </w:tr>
      <w:tr w:rsidR="00BA318D" w:rsidRPr="0099428A" w:rsidTr="00E77E4E">
        <w:trPr>
          <w:trHeight w:val="431"/>
          <w:jc w:val="center"/>
        </w:trPr>
        <w:tc>
          <w:tcPr>
            <w:tcW w:w="1720" w:type="pct"/>
            <w:vMerge w:val="restart"/>
            <w:shd w:val="clear" w:color="auto" w:fill="auto"/>
            <w:tcMar>
              <w:top w:w="90" w:type="dxa"/>
              <w:left w:w="90" w:type="dxa"/>
              <w:bottom w:w="90" w:type="dxa"/>
              <w:right w:w="90" w:type="dxa"/>
            </w:tcMar>
          </w:tcPr>
          <w:p w:rsidR="00BA318D" w:rsidRPr="0099428A" w:rsidRDefault="00BA318D" w:rsidP="00E77E4E">
            <w:pPr>
              <w:numPr>
                <w:ilvl w:val="0"/>
                <w:numId w:val="2"/>
              </w:numPr>
              <w:suppressAutoHyphens/>
              <w:autoSpaceDE w:val="0"/>
              <w:autoSpaceDN w:val="0"/>
              <w:adjustRightInd w:val="0"/>
              <w:spacing w:after="200" w:line="276" w:lineRule="auto"/>
              <w:textAlignment w:val="center"/>
              <w:rPr>
                <w:color w:val="000000"/>
                <w:sz w:val="20"/>
                <w:szCs w:val="20"/>
              </w:rPr>
            </w:pPr>
            <w:r w:rsidRPr="0099428A">
              <w:rPr>
                <w:color w:val="000000"/>
                <w:sz w:val="20"/>
                <w:szCs w:val="20"/>
              </w:rPr>
              <w:t>Draft green guidelines</w:t>
            </w:r>
          </w:p>
        </w:tc>
        <w:tc>
          <w:tcPr>
            <w:tcW w:w="659" w:type="pct"/>
            <w:shd w:val="clear" w:color="auto" w:fill="auto"/>
            <w:tcMar>
              <w:top w:w="90" w:type="dxa"/>
              <w:left w:w="90" w:type="dxa"/>
              <w:bottom w:w="90" w:type="dxa"/>
              <w:right w:w="90" w:type="dxa"/>
            </w:tcMar>
            <w:vAlign w:val="center"/>
          </w:tcPr>
          <w:p w:rsidR="00BA318D" w:rsidRPr="0099428A" w:rsidRDefault="00BA318D" w:rsidP="00E77E4E">
            <w:pPr>
              <w:suppressAutoHyphens/>
              <w:autoSpaceDE w:val="0"/>
              <w:autoSpaceDN w:val="0"/>
              <w:adjustRightInd w:val="0"/>
              <w:jc w:val="center"/>
              <w:textAlignment w:val="center"/>
              <w:rPr>
                <w:color w:val="000000"/>
                <w:sz w:val="20"/>
                <w:szCs w:val="20"/>
              </w:rPr>
            </w:pPr>
            <w:r w:rsidRPr="0099428A">
              <w:rPr>
                <w:color w:val="000000"/>
                <w:sz w:val="20"/>
                <w:szCs w:val="20"/>
              </w:rPr>
              <w:t>Local</w:t>
            </w:r>
          </w:p>
        </w:tc>
        <w:tc>
          <w:tcPr>
            <w:tcW w:w="569" w:type="pct"/>
            <w:shd w:val="clear" w:color="auto" w:fill="auto"/>
            <w:vAlign w:val="center"/>
          </w:tcPr>
          <w:p w:rsidR="00BA318D" w:rsidRPr="0099428A" w:rsidRDefault="00BA318D" w:rsidP="00E77E4E">
            <w:pPr>
              <w:suppressAutoHyphens/>
              <w:autoSpaceDE w:val="0"/>
              <w:autoSpaceDN w:val="0"/>
              <w:adjustRightInd w:val="0"/>
              <w:jc w:val="center"/>
              <w:textAlignment w:val="center"/>
              <w:rPr>
                <w:color w:val="000000"/>
                <w:sz w:val="20"/>
                <w:szCs w:val="20"/>
              </w:rPr>
            </w:pPr>
            <w:r>
              <w:rPr>
                <w:color w:val="000000"/>
                <w:sz w:val="20"/>
                <w:szCs w:val="20"/>
              </w:rPr>
              <w:t>X</w:t>
            </w:r>
          </w:p>
        </w:tc>
        <w:tc>
          <w:tcPr>
            <w:tcW w:w="1448" w:type="pct"/>
            <w:vMerge w:val="restart"/>
            <w:shd w:val="clear" w:color="auto" w:fill="auto"/>
            <w:tcMar>
              <w:top w:w="90" w:type="dxa"/>
              <w:left w:w="90" w:type="dxa"/>
              <w:bottom w:w="90" w:type="dxa"/>
              <w:right w:w="90" w:type="dxa"/>
            </w:tcMar>
          </w:tcPr>
          <w:p w:rsidR="00BA318D" w:rsidRPr="0099428A" w:rsidRDefault="00BA318D" w:rsidP="00E77E4E">
            <w:pPr>
              <w:numPr>
                <w:ilvl w:val="0"/>
                <w:numId w:val="2"/>
              </w:numPr>
              <w:suppressAutoHyphens/>
              <w:autoSpaceDE w:val="0"/>
              <w:autoSpaceDN w:val="0"/>
              <w:adjustRightInd w:val="0"/>
              <w:spacing w:after="200" w:line="276" w:lineRule="auto"/>
              <w:textAlignment w:val="center"/>
              <w:rPr>
                <w:color w:val="000000"/>
                <w:sz w:val="20"/>
                <w:szCs w:val="20"/>
              </w:rPr>
            </w:pPr>
            <w:r w:rsidRPr="0099428A">
              <w:rPr>
                <w:color w:val="000000"/>
                <w:sz w:val="20"/>
                <w:szCs w:val="20"/>
              </w:rPr>
              <w:t>Sustainable building reduces operating costs and offers a healthy and safe home</w:t>
            </w:r>
            <w:r>
              <w:rPr>
                <w:color w:val="000000"/>
                <w:sz w:val="20"/>
                <w:szCs w:val="20"/>
              </w:rPr>
              <w:t>.</w:t>
            </w:r>
          </w:p>
        </w:tc>
        <w:tc>
          <w:tcPr>
            <w:tcW w:w="604" w:type="pct"/>
            <w:vMerge w:val="restart"/>
            <w:shd w:val="clear" w:color="auto" w:fill="auto"/>
            <w:tcMar>
              <w:top w:w="90" w:type="dxa"/>
              <w:left w:w="90" w:type="dxa"/>
              <w:bottom w:w="90" w:type="dxa"/>
              <w:right w:w="90" w:type="dxa"/>
            </w:tcMar>
          </w:tcPr>
          <w:p w:rsidR="00BA318D" w:rsidRPr="0099428A" w:rsidRDefault="00BA318D" w:rsidP="00E77E4E">
            <w:pPr>
              <w:autoSpaceDE w:val="0"/>
              <w:autoSpaceDN w:val="0"/>
              <w:adjustRightInd w:val="0"/>
              <w:spacing w:line="288" w:lineRule="auto"/>
              <w:textAlignment w:val="center"/>
              <w:rPr>
                <w:color w:val="000000"/>
                <w:sz w:val="20"/>
                <w:szCs w:val="20"/>
              </w:rPr>
            </w:pPr>
          </w:p>
        </w:tc>
      </w:tr>
      <w:tr w:rsidR="00BA318D" w:rsidRPr="0099428A" w:rsidTr="00E77E4E">
        <w:trPr>
          <w:trHeight w:val="449"/>
          <w:jc w:val="center"/>
        </w:trPr>
        <w:tc>
          <w:tcPr>
            <w:tcW w:w="1720" w:type="pct"/>
            <w:vMerge/>
            <w:shd w:val="clear" w:color="auto" w:fill="auto"/>
            <w:tcMar>
              <w:top w:w="90" w:type="dxa"/>
              <w:left w:w="90" w:type="dxa"/>
              <w:bottom w:w="90" w:type="dxa"/>
              <w:right w:w="90" w:type="dxa"/>
            </w:tcMar>
          </w:tcPr>
          <w:p w:rsidR="00BA318D" w:rsidRPr="0099428A" w:rsidRDefault="00BA318D" w:rsidP="00E77E4E">
            <w:pPr>
              <w:numPr>
                <w:ilvl w:val="0"/>
                <w:numId w:val="2"/>
              </w:numPr>
              <w:suppressAutoHyphens/>
              <w:autoSpaceDE w:val="0"/>
              <w:autoSpaceDN w:val="0"/>
              <w:adjustRightInd w:val="0"/>
              <w:spacing w:after="200" w:line="276" w:lineRule="auto"/>
              <w:textAlignment w:val="center"/>
              <w:rPr>
                <w:color w:val="000000"/>
                <w:sz w:val="20"/>
                <w:szCs w:val="20"/>
              </w:rPr>
            </w:pPr>
          </w:p>
        </w:tc>
        <w:tc>
          <w:tcPr>
            <w:tcW w:w="659" w:type="pct"/>
            <w:shd w:val="clear" w:color="auto" w:fill="auto"/>
            <w:tcMar>
              <w:top w:w="90" w:type="dxa"/>
              <w:left w:w="90" w:type="dxa"/>
              <w:bottom w:w="90" w:type="dxa"/>
              <w:right w:w="90" w:type="dxa"/>
            </w:tcMar>
            <w:vAlign w:val="center"/>
          </w:tcPr>
          <w:p w:rsidR="00BA318D" w:rsidRPr="0099428A" w:rsidRDefault="00BA318D" w:rsidP="00E77E4E">
            <w:pPr>
              <w:suppressAutoHyphens/>
              <w:autoSpaceDE w:val="0"/>
              <w:autoSpaceDN w:val="0"/>
              <w:adjustRightInd w:val="0"/>
              <w:jc w:val="center"/>
              <w:textAlignment w:val="center"/>
              <w:rPr>
                <w:color w:val="000000"/>
                <w:sz w:val="20"/>
                <w:szCs w:val="20"/>
              </w:rPr>
            </w:pPr>
            <w:r w:rsidRPr="0099428A">
              <w:rPr>
                <w:color w:val="000000"/>
                <w:sz w:val="20"/>
                <w:szCs w:val="20"/>
              </w:rPr>
              <w:t>State</w:t>
            </w:r>
          </w:p>
        </w:tc>
        <w:tc>
          <w:tcPr>
            <w:tcW w:w="569" w:type="pct"/>
            <w:shd w:val="clear" w:color="auto" w:fill="auto"/>
            <w:vAlign w:val="center"/>
          </w:tcPr>
          <w:p w:rsidR="00BA318D" w:rsidRPr="0099428A" w:rsidRDefault="00BA318D" w:rsidP="00E77E4E">
            <w:pPr>
              <w:suppressAutoHyphens/>
              <w:autoSpaceDE w:val="0"/>
              <w:autoSpaceDN w:val="0"/>
              <w:adjustRightInd w:val="0"/>
              <w:jc w:val="center"/>
              <w:textAlignment w:val="center"/>
              <w:rPr>
                <w:color w:val="000000"/>
                <w:sz w:val="20"/>
                <w:szCs w:val="20"/>
              </w:rPr>
            </w:pPr>
          </w:p>
        </w:tc>
        <w:tc>
          <w:tcPr>
            <w:tcW w:w="1448" w:type="pct"/>
            <w:vMerge/>
            <w:shd w:val="clear" w:color="auto" w:fill="auto"/>
            <w:tcMar>
              <w:top w:w="90" w:type="dxa"/>
              <w:left w:w="90" w:type="dxa"/>
              <w:bottom w:w="90" w:type="dxa"/>
              <w:right w:w="90" w:type="dxa"/>
            </w:tcMar>
          </w:tcPr>
          <w:p w:rsidR="00BA318D" w:rsidRPr="0099428A" w:rsidRDefault="00BA318D" w:rsidP="00E77E4E">
            <w:pPr>
              <w:numPr>
                <w:ilvl w:val="0"/>
                <w:numId w:val="2"/>
              </w:numPr>
              <w:suppressAutoHyphens/>
              <w:autoSpaceDE w:val="0"/>
              <w:autoSpaceDN w:val="0"/>
              <w:adjustRightInd w:val="0"/>
              <w:spacing w:after="200" w:line="276" w:lineRule="auto"/>
              <w:textAlignment w:val="center"/>
              <w:rPr>
                <w:color w:val="000000"/>
                <w:sz w:val="20"/>
                <w:szCs w:val="20"/>
              </w:rPr>
            </w:pPr>
          </w:p>
        </w:tc>
        <w:tc>
          <w:tcPr>
            <w:tcW w:w="604" w:type="pct"/>
            <w:vMerge/>
            <w:shd w:val="clear" w:color="auto" w:fill="auto"/>
            <w:tcMar>
              <w:top w:w="90" w:type="dxa"/>
              <w:left w:w="90" w:type="dxa"/>
              <w:bottom w:w="90" w:type="dxa"/>
              <w:right w:w="90" w:type="dxa"/>
            </w:tcMar>
          </w:tcPr>
          <w:p w:rsidR="00BA318D" w:rsidRPr="0099428A" w:rsidRDefault="00BA318D" w:rsidP="00E77E4E">
            <w:pPr>
              <w:autoSpaceDE w:val="0"/>
              <w:autoSpaceDN w:val="0"/>
              <w:adjustRightInd w:val="0"/>
              <w:spacing w:line="288" w:lineRule="auto"/>
              <w:textAlignment w:val="center"/>
              <w:rPr>
                <w:color w:val="000000"/>
                <w:sz w:val="20"/>
                <w:szCs w:val="20"/>
              </w:rPr>
            </w:pPr>
          </w:p>
        </w:tc>
      </w:tr>
      <w:tr w:rsidR="00BA318D" w:rsidRPr="0099428A" w:rsidTr="00E77E4E">
        <w:trPr>
          <w:trHeight w:val="395"/>
          <w:jc w:val="center"/>
        </w:trPr>
        <w:tc>
          <w:tcPr>
            <w:tcW w:w="1720" w:type="pct"/>
            <w:vMerge/>
            <w:shd w:val="clear" w:color="auto" w:fill="auto"/>
            <w:tcMar>
              <w:top w:w="90" w:type="dxa"/>
              <w:left w:w="90" w:type="dxa"/>
              <w:bottom w:w="90" w:type="dxa"/>
              <w:right w:w="90" w:type="dxa"/>
            </w:tcMar>
          </w:tcPr>
          <w:p w:rsidR="00BA318D" w:rsidRPr="0099428A" w:rsidRDefault="00BA318D" w:rsidP="00E77E4E">
            <w:pPr>
              <w:numPr>
                <w:ilvl w:val="0"/>
                <w:numId w:val="2"/>
              </w:numPr>
              <w:suppressAutoHyphens/>
              <w:autoSpaceDE w:val="0"/>
              <w:autoSpaceDN w:val="0"/>
              <w:adjustRightInd w:val="0"/>
              <w:spacing w:after="200" w:line="276" w:lineRule="auto"/>
              <w:textAlignment w:val="center"/>
              <w:rPr>
                <w:color w:val="000000"/>
                <w:sz w:val="20"/>
                <w:szCs w:val="20"/>
              </w:rPr>
            </w:pPr>
          </w:p>
        </w:tc>
        <w:tc>
          <w:tcPr>
            <w:tcW w:w="659" w:type="pct"/>
            <w:shd w:val="clear" w:color="auto" w:fill="auto"/>
            <w:tcMar>
              <w:top w:w="90" w:type="dxa"/>
              <w:left w:w="90" w:type="dxa"/>
              <w:bottom w:w="90" w:type="dxa"/>
              <w:right w:w="90" w:type="dxa"/>
            </w:tcMar>
            <w:vAlign w:val="center"/>
          </w:tcPr>
          <w:p w:rsidR="00BA318D" w:rsidRPr="0099428A" w:rsidRDefault="00BA318D" w:rsidP="00E77E4E">
            <w:pPr>
              <w:suppressAutoHyphens/>
              <w:autoSpaceDE w:val="0"/>
              <w:autoSpaceDN w:val="0"/>
              <w:adjustRightInd w:val="0"/>
              <w:jc w:val="center"/>
              <w:textAlignment w:val="center"/>
              <w:rPr>
                <w:color w:val="000000"/>
                <w:sz w:val="20"/>
                <w:szCs w:val="20"/>
              </w:rPr>
            </w:pPr>
            <w:r w:rsidRPr="0099428A">
              <w:rPr>
                <w:color w:val="000000"/>
                <w:sz w:val="20"/>
                <w:szCs w:val="20"/>
              </w:rPr>
              <w:t>Voter</w:t>
            </w:r>
          </w:p>
        </w:tc>
        <w:tc>
          <w:tcPr>
            <w:tcW w:w="569" w:type="pct"/>
            <w:shd w:val="clear" w:color="auto" w:fill="auto"/>
            <w:vAlign w:val="center"/>
          </w:tcPr>
          <w:p w:rsidR="00BA318D" w:rsidRPr="0099428A" w:rsidRDefault="00BA318D" w:rsidP="00E77E4E">
            <w:pPr>
              <w:suppressAutoHyphens/>
              <w:autoSpaceDE w:val="0"/>
              <w:autoSpaceDN w:val="0"/>
              <w:adjustRightInd w:val="0"/>
              <w:jc w:val="center"/>
              <w:textAlignment w:val="center"/>
              <w:rPr>
                <w:color w:val="000000"/>
                <w:sz w:val="20"/>
                <w:szCs w:val="20"/>
              </w:rPr>
            </w:pPr>
          </w:p>
        </w:tc>
        <w:tc>
          <w:tcPr>
            <w:tcW w:w="1448" w:type="pct"/>
            <w:vMerge/>
            <w:shd w:val="clear" w:color="auto" w:fill="auto"/>
            <w:tcMar>
              <w:top w:w="90" w:type="dxa"/>
              <w:left w:w="90" w:type="dxa"/>
              <w:bottom w:w="90" w:type="dxa"/>
              <w:right w:w="90" w:type="dxa"/>
            </w:tcMar>
          </w:tcPr>
          <w:p w:rsidR="00BA318D" w:rsidRPr="0099428A" w:rsidRDefault="00BA318D" w:rsidP="00E77E4E">
            <w:pPr>
              <w:numPr>
                <w:ilvl w:val="0"/>
                <w:numId w:val="2"/>
              </w:numPr>
              <w:suppressAutoHyphens/>
              <w:autoSpaceDE w:val="0"/>
              <w:autoSpaceDN w:val="0"/>
              <w:adjustRightInd w:val="0"/>
              <w:spacing w:after="200" w:line="276" w:lineRule="auto"/>
              <w:textAlignment w:val="center"/>
              <w:rPr>
                <w:color w:val="000000"/>
                <w:sz w:val="20"/>
                <w:szCs w:val="20"/>
              </w:rPr>
            </w:pPr>
          </w:p>
        </w:tc>
        <w:tc>
          <w:tcPr>
            <w:tcW w:w="604" w:type="pct"/>
            <w:vMerge/>
            <w:shd w:val="clear" w:color="auto" w:fill="auto"/>
            <w:tcMar>
              <w:top w:w="90" w:type="dxa"/>
              <w:left w:w="90" w:type="dxa"/>
              <w:bottom w:w="90" w:type="dxa"/>
              <w:right w:w="90" w:type="dxa"/>
            </w:tcMar>
          </w:tcPr>
          <w:p w:rsidR="00BA318D" w:rsidRPr="0099428A" w:rsidRDefault="00BA318D" w:rsidP="00E77E4E">
            <w:pPr>
              <w:autoSpaceDE w:val="0"/>
              <w:autoSpaceDN w:val="0"/>
              <w:adjustRightInd w:val="0"/>
              <w:spacing w:line="288" w:lineRule="auto"/>
              <w:textAlignment w:val="center"/>
              <w:rPr>
                <w:color w:val="000000"/>
                <w:sz w:val="20"/>
                <w:szCs w:val="20"/>
              </w:rPr>
            </w:pPr>
          </w:p>
        </w:tc>
      </w:tr>
      <w:tr w:rsidR="00BA318D" w:rsidRPr="0099428A" w:rsidTr="00E77E4E">
        <w:trPr>
          <w:trHeight w:val="467"/>
          <w:jc w:val="center"/>
        </w:trPr>
        <w:tc>
          <w:tcPr>
            <w:tcW w:w="1720" w:type="pct"/>
            <w:vMerge w:val="restart"/>
            <w:shd w:val="clear" w:color="auto" w:fill="auto"/>
            <w:tcMar>
              <w:top w:w="90" w:type="dxa"/>
              <w:left w:w="90" w:type="dxa"/>
              <w:bottom w:w="90" w:type="dxa"/>
              <w:right w:w="90" w:type="dxa"/>
            </w:tcMar>
          </w:tcPr>
          <w:p w:rsidR="00BA318D" w:rsidRPr="0099428A" w:rsidRDefault="00BA318D" w:rsidP="00E77E4E">
            <w:pPr>
              <w:numPr>
                <w:ilvl w:val="0"/>
                <w:numId w:val="2"/>
              </w:numPr>
              <w:suppressAutoHyphens/>
              <w:autoSpaceDE w:val="0"/>
              <w:autoSpaceDN w:val="0"/>
              <w:adjustRightInd w:val="0"/>
              <w:spacing w:after="200" w:line="276" w:lineRule="auto"/>
              <w:textAlignment w:val="center"/>
              <w:rPr>
                <w:color w:val="000000"/>
                <w:sz w:val="20"/>
                <w:szCs w:val="20"/>
              </w:rPr>
            </w:pPr>
            <w:r w:rsidRPr="0099428A">
              <w:rPr>
                <w:color w:val="000000"/>
                <w:sz w:val="20"/>
                <w:szCs w:val="20"/>
              </w:rPr>
              <w:t>Adopt Green Ordinance throughout the county</w:t>
            </w:r>
          </w:p>
        </w:tc>
        <w:tc>
          <w:tcPr>
            <w:tcW w:w="659" w:type="pct"/>
            <w:shd w:val="clear" w:color="auto" w:fill="auto"/>
            <w:tcMar>
              <w:top w:w="90" w:type="dxa"/>
              <w:left w:w="90" w:type="dxa"/>
              <w:bottom w:w="90" w:type="dxa"/>
              <w:right w:w="90" w:type="dxa"/>
            </w:tcMar>
            <w:vAlign w:val="center"/>
          </w:tcPr>
          <w:p w:rsidR="00BA318D" w:rsidRPr="0099428A" w:rsidRDefault="00BA318D" w:rsidP="00E77E4E">
            <w:pPr>
              <w:suppressAutoHyphens/>
              <w:autoSpaceDE w:val="0"/>
              <w:autoSpaceDN w:val="0"/>
              <w:adjustRightInd w:val="0"/>
              <w:jc w:val="center"/>
              <w:textAlignment w:val="center"/>
              <w:rPr>
                <w:color w:val="000000"/>
                <w:sz w:val="20"/>
                <w:szCs w:val="20"/>
              </w:rPr>
            </w:pPr>
            <w:r w:rsidRPr="0099428A">
              <w:rPr>
                <w:color w:val="000000"/>
                <w:sz w:val="20"/>
                <w:szCs w:val="20"/>
              </w:rPr>
              <w:t>Local</w:t>
            </w:r>
          </w:p>
        </w:tc>
        <w:tc>
          <w:tcPr>
            <w:tcW w:w="569" w:type="pct"/>
            <w:shd w:val="clear" w:color="auto" w:fill="auto"/>
            <w:vAlign w:val="center"/>
          </w:tcPr>
          <w:p w:rsidR="00BA318D" w:rsidRPr="0099428A" w:rsidRDefault="00BA318D" w:rsidP="00E77E4E">
            <w:pPr>
              <w:suppressAutoHyphens/>
              <w:autoSpaceDE w:val="0"/>
              <w:autoSpaceDN w:val="0"/>
              <w:adjustRightInd w:val="0"/>
              <w:jc w:val="center"/>
              <w:textAlignment w:val="center"/>
              <w:rPr>
                <w:color w:val="000000"/>
                <w:sz w:val="20"/>
                <w:szCs w:val="20"/>
              </w:rPr>
            </w:pPr>
            <w:r>
              <w:rPr>
                <w:color w:val="000000"/>
                <w:sz w:val="20"/>
                <w:szCs w:val="20"/>
              </w:rPr>
              <w:t>X</w:t>
            </w:r>
          </w:p>
        </w:tc>
        <w:tc>
          <w:tcPr>
            <w:tcW w:w="1448" w:type="pct"/>
            <w:vMerge w:val="restart"/>
            <w:shd w:val="clear" w:color="auto" w:fill="auto"/>
            <w:tcMar>
              <w:top w:w="90" w:type="dxa"/>
              <w:left w:w="90" w:type="dxa"/>
              <w:bottom w:w="90" w:type="dxa"/>
              <w:right w:w="90" w:type="dxa"/>
            </w:tcMar>
          </w:tcPr>
          <w:p w:rsidR="00BA318D" w:rsidRPr="0099428A" w:rsidRDefault="00BA318D" w:rsidP="00E77E4E">
            <w:pPr>
              <w:numPr>
                <w:ilvl w:val="0"/>
                <w:numId w:val="2"/>
              </w:numPr>
              <w:suppressAutoHyphens/>
              <w:autoSpaceDE w:val="0"/>
              <w:autoSpaceDN w:val="0"/>
              <w:adjustRightInd w:val="0"/>
              <w:spacing w:after="200" w:line="276" w:lineRule="auto"/>
              <w:textAlignment w:val="center"/>
              <w:rPr>
                <w:color w:val="000000"/>
                <w:sz w:val="20"/>
                <w:szCs w:val="20"/>
              </w:rPr>
            </w:pPr>
            <w:r w:rsidRPr="0099428A">
              <w:rPr>
                <w:color w:val="000000"/>
                <w:sz w:val="20"/>
                <w:szCs w:val="20"/>
              </w:rPr>
              <w:t>A countywide green ordinance provides a consistent and standardized design process</w:t>
            </w:r>
            <w:r>
              <w:rPr>
                <w:color w:val="000000"/>
                <w:sz w:val="20"/>
                <w:szCs w:val="20"/>
              </w:rPr>
              <w:t>.</w:t>
            </w:r>
          </w:p>
        </w:tc>
        <w:tc>
          <w:tcPr>
            <w:tcW w:w="604" w:type="pct"/>
            <w:vMerge w:val="restart"/>
            <w:shd w:val="clear" w:color="auto" w:fill="auto"/>
            <w:tcMar>
              <w:top w:w="90" w:type="dxa"/>
              <w:left w:w="90" w:type="dxa"/>
              <w:bottom w:w="90" w:type="dxa"/>
              <w:right w:w="90" w:type="dxa"/>
            </w:tcMar>
          </w:tcPr>
          <w:p w:rsidR="00BA318D" w:rsidRPr="0099428A" w:rsidRDefault="00BA318D" w:rsidP="00E77E4E">
            <w:pPr>
              <w:autoSpaceDE w:val="0"/>
              <w:autoSpaceDN w:val="0"/>
              <w:adjustRightInd w:val="0"/>
              <w:spacing w:line="288" w:lineRule="auto"/>
              <w:textAlignment w:val="center"/>
              <w:rPr>
                <w:color w:val="000000"/>
                <w:sz w:val="20"/>
                <w:szCs w:val="20"/>
              </w:rPr>
            </w:pPr>
          </w:p>
        </w:tc>
      </w:tr>
      <w:tr w:rsidR="00BA318D" w:rsidRPr="0099428A" w:rsidTr="00E77E4E">
        <w:trPr>
          <w:trHeight w:val="521"/>
          <w:jc w:val="center"/>
        </w:trPr>
        <w:tc>
          <w:tcPr>
            <w:tcW w:w="1720" w:type="pct"/>
            <w:vMerge/>
            <w:shd w:val="clear" w:color="auto" w:fill="auto"/>
            <w:tcMar>
              <w:top w:w="90" w:type="dxa"/>
              <w:left w:w="90" w:type="dxa"/>
              <w:bottom w:w="90" w:type="dxa"/>
              <w:right w:w="90" w:type="dxa"/>
            </w:tcMar>
          </w:tcPr>
          <w:p w:rsidR="00BA318D" w:rsidRPr="0099428A" w:rsidRDefault="00BA318D" w:rsidP="00E77E4E">
            <w:pPr>
              <w:numPr>
                <w:ilvl w:val="0"/>
                <w:numId w:val="2"/>
              </w:numPr>
              <w:suppressAutoHyphens/>
              <w:autoSpaceDE w:val="0"/>
              <w:autoSpaceDN w:val="0"/>
              <w:adjustRightInd w:val="0"/>
              <w:spacing w:after="200" w:line="276" w:lineRule="auto"/>
              <w:textAlignment w:val="center"/>
              <w:rPr>
                <w:color w:val="000000"/>
                <w:sz w:val="20"/>
                <w:szCs w:val="20"/>
              </w:rPr>
            </w:pPr>
          </w:p>
        </w:tc>
        <w:tc>
          <w:tcPr>
            <w:tcW w:w="659" w:type="pct"/>
            <w:shd w:val="clear" w:color="auto" w:fill="auto"/>
            <w:tcMar>
              <w:top w:w="90" w:type="dxa"/>
              <w:left w:w="90" w:type="dxa"/>
              <w:bottom w:w="90" w:type="dxa"/>
              <w:right w:w="90" w:type="dxa"/>
            </w:tcMar>
            <w:vAlign w:val="center"/>
          </w:tcPr>
          <w:p w:rsidR="00BA318D" w:rsidRPr="0099428A" w:rsidRDefault="00BA318D" w:rsidP="00E77E4E">
            <w:pPr>
              <w:suppressAutoHyphens/>
              <w:autoSpaceDE w:val="0"/>
              <w:autoSpaceDN w:val="0"/>
              <w:adjustRightInd w:val="0"/>
              <w:jc w:val="center"/>
              <w:textAlignment w:val="center"/>
              <w:rPr>
                <w:color w:val="000000"/>
                <w:sz w:val="20"/>
                <w:szCs w:val="20"/>
              </w:rPr>
            </w:pPr>
            <w:r w:rsidRPr="0099428A">
              <w:rPr>
                <w:color w:val="000000"/>
                <w:sz w:val="20"/>
                <w:szCs w:val="20"/>
              </w:rPr>
              <w:t>State</w:t>
            </w:r>
          </w:p>
        </w:tc>
        <w:tc>
          <w:tcPr>
            <w:tcW w:w="569" w:type="pct"/>
            <w:shd w:val="clear" w:color="auto" w:fill="auto"/>
            <w:vAlign w:val="center"/>
          </w:tcPr>
          <w:p w:rsidR="00BA318D" w:rsidRPr="0099428A" w:rsidRDefault="00BA318D" w:rsidP="00E77E4E">
            <w:pPr>
              <w:suppressAutoHyphens/>
              <w:autoSpaceDE w:val="0"/>
              <w:autoSpaceDN w:val="0"/>
              <w:adjustRightInd w:val="0"/>
              <w:jc w:val="center"/>
              <w:textAlignment w:val="center"/>
              <w:rPr>
                <w:color w:val="000000"/>
                <w:sz w:val="20"/>
                <w:szCs w:val="20"/>
              </w:rPr>
            </w:pPr>
          </w:p>
        </w:tc>
        <w:tc>
          <w:tcPr>
            <w:tcW w:w="1448" w:type="pct"/>
            <w:vMerge/>
            <w:shd w:val="clear" w:color="auto" w:fill="auto"/>
            <w:tcMar>
              <w:top w:w="90" w:type="dxa"/>
              <w:left w:w="90" w:type="dxa"/>
              <w:bottom w:w="90" w:type="dxa"/>
              <w:right w:w="90" w:type="dxa"/>
            </w:tcMar>
          </w:tcPr>
          <w:p w:rsidR="00BA318D" w:rsidRPr="0099428A" w:rsidRDefault="00BA318D" w:rsidP="00E77E4E">
            <w:pPr>
              <w:numPr>
                <w:ilvl w:val="0"/>
                <w:numId w:val="2"/>
              </w:numPr>
              <w:suppressAutoHyphens/>
              <w:autoSpaceDE w:val="0"/>
              <w:autoSpaceDN w:val="0"/>
              <w:adjustRightInd w:val="0"/>
              <w:spacing w:after="200" w:line="276" w:lineRule="auto"/>
              <w:textAlignment w:val="center"/>
              <w:rPr>
                <w:color w:val="000000"/>
                <w:sz w:val="20"/>
                <w:szCs w:val="20"/>
              </w:rPr>
            </w:pPr>
          </w:p>
        </w:tc>
        <w:tc>
          <w:tcPr>
            <w:tcW w:w="604" w:type="pct"/>
            <w:vMerge/>
            <w:shd w:val="clear" w:color="auto" w:fill="auto"/>
            <w:tcMar>
              <w:top w:w="90" w:type="dxa"/>
              <w:left w:w="90" w:type="dxa"/>
              <w:bottom w:w="90" w:type="dxa"/>
              <w:right w:w="90" w:type="dxa"/>
            </w:tcMar>
          </w:tcPr>
          <w:p w:rsidR="00BA318D" w:rsidRPr="0099428A" w:rsidRDefault="00BA318D" w:rsidP="00E77E4E">
            <w:pPr>
              <w:autoSpaceDE w:val="0"/>
              <w:autoSpaceDN w:val="0"/>
              <w:adjustRightInd w:val="0"/>
              <w:spacing w:line="288" w:lineRule="auto"/>
              <w:textAlignment w:val="center"/>
              <w:rPr>
                <w:color w:val="000000"/>
                <w:sz w:val="20"/>
                <w:szCs w:val="20"/>
              </w:rPr>
            </w:pPr>
          </w:p>
        </w:tc>
      </w:tr>
      <w:tr w:rsidR="00BA318D" w:rsidRPr="0099428A" w:rsidTr="00E77E4E">
        <w:trPr>
          <w:trHeight w:val="467"/>
          <w:jc w:val="center"/>
        </w:trPr>
        <w:tc>
          <w:tcPr>
            <w:tcW w:w="1720" w:type="pct"/>
            <w:vMerge/>
            <w:shd w:val="clear" w:color="auto" w:fill="auto"/>
            <w:tcMar>
              <w:top w:w="90" w:type="dxa"/>
              <w:left w:w="90" w:type="dxa"/>
              <w:bottom w:w="90" w:type="dxa"/>
              <w:right w:w="90" w:type="dxa"/>
            </w:tcMar>
          </w:tcPr>
          <w:p w:rsidR="00BA318D" w:rsidRPr="0099428A" w:rsidRDefault="00BA318D" w:rsidP="00E77E4E">
            <w:pPr>
              <w:numPr>
                <w:ilvl w:val="0"/>
                <w:numId w:val="2"/>
              </w:numPr>
              <w:suppressAutoHyphens/>
              <w:autoSpaceDE w:val="0"/>
              <w:autoSpaceDN w:val="0"/>
              <w:adjustRightInd w:val="0"/>
              <w:spacing w:after="200" w:line="276" w:lineRule="auto"/>
              <w:textAlignment w:val="center"/>
              <w:rPr>
                <w:color w:val="000000"/>
                <w:sz w:val="20"/>
                <w:szCs w:val="20"/>
              </w:rPr>
            </w:pPr>
          </w:p>
        </w:tc>
        <w:tc>
          <w:tcPr>
            <w:tcW w:w="659" w:type="pct"/>
            <w:shd w:val="clear" w:color="auto" w:fill="auto"/>
            <w:tcMar>
              <w:top w:w="90" w:type="dxa"/>
              <w:left w:w="90" w:type="dxa"/>
              <w:bottom w:w="90" w:type="dxa"/>
              <w:right w:w="90" w:type="dxa"/>
            </w:tcMar>
            <w:vAlign w:val="center"/>
          </w:tcPr>
          <w:p w:rsidR="00BA318D" w:rsidRPr="0099428A" w:rsidRDefault="00BA318D" w:rsidP="00E77E4E">
            <w:pPr>
              <w:suppressAutoHyphens/>
              <w:autoSpaceDE w:val="0"/>
              <w:autoSpaceDN w:val="0"/>
              <w:adjustRightInd w:val="0"/>
              <w:jc w:val="center"/>
              <w:textAlignment w:val="center"/>
              <w:rPr>
                <w:color w:val="000000"/>
                <w:sz w:val="20"/>
                <w:szCs w:val="20"/>
              </w:rPr>
            </w:pPr>
            <w:r w:rsidRPr="0099428A">
              <w:rPr>
                <w:color w:val="000000"/>
                <w:sz w:val="20"/>
                <w:szCs w:val="20"/>
              </w:rPr>
              <w:t>Voter</w:t>
            </w:r>
          </w:p>
        </w:tc>
        <w:tc>
          <w:tcPr>
            <w:tcW w:w="569" w:type="pct"/>
            <w:shd w:val="clear" w:color="auto" w:fill="auto"/>
            <w:vAlign w:val="center"/>
          </w:tcPr>
          <w:p w:rsidR="00BA318D" w:rsidRPr="0099428A" w:rsidRDefault="00BA318D" w:rsidP="00E77E4E">
            <w:pPr>
              <w:suppressAutoHyphens/>
              <w:autoSpaceDE w:val="0"/>
              <w:autoSpaceDN w:val="0"/>
              <w:adjustRightInd w:val="0"/>
              <w:jc w:val="center"/>
              <w:textAlignment w:val="center"/>
              <w:rPr>
                <w:color w:val="000000"/>
                <w:sz w:val="20"/>
                <w:szCs w:val="20"/>
              </w:rPr>
            </w:pPr>
          </w:p>
        </w:tc>
        <w:tc>
          <w:tcPr>
            <w:tcW w:w="1448" w:type="pct"/>
            <w:vMerge/>
            <w:shd w:val="clear" w:color="auto" w:fill="auto"/>
            <w:tcMar>
              <w:top w:w="90" w:type="dxa"/>
              <w:left w:w="90" w:type="dxa"/>
              <w:bottom w:w="90" w:type="dxa"/>
              <w:right w:w="90" w:type="dxa"/>
            </w:tcMar>
          </w:tcPr>
          <w:p w:rsidR="00BA318D" w:rsidRPr="0099428A" w:rsidRDefault="00BA318D" w:rsidP="00E77E4E">
            <w:pPr>
              <w:numPr>
                <w:ilvl w:val="0"/>
                <w:numId w:val="2"/>
              </w:numPr>
              <w:suppressAutoHyphens/>
              <w:autoSpaceDE w:val="0"/>
              <w:autoSpaceDN w:val="0"/>
              <w:adjustRightInd w:val="0"/>
              <w:spacing w:after="200" w:line="276" w:lineRule="auto"/>
              <w:textAlignment w:val="center"/>
              <w:rPr>
                <w:color w:val="000000"/>
                <w:sz w:val="20"/>
                <w:szCs w:val="20"/>
              </w:rPr>
            </w:pPr>
          </w:p>
        </w:tc>
        <w:tc>
          <w:tcPr>
            <w:tcW w:w="604" w:type="pct"/>
            <w:vMerge/>
            <w:shd w:val="clear" w:color="auto" w:fill="auto"/>
            <w:tcMar>
              <w:top w:w="90" w:type="dxa"/>
              <w:left w:w="90" w:type="dxa"/>
              <w:bottom w:w="90" w:type="dxa"/>
              <w:right w:w="90" w:type="dxa"/>
            </w:tcMar>
          </w:tcPr>
          <w:p w:rsidR="00BA318D" w:rsidRPr="0099428A" w:rsidRDefault="00BA318D" w:rsidP="00E77E4E">
            <w:pPr>
              <w:autoSpaceDE w:val="0"/>
              <w:autoSpaceDN w:val="0"/>
              <w:adjustRightInd w:val="0"/>
              <w:spacing w:line="288" w:lineRule="auto"/>
              <w:textAlignment w:val="center"/>
              <w:rPr>
                <w:color w:val="000000"/>
                <w:sz w:val="20"/>
                <w:szCs w:val="20"/>
              </w:rPr>
            </w:pPr>
          </w:p>
        </w:tc>
      </w:tr>
      <w:tr w:rsidR="00BA318D" w:rsidRPr="0099428A" w:rsidTr="00E77E4E">
        <w:trPr>
          <w:trHeight w:val="449"/>
          <w:jc w:val="center"/>
        </w:trPr>
        <w:tc>
          <w:tcPr>
            <w:tcW w:w="1720" w:type="pct"/>
            <w:vMerge w:val="restart"/>
            <w:shd w:val="clear" w:color="auto" w:fill="auto"/>
            <w:tcMar>
              <w:top w:w="90" w:type="dxa"/>
              <w:left w:w="90" w:type="dxa"/>
              <w:bottom w:w="90" w:type="dxa"/>
              <w:right w:w="90" w:type="dxa"/>
            </w:tcMar>
          </w:tcPr>
          <w:p w:rsidR="00BA318D" w:rsidRPr="0099428A" w:rsidRDefault="00BA318D" w:rsidP="00E77E4E">
            <w:pPr>
              <w:numPr>
                <w:ilvl w:val="0"/>
                <w:numId w:val="2"/>
              </w:numPr>
              <w:suppressAutoHyphens/>
              <w:autoSpaceDE w:val="0"/>
              <w:autoSpaceDN w:val="0"/>
              <w:adjustRightInd w:val="0"/>
              <w:spacing w:after="200" w:line="276" w:lineRule="auto"/>
              <w:textAlignment w:val="center"/>
              <w:rPr>
                <w:color w:val="000000"/>
                <w:sz w:val="20"/>
                <w:szCs w:val="20"/>
              </w:rPr>
            </w:pPr>
            <w:r w:rsidRPr="0099428A">
              <w:rPr>
                <w:color w:val="000000"/>
                <w:sz w:val="20"/>
                <w:szCs w:val="20"/>
              </w:rPr>
              <w:t>Provide expedited review and approvals for green buildings</w:t>
            </w:r>
          </w:p>
        </w:tc>
        <w:tc>
          <w:tcPr>
            <w:tcW w:w="659" w:type="pct"/>
            <w:tcBorders>
              <w:bottom w:val="single" w:sz="4" w:space="0" w:color="000000"/>
            </w:tcBorders>
            <w:shd w:val="clear" w:color="auto" w:fill="auto"/>
            <w:tcMar>
              <w:top w:w="90" w:type="dxa"/>
              <w:left w:w="90" w:type="dxa"/>
              <w:bottom w:w="90" w:type="dxa"/>
              <w:right w:w="90" w:type="dxa"/>
            </w:tcMar>
            <w:vAlign w:val="center"/>
          </w:tcPr>
          <w:p w:rsidR="00BA318D" w:rsidRPr="0099428A" w:rsidRDefault="00BA318D" w:rsidP="00E77E4E">
            <w:pPr>
              <w:suppressAutoHyphens/>
              <w:autoSpaceDE w:val="0"/>
              <w:autoSpaceDN w:val="0"/>
              <w:adjustRightInd w:val="0"/>
              <w:jc w:val="center"/>
              <w:textAlignment w:val="center"/>
              <w:rPr>
                <w:color w:val="000000"/>
                <w:sz w:val="20"/>
                <w:szCs w:val="20"/>
              </w:rPr>
            </w:pPr>
            <w:r w:rsidRPr="0099428A">
              <w:rPr>
                <w:color w:val="000000"/>
                <w:sz w:val="20"/>
                <w:szCs w:val="20"/>
              </w:rPr>
              <w:t>Local</w:t>
            </w:r>
          </w:p>
        </w:tc>
        <w:tc>
          <w:tcPr>
            <w:tcW w:w="569" w:type="pct"/>
            <w:tcBorders>
              <w:bottom w:val="single" w:sz="4" w:space="0" w:color="000000"/>
            </w:tcBorders>
            <w:shd w:val="clear" w:color="auto" w:fill="auto"/>
            <w:vAlign w:val="center"/>
          </w:tcPr>
          <w:p w:rsidR="00BA318D" w:rsidRPr="0099428A" w:rsidRDefault="00BA318D" w:rsidP="00E77E4E">
            <w:pPr>
              <w:suppressAutoHyphens/>
              <w:autoSpaceDE w:val="0"/>
              <w:autoSpaceDN w:val="0"/>
              <w:adjustRightInd w:val="0"/>
              <w:jc w:val="center"/>
              <w:textAlignment w:val="center"/>
              <w:rPr>
                <w:color w:val="000000"/>
                <w:sz w:val="20"/>
                <w:szCs w:val="20"/>
              </w:rPr>
            </w:pPr>
            <w:r>
              <w:rPr>
                <w:color w:val="000000"/>
                <w:sz w:val="20"/>
                <w:szCs w:val="20"/>
              </w:rPr>
              <w:t>X</w:t>
            </w:r>
          </w:p>
        </w:tc>
        <w:tc>
          <w:tcPr>
            <w:tcW w:w="1448" w:type="pct"/>
            <w:vMerge w:val="restart"/>
            <w:shd w:val="clear" w:color="auto" w:fill="auto"/>
            <w:tcMar>
              <w:top w:w="90" w:type="dxa"/>
              <w:left w:w="90" w:type="dxa"/>
              <w:bottom w:w="90" w:type="dxa"/>
              <w:right w:w="90" w:type="dxa"/>
            </w:tcMar>
          </w:tcPr>
          <w:p w:rsidR="00BA318D" w:rsidRPr="0099428A" w:rsidRDefault="00BA318D" w:rsidP="00E77E4E">
            <w:pPr>
              <w:numPr>
                <w:ilvl w:val="0"/>
                <w:numId w:val="2"/>
              </w:numPr>
              <w:suppressAutoHyphens/>
              <w:autoSpaceDE w:val="0"/>
              <w:autoSpaceDN w:val="0"/>
              <w:adjustRightInd w:val="0"/>
              <w:spacing w:after="200" w:line="276" w:lineRule="auto"/>
              <w:textAlignment w:val="center"/>
              <w:rPr>
                <w:color w:val="000000"/>
                <w:sz w:val="20"/>
                <w:szCs w:val="20"/>
              </w:rPr>
            </w:pPr>
            <w:r w:rsidRPr="0099428A">
              <w:rPr>
                <w:color w:val="000000"/>
                <w:sz w:val="20"/>
                <w:szCs w:val="20"/>
              </w:rPr>
              <w:t>Expedited approvals shorten development timelines and reduce costs</w:t>
            </w:r>
            <w:r>
              <w:rPr>
                <w:color w:val="000000"/>
                <w:sz w:val="20"/>
                <w:szCs w:val="20"/>
              </w:rPr>
              <w:t>.</w:t>
            </w:r>
          </w:p>
        </w:tc>
        <w:tc>
          <w:tcPr>
            <w:tcW w:w="604" w:type="pct"/>
            <w:vMerge w:val="restart"/>
            <w:shd w:val="clear" w:color="auto" w:fill="auto"/>
            <w:tcMar>
              <w:top w:w="90" w:type="dxa"/>
              <w:left w:w="90" w:type="dxa"/>
              <w:bottom w:w="90" w:type="dxa"/>
              <w:right w:w="90" w:type="dxa"/>
            </w:tcMar>
          </w:tcPr>
          <w:p w:rsidR="00BA318D" w:rsidRPr="0099428A" w:rsidRDefault="00BA318D" w:rsidP="00E77E4E">
            <w:pPr>
              <w:autoSpaceDE w:val="0"/>
              <w:autoSpaceDN w:val="0"/>
              <w:adjustRightInd w:val="0"/>
              <w:spacing w:line="288" w:lineRule="auto"/>
              <w:textAlignment w:val="center"/>
              <w:rPr>
                <w:color w:val="000000"/>
                <w:sz w:val="20"/>
                <w:szCs w:val="20"/>
              </w:rPr>
            </w:pPr>
          </w:p>
        </w:tc>
      </w:tr>
      <w:tr w:rsidR="00BA318D" w:rsidRPr="0099428A" w:rsidTr="00E77E4E">
        <w:trPr>
          <w:trHeight w:val="422"/>
          <w:jc w:val="center"/>
        </w:trPr>
        <w:tc>
          <w:tcPr>
            <w:tcW w:w="1720" w:type="pct"/>
            <w:vMerge/>
            <w:shd w:val="clear" w:color="auto" w:fill="auto"/>
            <w:tcMar>
              <w:top w:w="90" w:type="dxa"/>
              <w:left w:w="90" w:type="dxa"/>
              <w:bottom w:w="90" w:type="dxa"/>
              <w:right w:w="90" w:type="dxa"/>
            </w:tcMar>
          </w:tcPr>
          <w:p w:rsidR="00BA318D" w:rsidRPr="0099428A" w:rsidRDefault="00BA318D" w:rsidP="00E77E4E">
            <w:pPr>
              <w:numPr>
                <w:ilvl w:val="0"/>
                <w:numId w:val="2"/>
              </w:numPr>
              <w:suppressAutoHyphens/>
              <w:autoSpaceDE w:val="0"/>
              <w:autoSpaceDN w:val="0"/>
              <w:adjustRightInd w:val="0"/>
              <w:spacing w:after="200" w:line="276" w:lineRule="auto"/>
              <w:textAlignment w:val="center"/>
              <w:rPr>
                <w:color w:val="000000"/>
                <w:sz w:val="20"/>
                <w:szCs w:val="20"/>
              </w:rPr>
            </w:pPr>
          </w:p>
        </w:tc>
        <w:tc>
          <w:tcPr>
            <w:tcW w:w="659" w:type="pct"/>
            <w:tcBorders>
              <w:bottom w:val="single" w:sz="4" w:space="0" w:color="000000"/>
            </w:tcBorders>
            <w:shd w:val="clear" w:color="auto" w:fill="auto"/>
            <w:tcMar>
              <w:top w:w="90" w:type="dxa"/>
              <w:left w:w="90" w:type="dxa"/>
              <w:bottom w:w="90" w:type="dxa"/>
              <w:right w:w="90" w:type="dxa"/>
            </w:tcMar>
            <w:vAlign w:val="center"/>
          </w:tcPr>
          <w:p w:rsidR="00BA318D" w:rsidRPr="0099428A" w:rsidRDefault="00BA318D" w:rsidP="00E77E4E">
            <w:pPr>
              <w:suppressAutoHyphens/>
              <w:autoSpaceDE w:val="0"/>
              <w:autoSpaceDN w:val="0"/>
              <w:adjustRightInd w:val="0"/>
              <w:jc w:val="center"/>
              <w:textAlignment w:val="center"/>
              <w:rPr>
                <w:color w:val="000000"/>
                <w:sz w:val="20"/>
                <w:szCs w:val="20"/>
              </w:rPr>
            </w:pPr>
            <w:r w:rsidRPr="0099428A">
              <w:rPr>
                <w:color w:val="000000"/>
                <w:sz w:val="20"/>
                <w:szCs w:val="20"/>
              </w:rPr>
              <w:t>State</w:t>
            </w:r>
          </w:p>
        </w:tc>
        <w:tc>
          <w:tcPr>
            <w:tcW w:w="569" w:type="pct"/>
            <w:tcBorders>
              <w:bottom w:val="single" w:sz="4" w:space="0" w:color="000000"/>
            </w:tcBorders>
            <w:shd w:val="clear" w:color="auto" w:fill="auto"/>
            <w:vAlign w:val="center"/>
          </w:tcPr>
          <w:p w:rsidR="00BA318D" w:rsidRPr="0099428A" w:rsidRDefault="00BA318D" w:rsidP="00E77E4E">
            <w:pPr>
              <w:suppressAutoHyphens/>
              <w:autoSpaceDE w:val="0"/>
              <w:autoSpaceDN w:val="0"/>
              <w:adjustRightInd w:val="0"/>
              <w:jc w:val="center"/>
              <w:textAlignment w:val="center"/>
              <w:rPr>
                <w:color w:val="000000"/>
                <w:sz w:val="20"/>
                <w:szCs w:val="20"/>
              </w:rPr>
            </w:pPr>
          </w:p>
        </w:tc>
        <w:tc>
          <w:tcPr>
            <w:tcW w:w="1448" w:type="pct"/>
            <w:vMerge/>
            <w:shd w:val="clear" w:color="auto" w:fill="auto"/>
            <w:tcMar>
              <w:top w:w="90" w:type="dxa"/>
              <w:left w:w="90" w:type="dxa"/>
              <w:bottom w:w="90" w:type="dxa"/>
              <w:right w:w="90" w:type="dxa"/>
            </w:tcMar>
          </w:tcPr>
          <w:p w:rsidR="00BA318D" w:rsidRPr="0099428A" w:rsidRDefault="00BA318D" w:rsidP="00E77E4E">
            <w:pPr>
              <w:numPr>
                <w:ilvl w:val="0"/>
                <w:numId w:val="2"/>
              </w:numPr>
              <w:suppressAutoHyphens/>
              <w:autoSpaceDE w:val="0"/>
              <w:autoSpaceDN w:val="0"/>
              <w:adjustRightInd w:val="0"/>
              <w:spacing w:after="200" w:line="276" w:lineRule="auto"/>
              <w:textAlignment w:val="center"/>
              <w:rPr>
                <w:color w:val="000000"/>
                <w:sz w:val="20"/>
                <w:szCs w:val="20"/>
              </w:rPr>
            </w:pPr>
          </w:p>
        </w:tc>
        <w:tc>
          <w:tcPr>
            <w:tcW w:w="604" w:type="pct"/>
            <w:vMerge/>
            <w:shd w:val="clear" w:color="auto" w:fill="auto"/>
            <w:tcMar>
              <w:top w:w="90" w:type="dxa"/>
              <w:left w:w="90" w:type="dxa"/>
              <w:bottom w:w="90" w:type="dxa"/>
              <w:right w:w="90" w:type="dxa"/>
            </w:tcMar>
          </w:tcPr>
          <w:p w:rsidR="00BA318D" w:rsidRPr="0099428A" w:rsidRDefault="00BA318D" w:rsidP="00E77E4E">
            <w:pPr>
              <w:autoSpaceDE w:val="0"/>
              <w:autoSpaceDN w:val="0"/>
              <w:adjustRightInd w:val="0"/>
              <w:spacing w:line="288" w:lineRule="auto"/>
              <w:textAlignment w:val="center"/>
              <w:rPr>
                <w:color w:val="000000"/>
                <w:sz w:val="20"/>
                <w:szCs w:val="20"/>
              </w:rPr>
            </w:pPr>
          </w:p>
        </w:tc>
      </w:tr>
      <w:tr w:rsidR="00BA318D" w:rsidRPr="0099428A" w:rsidTr="00E77E4E">
        <w:trPr>
          <w:trHeight w:val="494"/>
          <w:jc w:val="center"/>
        </w:trPr>
        <w:tc>
          <w:tcPr>
            <w:tcW w:w="1720" w:type="pct"/>
            <w:vMerge/>
            <w:tcBorders>
              <w:bottom w:val="single" w:sz="4" w:space="0" w:color="000000"/>
            </w:tcBorders>
            <w:shd w:val="clear" w:color="auto" w:fill="auto"/>
            <w:tcMar>
              <w:top w:w="90" w:type="dxa"/>
              <w:left w:w="90" w:type="dxa"/>
              <w:bottom w:w="90" w:type="dxa"/>
              <w:right w:w="90" w:type="dxa"/>
            </w:tcMar>
          </w:tcPr>
          <w:p w:rsidR="00BA318D" w:rsidRPr="0099428A" w:rsidRDefault="00BA318D" w:rsidP="00E77E4E">
            <w:pPr>
              <w:numPr>
                <w:ilvl w:val="0"/>
                <w:numId w:val="2"/>
              </w:numPr>
              <w:suppressAutoHyphens/>
              <w:autoSpaceDE w:val="0"/>
              <w:autoSpaceDN w:val="0"/>
              <w:adjustRightInd w:val="0"/>
              <w:spacing w:after="200" w:line="276" w:lineRule="auto"/>
              <w:textAlignment w:val="center"/>
              <w:rPr>
                <w:color w:val="000000"/>
                <w:sz w:val="20"/>
                <w:szCs w:val="20"/>
              </w:rPr>
            </w:pPr>
          </w:p>
        </w:tc>
        <w:tc>
          <w:tcPr>
            <w:tcW w:w="659" w:type="pct"/>
            <w:tcBorders>
              <w:bottom w:val="single" w:sz="4" w:space="0" w:color="000000"/>
            </w:tcBorders>
            <w:shd w:val="clear" w:color="auto" w:fill="auto"/>
            <w:tcMar>
              <w:top w:w="90" w:type="dxa"/>
              <w:left w:w="90" w:type="dxa"/>
              <w:bottom w:w="90" w:type="dxa"/>
              <w:right w:w="90" w:type="dxa"/>
            </w:tcMar>
            <w:vAlign w:val="center"/>
          </w:tcPr>
          <w:p w:rsidR="00BA318D" w:rsidRPr="0099428A" w:rsidRDefault="00BA318D" w:rsidP="00E77E4E">
            <w:pPr>
              <w:suppressAutoHyphens/>
              <w:autoSpaceDE w:val="0"/>
              <w:autoSpaceDN w:val="0"/>
              <w:adjustRightInd w:val="0"/>
              <w:jc w:val="center"/>
              <w:textAlignment w:val="center"/>
              <w:rPr>
                <w:color w:val="000000"/>
                <w:sz w:val="20"/>
                <w:szCs w:val="20"/>
              </w:rPr>
            </w:pPr>
            <w:r w:rsidRPr="0099428A">
              <w:rPr>
                <w:color w:val="000000"/>
                <w:sz w:val="20"/>
                <w:szCs w:val="20"/>
              </w:rPr>
              <w:t>Voter</w:t>
            </w:r>
          </w:p>
        </w:tc>
        <w:tc>
          <w:tcPr>
            <w:tcW w:w="569" w:type="pct"/>
            <w:tcBorders>
              <w:bottom w:val="single" w:sz="4" w:space="0" w:color="000000"/>
            </w:tcBorders>
            <w:shd w:val="clear" w:color="auto" w:fill="auto"/>
            <w:vAlign w:val="center"/>
          </w:tcPr>
          <w:p w:rsidR="00BA318D" w:rsidRPr="0099428A" w:rsidRDefault="00BA318D" w:rsidP="00E77E4E">
            <w:pPr>
              <w:suppressAutoHyphens/>
              <w:autoSpaceDE w:val="0"/>
              <w:autoSpaceDN w:val="0"/>
              <w:adjustRightInd w:val="0"/>
              <w:jc w:val="center"/>
              <w:textAlignment w:val="center"/>
              <w:rPr>
                <w:color w:val="000000"/>
                <w:sz w:val="20"/>
                <w:szCs w:val="20"/>
              </w:rPr>
            </w:pPr>
          </w:p>
        </w:tc>
        <w:tc>
          <w:tcPr>
            <w:tcW w:w="1448" w:type="pct"/>
            <w:vMerge/>
            <w:tcBorders>
              <w:bottom w:val="single" w:sz="4" w:space="0" w:color="000000"/>
            </w:tcBorders>
            <w:shd w:val="clear" w:color="auto" w:fill="auto"/>
            <w:tcMar>
              <w:top w:w="90" w:type="dxa"/>
              <w:left w:w="90" w:type="dxa"/>
              <w:bottom w:w="90" w:type="dxa"/>
              <w:right w:w="90" w:type="dxa"/>
            </w:tcMar>
          </w:tcPr>
          <w:p w:rsidR="00BA318D" w:rsidRPr="0099428A" w:rsidRDefault="00BA318D" w:rsidP="00E77E4E">
            <w:pPr>
              <w:numPr>
                <w:ilvl w:val="0"/>
                <w:numId w:val="2"/>
              </w:numPr>
              <w:suppressAutoHyphens/>
              <w:autoSpaceDE w:val="0"/>
              <w:autoSpaceDN w:val="0"/>
              <w:adjustRightInd w:val="0"/>
              <w:spacing w:after="200" w:line="276" w:lineRule="auto"/>
              <w:textAlignment w:val="center"/>
              <w:rPr>
                <w:color w:val="000000"/>
                <w:sz w:val="20"/>
                <w:szCs w:val="20"/>
              </w:rPr>
            </w:pPr>
          </w:p>
        </w:tc>
        <w:tc>
          <w:tcPr>
            <w:tcW w:w="604" w:type="pct"/>
            <w:vMerge/>
            <w:tcBorders>
              <w:bottom w:val="single" w:sz="4" w:space="0" w:color="000000"/>
            </w:tcBorders>
            <w:shd w:val="clear" w:color="auto" w:fill="auto"/>
            <w:tcMar>
              <w:top w:w="90" w:type="dxa"/>
              <w:left w:w="90" w:type="dxa"/>
              <w:bottom w:w="90" w:type="dxa"/>
              <w:right w:w="90" w:type="dxa"/>
            </w:tcMar>
          </w:tcPr>
          <w:p w:rsidR="00BA318D" w:rsidRPr="0099428A" w:rsidRDefault="00BA318D" w:rsidP="00E77E4E">
            <w:pPr>
              <w:autoSpaceDE w:val="0"/>
              <w:autoSpaceDN w:val="0"/>
              <w:adjustRightInd w:val="0"/>
              <w:spacing w:line="288" w:lineRule="auto"/>
              <w:textAlignment w:val="center"/>
              <w:rPr>
                <w:color w:val="000000"/>
                <w:sz w:val="20"/>
                <w:szCs w:val="20"/>
              </w:rPr>
            </w:pPr>
          </w:p>
        </w:tc>
      </w:tr>
      <w:tr w:rsidR="00BA318D" w:rsidRPr="0099428A" w:rsidTr="00E77E4E">
        <w:trPr>
          <w:trHeight w:val="60"/>
          <w:jc w:val="center"/>
        </w:trPr>
        <w:tc>
          <w:tcPr>
            <w:tcW w:w="5000" w:type="pct"/>
            <w:gridSpan w:val="5"/>
            <w:tcBorders>
              <w:bottom w:val="single" w:sz="4" w:space="0" w:color="000000"/>
            </w:tcBorders>
            <w:shd w:val="clear" w:color="auto" w:fill="A6A6A6" w:themeFill="background1" w:themeFillShade="A6"/>
            <w:tcMar>
              <w:top w:w="90" w:type="dxa"/>
              <w:left w:w="90" w:type="dxa"/>
              <w:bottom w:w="90" w:type="dxa"/>
              <w:right w:w="90" w:type="dxa"/>
            </w:tcMar>
            <w:vAlign w:val="center"/>
          </w:tcPr>
          <w:p w:rsidR="00BA318D" w:rsidRPr="0099428A" w:rsidRDefault="00BA318D" w:rsidP="00E77E4E">
            <w:pPr>
              <w:autoSpaceDE w:val="0"/>
              <w:autoSpaceDN w:val="0"/>
              <w:adjustRightInd w:val="0"/>
              <w:spacing w:line="288" w:lineRule="auto"/>
              <w:textAlignment w:val="center"/>
              <w:rPr>
                <w:color w:val="000000"/>
                <w:sz w:val="20"/>
                <w:szCs w:val="20"/>
              </w:rPr>
            </w:pPr>
            <w:r w:rsidRPr="0099428A">
              <w:rPr>
                <w:b/>
                <w:bCs/>
                <w:color w:val="000000"/>
                <w:sz w:val="20"/>
                <w:szCs w:val="20"/>
              </w:rPr>
              <w:t xml:space="preserve"> Action Step #5:  Promote Unit Size Appropriateness</w:t>
            </w:r>
          </w:p>
        </w:tc>
      </w:tr>
      <w:tr w:rsidR="00BA318D" w:rsidRPr="0099428A" w:rsidTr="00E77E4E">
        <w:trPr>
          <w:trHeight w:val="60"/>
          <w:jc w:val="center"/>
        </w:trPr>
        <w:tc>
          <w:tcPr>
            <w:tcW w:w="1720" w:type="pct"/>
            <w:tcBorders>
              <w:bottom w:val="single" w:sz="4" w:space="0" w:color="000000"/>
            </w:tcBorders>
            <w:shd w:val="clear" w:color="auto" w:fill="A6A6A6" w:themeFill="background1" w:themeFillShade="A6"/>
            <w:tcMar>
              <w:top w:w="90" w:type="dxa"/>
              <w:left w:w="90" w:type="dxa"/>
              <w:bottom w:w="90" w:type="dxa"/>
              <w:right w:w="90" w:type="dxa"/>
            </w:tcMar>
            <w:vAlign w:val="center"/>
          </w:tcPr>
          <w:p w:rsidR="00BA318D" w:rsidRPr="0099428A" w:rsidRDefault="00BA318D" w:rsidP="00E77E4E">
            <w:pPr>
              <w:suppressAutoHyphens/>
              <w:autoSpaceDE w:val="0"/>
              <w:autoSpaceDN w:val="0"/>
              <w:adjustRightInd w:val="0"/>
              <w:jc w:val="center"/>
              <w:textAlignment w:val="center"/>
              <w:rPr>
                <w:b/>
                <w:bCs/>
                <w:color w:val="000000"/>
                <w:sz w:val="20"/>
                <w:szCs w:val="20"/>
              </w:rPr>
            </w:pPr>
            <w:r w:rsidRPr="0099428A">
              <w:rPr>
                <w:b/>
                <w:bCs/>
                <w:color w:val="000000"/>
                <w:sz w:val="20"/>
                <w:szCs w:val="20"/>
              </w:rPr>
              <w:t>Tasks</w:t>
            </w:r>
          </w:p>
        </w:tc>
        <w:tc>
          <w:tcPr>
            <w:tcW w:w="1228" w:type="pct"/>
            <w:gridSpan w:val="2"/>
            <w:tcBorders>
              <w:bottom w:val="single" w:sz="4" w:space="0" w:color="000000"/>
            </w:tcBorders>
            <w:shd w:val="clear" w:color="auto" w:fill="A6A6A6" w:themeFill="background1" w:themeFillShade="A6"/>
            <w:tcMar>
              <w:top w:w="90" w:type="dxa"/>
              <w:left w:w="90" w:type="dxa"/>
              <w:bottom w:w="90" w:type="dxa"/>
              <w:right w:w="90" w:type="dxa"/>
            </w:tcMar>
            <w:vAlign w:val="center"/>
          </w:tcPr>
          <w:p w:rsidR="00BA318D" w:rsidRPr="0099428A" w:rsidRDefault="00BA318D" w:rsidP="00E77E4E">
            <w:pPr>
              <w:suppressAutoHyphens/>
              <w:autoSpaceDE w:val="0"/>
              <w:autoSpaceDN w:val="0"/>
              <w:adjustRightInd w:val="0"/>
              <w:jc w:val="center"/>
              <w:textAlignment w:val="center"/>
              <w:rPr>
                <w:b/>
                <w:bCs/>
                <w:color w:val="000000"/>
                <w:sz w:val="20"/>
                <w:szCs w:val="20"/>
              </w:rPr>
            </w:pPr>
            <w:r w:rsidRPr="0099428A">
              <w:rPr>
                <w:b/>
                <w:bCs/>
                <w:color w:val="000000"/>
                <w:sz w:val="20"/>
                <w:szCs w:val="20"/>
              </w:rPr>
              <w:t>Required Approvals</w:t>
            </w:r>
          </w:p>
        </w:tc>
        <w:tc>
          <w:tcPr>
            <w:tcW w:w="1448" w:type="pct"/>
            <w:tcBorders>
              <w:bottom w:val="single" w:sz="4" w:space="0" w:color="000000"/>
            </w:tcBorders>
            <w:shd w:val="clear" w:color="auto" w:fill="A6A6A6" w:themeFill="background1" w:themeFillShade="A6"/>
            <w:tcMar>
              <w:top w:w="90" w:type="dxa"/>
              <w:left w:w="90" w:type="dxa"/>
              <w:bottom w:w="90" w:type="dxa"/>
              <w:right w:w="90" w:type="dxa"/>
            </w:tcMar>
            <w:vAlign w:val="center"/>
          </w:tcPr>
          <w:p w:rsidR="00BA318D" w:rsidRPr="0099428A" w:rsidRDefault="00BA318D" w:rsidP="00E77E4E">
            <w:pPr>
              <w:suppressAutoHyphens/>
              <w:autoSpaceDE w:val="0"/>
              <w:autoSpaceDN w:val="0"/>
              <w:adjustRightInd w:val="0"/>
              <w:jc w:val="center"/>
              <w:textAlignment w:val="center"/>
              <w:rPr>
                <w:b/>
                <w:bCs/>
                <w:color w:val="000000"/>
                <w:sz w:val="20"/>
                <w:szCs w:val="20"/>
              </w:rPr>
            </w:pPr>
            <w:r w:rsidRPr="0099428A">
              <w:rPr>
                <w:b/>
                <w:bCs/>
                <w:color w:val="000000"/>
                <w:sz w:val="20"/>
                <w:szCs w:val="20"/>
              </w:rPr>
              <w:t>Measurable Outcome(s)</w:t>
            </w:r>
          </w:p>
        </w:tc>
        <w:tc>
          <w:tcPr>
            <w:tcW w:w="604" w:type="pct"/>
            <w:tcBorders>
              <w:bottom w:val="single" w:sz="4" w:space="0" w:color="000000"/>
            </w:tcBorders>
            <w:shd w:val="clear" w:color="auto" w:fill="A6A6A6" w:themeFill="background1" w:themeFillShade="A6"/>
            <w:tcMar>
              <w:top w:w="90" w:type="dxa"/>
              <w:left w:w="90" w:type="dxa"/>
              <w:bottom w:w="90" w:type="dxa"/>
              <w:right w:w="90" w:type="dxa"/>
            </w:tcMar>
            <w:vAlign w:val="center"/>
          </w:tcPr>
          <w:p w:rsidR="00BA318D" w:rsidRPr="0099428A" w:rsidRDefault="00BA318D" w:rsidP="00E77E4E">
            <w:pPr>
              <w:suppressAutoHyphens/>
              <w:autoSpaceDE w:val="0"/>
              <w:autoSpaceDN w:val="0"/>
              <w:adjustRightInd w:val="0"/>
              <w:jc w:val="center"/>
              <w:textAlignment w:val="center"/>
              <w:rPr>
                <w:b/>
                <w:bCs/>
                <w:color w:val="000000"/>
                <w:sz w:val="20"/>
                <w:szCs w:val="20"/>
                <w:u w:color="000000"/>
              </w:rPr>
            </w:pPr>
            <w:r w:rsidRPr="0099428A">
              <w:rPr>
                <w:b/>
                <w:bCs/>
                <w:color w:val="000000"/>
                <w:sz w:val="20"/>
                <w:szCs w:val="20"/>
                <w:u w:color="000000"/>
              </w:rPr>
              <w:t>Target Completion Date(s)</w:t>
            </w:r>
          </w:p>
        </w:tc>
      </w:tr>
      <w:tr w:rsidR="00BA318D" w:rsidRPr="0099428A" w:rsidTr="00E77E4E">
        <w:trPr>
          <w:trHeight w:val="449"/>
          <w:jc w:val="center"/>
        </w:trPr>
        <w:tc>
          <w:tcPr>
            <w:tcW w:w="1720" w:type="pct"/>
            <w:vMerge w:val="restart"/>
            <w:shd w:val="clear" w:color="auto" w:fill="auto"/>
            <w:tcMar>
              <w:top w:w="90" w:type="dxa"/>
              <w:left w:w="90" w:type="dxa"/>
              <w:bottom w:w="90" w:type="dxa"/>
              <w:right w:w="90" w:type="dxa"/>
            </w:tcMar>
          </w:tcPr>
          <w:p w:rsidR="00BA318D" w:rsidRPr="0099428A" w:rsidRDefault="00BA318D" w:rsidP="00E77E4E">
            <w:pPr>
              <w:numPr>
                <w:ilvl w:val="0"/>
                <w:numId w:val="2"/>
              </w:numPr>
              <w:suppressAutoHyphens/>
              <w:autoSpaceDE w:val="0"/>
              <w:autoSpaceDN w:val="0"/>
              <w:adjustRightInd w:val="0"/>
              <w:spacing w:after="200" w:line="276" w:lineRule="auto"/>
              <w:textAlignment w:val="center"/>
              <w:rPr>
                <w:color w:val="000000"/>
                <w:sz w:val="20"/>
                <w:szCs w:val="20"/>
              </w:rPr>
            </w:pPr>
            <w:r w:rsidRPr="0099428A">
              <w:rPr>
                <w:color w:val="000000"/>
                <w:sz w:val="20"/>
                <w:szCs w:val="20"/>
              </w:rPr>
              <w:t>Modify City/County underwriting guidelines to set maximum unit sizes with livable standards, requiring justification for larger units</w:t>
            </w:r>
          </w:p>
          <w:p w:rsidR="00BA318D" w:rsidRPr="0099428A" w:rsidRDefault="00BA318D" w:rsidP="00E77E4E">
            <w:pPr>
              <w:suppressAutoHyphens/>
              <w:autoSpaceDE w:val="0"/>
              <w:autoSpaceDN w:val="0"/>
              <w:adjustRightInd w:val="0"/>
              <w:textAlignment w:val="center"/>
              <w:rPr>
                <w:color w:val="000000"/>
                <w:sz w:val="20"/>
                <w:szCs w:val="20"/>
              </w:rPr>
            </w:pPr>
          </w:p>
        </w:tc>
        <w:tc>
          <w:tcPr>
            <w:tcW w:w="659" w:type="pct"/>
            <w:shd w:val="clear" w:color="auto" w:fill="auto"/>
            <w:tcMar>
              <w:top w:w="90" w:type="dxa"/>
              <w:left w:w="90" w:type="dxa"/>
              <w:bottom w:w="90" w:type="dxa"/>
              <w:right w:w="90" w:type="dxa"/>
            </w:tcMar>
            <w:vAlign w:val="center"/>
          </w:tcPr>
          <w:p w:rsidR="00BA318D" w:rsidRPr="0099428A" w:rsidRDefault="00BA318D" w:rsidP="00E77E4E">
            <w:pPr>
              <w:suppressAutoHyphens/>
              <w:autoSpaceDE w:val="0"/>
              <w:autoSpaceDN w:val="0"/>
              <w:adjustRightInd w:val="0"/>
              <w:jc w:val="center"/>
              <w:textAlignment w:val="center"/>
              <w:rPr>
                <w:color w:val="000000"/>
                <w:sz w:val="20"/>
                <w:szCs w:val="20"/>
              </w:rPr>
            </w:pPr>
            <w:r w:rsidRPr="0099428A">
              <w:rPr>
                <w:color w:val="000000"/>
                <w:sz w:val="20"/>
                <w:szCs w:val="20"/>
              </w:rPr>
              <w:t>Local</w:t>
            </w:r>
          </w:p>
        </w:tc>
        <w:tc>
          <w:tcPr>
            <w:tcW w:w="569" w:type="pct"/>
            <w:shd w:val="clear" w:color="auto" w:fill="auto"/>
            <w:vAlign w:val="center"/>
          </w:tcPr>
          <w:p w:rsidR="00BA318D" w:rsidRPr="0099428A" w:rsidRDefault="00BA318D" w:rsidP="00E77E4E">
            <w:pPr>
              <w:suppressAutoHyphens/>
              <w:autoSpaceDE w:val="0"/>
              <w:autoSpaceDN w:val="0"/>
              <w:adjustRightInd w:val="0"/>
              <w:jc w:val="center"/>
              <w:textAlignment w:val="center"/>
              <w:rPr>
                <w:color w:val="000000"/>
                <w:sz w:val="20"/>
                <w:szCs w:val="20"/>
              </w:rPr>
            </w:pPr>
            <w:r>
              <w:rPr>
                <w:color w:val="000000"/>
                <w:sz w:val="20"/>
                <w:szCs w:val="20"/>
              </w:rPr>
              <w:t>X</w:t>
            </w:r>
          </w:p>
        </w:tc>
        <w:tc>
          <w:tcPr>
            <w:tcW w:w="1448" w:type="pct"/>
            <w:vMerge w:val="restart"/>
            <w:shd w:val="clear" w:color="auto" w:fill="auto"/>
            <w:tcMar>
              <w:top w:w="90" w:type="dxa"/>
              <w:left w:w="90" w:type="dxa"/>
              <w:bottom w:w="90" w:type="dxa"/>
              <w:right w:w="90" w:type="dxa"/>
            </w:tcMar>
          </w:tcPr>
          <w:p w:rsidR="00BA318D" w:rsidRPr="0099428A" w:rsidRDefault="00BA318D" w:rsidP="00E77E4E">
            <w:pPr>
              <w:numPr>
                <w:ilvl w:val="0"/>
                <w:numId w:val="2"/>
              </w:numPr>
              <w:suppressAutoHyphens/>
              <w:autoSpaceDE w:val="0"/>
              <w:autoSpaceDN w:val="0"/>
              <w:adjustRightInd w:val="0"/>
              <w:spacing w:after="200" w:line="276" w:lineRule="auto"/>
              <w:textAlignment w:val="center"/>
              <w:rPr>
                <w:color w:val="000000"/>
                <w:sz w:val="20"/>
                <w:szCs w:val="20"/>
              </w:rPr>
            </w:pPr>
            <w:r>
              <w:rPr>
                <w:color w:val="000000"/>
                <w:sz w:val="20"/>
                <w:szCs w:val="20"/>
              </w:rPr>
              <w:t>S</w:t>
            </w:r>
            <w:r w:rsidRPr="0099428A">
              <w:rPr>
                <w:color w:val="000000"/>
                <w:sz w:val="20"/>
                <w:szCs w:val="20"/>
              </w:rPr>
              <w:t>ize</w:t>
            </w:r>
            <w:r>
              <w:rPr>
                <w:color w:val="000000"/>
                <w:sz w:val="20"/>
                <w:szCs w:val="20"/>
              </w:rPr>
              <w:t xml:space="preserve"> limits</w:t>
            </w:r>
            <w:r w:rsidRPr="0099428A">
              <w:rPr>
                <w:color w:val="000000"/>
                <w:sz w:val="20"/>
                <w:szCs w:val="20"/>
              </w:rPr>
              <w:t xml:space="preserve"> will help control construction and operating costs and increase density</w:t>
            </w:r>
            <w:r>
              <w:rPr>
                <w:color w:val="000000"/>
                <w:sz w:val="20"/>
                <w:szCs w:val="20"/>
              </w:rPr>
              <w:t>.</w:t>
            </w:r>
          </w:p>
        </w:tc>
        <w:tc>
          <w:tcPr>
            <w:tcW w:w="604" w:type="pct"/>
            <w:vMerge w:val="restart"/>
            <w:shd w:val="clear" w:color="auto" w:fill="auto"/>
            <w:tcMar>
              <w:top w:w="90" w:type="dxa"/>
              <w:left w:w="90" w:type="dxa"/>
              <w:bottom w:w="90" w:type="dxa"/>
              <w:right w:w="90" w:type="dxa"/>
            </w:tcMar>
          </w:tcPr>
          <w:p w:rsidR="00BA318D" w:rsidRPr="0099428A" w:rsidRDefault="00BA318D" w:rsidP="00E77E4E">
            <w:pPr>
              <w:autoSpaceDE w:val="0"/>
              <w:autoSpaceDN w:val="0"/>
              <w:adjustRightInd w:val="0"/>
              <w:spacing w:line="288" w:lineRule="auto"/>
              <w:textAlignment w:val="center"/>
              <w:rPr>
                <w:color w:val="000000"/>
                <w:sz w:val="20"/>
                <w:szCs w:val="20"/>
              </w:rPr>
            </w:pPr>
          </w:p>
        </w:tc>
      </w:tr>
      <w:tr w:rsidR="00BA318D" w:rsidRPr="0099428A" w:rsidTr="00E77E4E">
        <w:trPr>
          <w:trHeight w:val="440"/>
          <w:jc w:val="center"/>
        </w:trPr>
        <w:tc>
          <w:tcPr>
            <w:tcW w:w="1720" w:type="pct"/>
            <w:vMerge/>
            <w:shd w:val="clear" w:color="auto" w:fill="auto"/>
            <w:tcMar>
              <w:top w:w="90" w:type="dxa"/>
              <w:left w:w="90" w:type="dxa"/>
              <w:bottom w:w="90" w:type="dxa"/>
              <w:right w:w="90" w:type="dxa"/>
            </w:tcMar>
          </w:tcPr>
          <w:p w:rsidR="00BA318D" w:rsidRPr="0099428A" w:rsidRDefault="00BA318D" w:rsidP="00E77E4E">
            <w:pPr>
              <w:numPr>
                <w:ilvl w:val="0"/>
                <w:numId w:val="2"/>
              </w:numPr>
              <w:suppressAutoHyphens/>
              <w:autoSpaceDE w:val="0"/>
              <w:autoSpaceDN w:val="0"/>
              <w:adjustRightInd w:val="0"/>
              <w:spacing w:after="200" w:line="276" w:lineRule="auto"/>
              <w:textAlignment w:val="center"/>
              <w:rPr>
                <w:color w:val="000000"/>
                <w:sz w:val="20"/>
                <w:szCs w:val="20"/>
              </w:rPr>
            </w:pPr>
          </w:p>
        </w:tc>
        <w:tc>
          <w:tcPr>
            <w:tcW w:w="659" w:type="pct"/>
            <w:shd w:val="clear" w:color="auto" w:fill="auto"/>
            <w:tcMar>
              <w:top w:w="90" w:type="dxa"/>
              <w:left w:w="90" w:type="dxa"/>
              <w:bottom w:w="90" w:type="dxa"/>
              <w:right w:w="90" w:type="dxa"/>
            </w:tcMar>
            <w:vAlign w:val="center"/>
          </w:tcPr>
          <w:p w:rsidR="00BA318D" w:rsidRPr="0099428A" w:rsidRDefault="00BA318D" w:rsidP="00E77E4E">
            <w:pPr>
              <w:suppressAutoHyphens/>
              <w:autoSpaceDE w:val="0"/>
              <w:autoSpaceDN w:val="0"/>
              <w:adjustRightInd w:val="0"/>
              <w:jc w:val="center"/>
              <w:textAlignment w:val="center"/>
              <w:rPr>
                <w:color w:val="000000"/>
                <w:sz w:val="20"/>
                <w:szCs w:val="20"/>
              </w:rPr>
            </w:pPr>
            <w:r w:rsidRPr="0099428A">
              <w:rPr>
                <w:color w:val="000000"/>
                <w:sz w:val="20"/>
                <w:szCs w:val="20"/>
              </w:rPr>
              <w:t>State</w:t>
            </w:r>
          </w:p>
        </w:tc>
        <w:tc>
          <w:tcPr>
            <w:tcW w:w="569" w:type="pct"/>
            <w:shd w:val="clear" w:color="auto" w:fill="auto"/>
            <w:vAlign w:val="center"/>
          </w:tcPr>
          <w:p w:rsidR="00BA318D" w:rsidRPr="0099428A" w:rsidRDefault="00BA318D" w:rsidP="00E77E4E">
            <w:pPr>
              <w:suppressAutoHyphens/>
              <w:autoSpaceDE w:val="0"/>
              <w:autoSpaceDN w:val="0"/>
              <w:adjustRightInd w:val="0"/>
              <w:jc w:val="center"/>
              <w:textAlignment w:val="center"/>
              <w:rPr>
                <w:color w:val="000000"/>
                <w:sz w:val="20"/>
                <w:szCs w:val="20"/>
              </w:rPr>
            </w:pPr>
          </w:p>
        </w:tc>
        <w:tc>
          <w:tcPr>
            <w:tcW w:w="1448" w:type="pct"/>
            <w:vMerge/>
            <w:shd w:val="clear" w:color="auto" w:fill="auto"/>
            <w:tcMar>
              <w:top w:w="90" w:type="dxa"/>
              <w:left w:w="90" w:type="dxa"/>
              <w:bottom w:w="90" w:type="dxa"/>
              <w:right w:w="90" w:type="dxa"/>
            </w:tcMar>
          </w:tcPr>
          <w:p w:rsidR="00BA318D" w:rsidRPr="0099428A" w:rsidRDefault="00BA318D" w:rsidP="00E77E4E">
            <w:pPr>
              <w:numPr>
                <w:ilvl w:val="0"/>
                <w:numId w:val="2"/>
              </w:numPr>
              <w:suppressAutoHyphens/>
              <w:autoSpaceDE w:val="0"/>
              <w:autoSpaceDN w:val="0"/>
              <w:adjustRightInd w:val="0"/>
              <w:spacing w:after="200" w:line="276" w:lineRule="auto"/>
              <w:textAlignment w:val="center"/>
              <w:rPr>
                <w:color w:val="000000"/>
                <w:sz w:val="20"/>
                <w:szCs w:val="20"/>
              </w:rPr>
            </w:pPr>
          </w:p>
        </w:tc>
        <w:tc>
          <w:tcPr>
            <w:tcW w:w="604" w:type="pct"/>
            <w:vMerge/>
            <w:shd w:val="clear" w:color="auto" w:fill="auto"/>
            <w:tcMar>
              <w:top w:w="90" w:type="dxa"/>
              <w:left w:w="90" w:type="dxa"/>
              <w:bottom w:w="90" w:type="dxa"/>
              <w:right w:w="90" w:type="dxa"/>
            </w:tcMar>
          </w:tcPr>
          <w:p w:rsidR="00BA318D" w:rsidRPr="0099428A" w:rsidRDefault="00BA318D" w:rsidP="00E77E4E">
            <w:pPr>
              <w:autoSpaceDE w:val="0"/>
              <w:autoSpaceDN w:val="0"/>
              <w:adjustRightInd w:val="0"/>
              <w:spacing w:line="288" w:lineRule="auto"/>
              <w:textAlignment w:val="center"/>
              <w:rPr>
                <w:color w:val="000000"/>
                <w:sz w:val="20"/>
                <w:szCs w:val="20"/>
              </w:rPr>
            </w:pPr>
          </w:p>
        </w:tc>
      </w:tr>
      <w:tr w:rsidR="00BA318D" w:rsidRPr="0099428A" w:rsidTr="00E77E4E">
        <w:trPr>
          <w:trHeight w:val="998"/>
          <w:jc w:val="center"/>
        </w:trPr>
        <w:tc>
          <w:tcPr>
            <w:tcW w:w="1720" w:type="pct"/>
            <w:vMerge/>
            <w:tcBorders>
              <w:bottom w:val="single" w:sz="4" w:space="0" w:color="000000"/>
            </w:tcBorders>
            <w:shd w:val="clear" w:color="auto" w:fill="auto"/>
            <w:tcMar>
              <w:top w:w="90" w:type="dxa"/>
              <w:left w:w="90" w:type="dxa"/>
              <w:bottom w:w="90" w:type="dxa"/>
              <w:right w:w="90" w:type="dxa"/>
            </w:tcMar>
          </w:tcPr>
          <w:p w:rsidR="00BA318D" w:rsidRPr="0099428A" w:rsidRDefault="00BA318D" w:rsidP="00E77E4E">
            <w:pPr>
              <w:numPr>
                <w:ilvl w:val="0"/>
                <w:numId w:val="2"/>
              </w:numPr>
              <w:suppressAutoHyphens/>
              <w:autoSpaceDE w:val="0"/>
              <w:autoSpaceDN w:val="0"/>
              <w:adjustRightInd w:val="0"/>
              <w:spacing w:after="200" w:line="276" w:lineRule="auto"/>
              <w:textAlignment w:val="center"/>
              <w:rPr>
                <w:color w:val="000000"/>
                <w:sz w:val="20"/>
                <w:szCs w:val="20"/>
              </w:rPr>
            </w:pPr>
          </w:p>
        </w:tc>
        <w:tc>
          <w:tcPr>
            <w:tcW w:w="659" w:type="pct"/>
            <w:tcBorders>
              <w:bottom w:val="single" w:sz="4" w:space="0" w:color="000000"/>
            </w:tcBorders>
            <w:shd w:val="clear" w:color="auto" w:fill="auto"/>
            <w:tcMar>
              <w:top w:w="90" w:type="dxa"/>
              <w:left w:w="90" w:type="dxa"/>
              <w:bottom w:w="90" w:type="dxa"/>
              <w:right w:w="90" w:type="dxa"/>
            </w:tcMar>
            <w:vAlign w:val="center"/>
          </w:tcPr>
          <w:p w:rsidR="00BA318D" w:rsidRPr="0099428A" w:rsidRDefault="00BA318D" w:rsidP="00E77E4E">
            <w:pPr>
              <w:suppressAutoHyphens/>
              <w:autoSpaceDE w:val="0"/>
              <w:autoSpaceDN w:val="0"/>
              <w:adjustRightInd w:val="0"/>
              <w:jc w:val="center"/>
              <w:textAlignment w:val="center"/>
              <w:rPr>
                <w:color w:val="000000"/>
                <w:sz w:val="20"/>
                <w:szCs w:val="20"/>
              </w:rPr>
            </w:pPr>
            <w:r w:rsidRPr="0099428A">
              <w:rPr>
                <w:color w:val="000000"/>
                <w:sz w:val="20"/>
                <w:szCs w:val="20"/>
              </w:rPr>
              <w:t>Voter</w:t>
            </w:r>
          </w:p>
        </w:tc>
        <w:tc>
          <w:tcPr>
            <w:tcW w:w="569" w:type="pct"/>
            <w:tcBorders>
              <w:bottom w:val="single" w:sz="4" w:space="0" w:color="000000"/>
            </w:tcBorders>
            <w:shd w:val="clear" w:color="auto" w:fill="auto"/>
            <w:vAlign w:val="center"/>
          </w:tcPr>
          <w:p w:rsidR="00BA318D" w:rsidRPr="0099428A" w:rsidRDefault="00BA318D" w:rsidP="00E77E4E">
            <w:pPr>
              <w:suppressAutoHyphens/>
              <w:autoSpaceDE w:val="0"/>
              <w:autoSpaceDN w:val="0"/>
              <w:adjustRightInd w:val="0"/>
              <w:jc w:val="center"/>
              <w:textAlignment w:val="center"/>
              <w:rPr>
                <w:color w:val="000000"/>
                <w:sz w:val="20"/>
                <w:szCs w:val="20"/>
              </w:rPr>
            </w:pPr>
          </w:p>
        </w:tc>
        <w:tc>
          <w:tcPr>
            <w:tcW w:w="1448" w:type="pct"/>
            <w:vMerge/>
            <w:tcBorders>
              <w:bottom w:val="single" w:sz="4" w:space="0" w:color="000000"/>
            </w:tcBorders>
            <w:shd w:val="clear" w:color="auto" w:fill="auto"/>
            <w:tcMar>
              <w:top w:w="90" w:type="dxa"/>
              <w:left w:w="90" w:type="dxa"/>
              <w:bottom w:w="90" w:type="dxa"/>
              <w:right w:w="90" w:type="dxa"/>
            </w:tcMar>
          </w:tcPr>
          <w:p w:rsidR="00BA318D" w:rsidRPr="0099428A" w:rsidRDefault="00BA318D" w:rsidP="00E77E4E">
            <w:pPr>
              <w:numPr>
                <w:ilvl w:val="0"/>
                <w:numId w:val="2"/>
              </w:numPr>
              <w:suppressAutoHyphens/>
              <w:autoSpaceDE w:val="0"/>
              <w:autoSpaceDN w:val="0"/>
              <w:adjustRightInd w:val="0"/>
              <w:spacing w:after="200" w:line="276" w:lineRule="auto"/>
              <w:textAlignment w:val="center"/>
              <w:rPr>
                <w:color w:val="000000"/>
                <w:sz w:val="20"/>
                <w:szCs w:val="20"/>
              </w:rPr>
            </w:pPr>
          </w:p>
        </w:tc>
        <w:tc>
          <w:tcPr>
            <w:tcW w:w="604" w:type="pct"/>
            <w:vMerge/>
            <w:tcBorders>
              <w:bottom w:val="single" w:sz="4" w:space="0" w:color="000000"/>
            </w:tcBorders>
            <w:shd w:val="clear" w:color="auto" w:fill="auto"/>
            <w:tcMar>
              <w:top w:w="90" w:type="dxa"/>
              <w:left w:w="90" w:type="dxa"/>
              <w:bottom w:w="90" w:type="dxa"/>
              <w:right w:w="90" w:type="dxa"/>
            </w:tcMar>
          </w:tcPr>
          <w:p w:rsidR="00BA318D" w:rsidRPr="0099428A" w:rsidRDefault="00BA318D" w:rsidP="00E77E4E">
            <w:pPr>
              <w:autoSpaceDE w:val="0"/>
              <w:autoSpaceDN w:val="0"/>
              <w:adjustRightInd w:val="0"/>
              <w:spacing w:line="288" w:lineRule="auto"/>
              <w:textAlignment w:val="center"/>
              <w:rPr>
                <w:color w:val="000000"/>
                <w:sz w:val="20"/>
                <w:szCs w:val="20"/>
              </w:rPr>
            </w:pPr>
          </w:p>
        </w:tc>
      </w:tr>
    </w:tbl>
    <w:p w:rsidR="00BA318D" w:rsidRDefault="00BA318D">
      <w:r>
        <w:br w:type="page"/>
      </w:r>
    </w:p>
    <w:tbl>
      <w:tblPr>
        <w:tblW w:w="5478" w:type="pct"/>
        <w:jc w:val="center"/>
        <w:tblInd w:w="-7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3532"/>
        <w:gridCol w:w="1353"/>
        <w:gridCol w:w="1168"/>
        <w:gridCol w:w="2973"/>
        <w:gridCol w:w="1240"/>
      </w:tblGrid>
      <w:tr w:rsidR="00BA318D" w:rsidRPr="0099428A" w:rsidTr="00E77E4E">
        <w:trPr>
          <w:trHeight w:val="475"/>
          <w:jc w:val="center"/>
        </w:trPr>
        <w:tc>
          <w:tcPr>
            <w:tcW w:w="5000" w:type="pct"/>
            <w:gridSpan w:val="5"/>
            <w:shd w:val="clear" w:color="auto" w:fill="A6A6A6" w:themeFill="background1" w:themeFillShade="A6"/>
            <w:tcMar>
              <w:top w:w="0" w:type="dxa"/>
              <w:left w:w="0" w:type="dxa"/>
              <w:bottom w:w="0" w:type="dxa"/>
              <w:right w:w="0" w:type="dxa"/>
            </w:tcMar>
            <w:vAlign w:val="center"/>
          </w:tcPr>
          <w:p w:rsidR="00BA318D" w:rsidRPr="0099428A" w:rsidRDefault="00BA318D" w:rsidP="00BA318D">
            <w:pPr>
              <w:suppressAutoHyphens/>
              <w:autoSpaceDE w:val="0"/>
              <w:autoSpaceDN w:val="0"/>
              <w:adjustRightInd w:val="0"/>
              <w:jc w:val="center"/>
              <w:textAlignment w:val="center"/>
              <w:rPr>
                <w:b/>
                <w:bCs/>
                <w:color w:val="000000"/>
                <w:sz w:val="20"/>
                <w:szCs w:val="20"/>
              </w:rPr>
            </w:pPr>
            <w:r w:rsidRPr="0099428A">
              <w:rPr>
                <w:b/>
                <w:bCs/>
                <w:color w:val="000000"/>
                <w:sz w:val="20"/>
                <w:szCs w:val="20"/>
              </w:rPr>
              <w:t>STRATEGY #</w:t>
            </w:r>
            <w:r>
              <w:rPr>
                <w:b/>
                <w:bCs/>
                <w:color w:val="000000"/>
                <w:sz w:val="20"/>
                <w:szCs w:val="20"/>
              </w:rPr>
              <w:t>1</w:t>
            </w:r>
            <w:r w:rsidRPr="0099428A">
              <w:rPr>
                <w:b/>
                <w:bCs/>
                <w:color w:val="000000"/>
                <w:sz w:val="20"/>
                <w:szCs w:val="20"/>
              </w:rPr>
              <w:t>:</w:t>
            </w:r>
          </w:p>
          <w:p w:rsidR="00BA318D" w:rsidRPr="0099428A" w:rsidRDefault="00BA318D" w:rsidP="00BA318D">
            <w:pPr>
              <w:ind w:left="-355" w:firstLine="355"/>
              <w:jc w:val="center"/>
              <w:rPr>
                <w:b/>
                <w:bCs/>
                <w:sz w:val="20"/>
                <w:szCs w:val="20"/>
              </w:rPr>
            </w:pPr>
            <w:r w:rsidRPr="0099428A">
              <w:rPr>
                <w:b/>
                <w:bCs/>
                <w:color w:val="000000"/>
                <w:sz w:val="20"/>
                <w:szCs w:val="20"/>
              </w:rPr>
              <w:t>PROMOTE COST EFFICIENCIES</w:t>
            </w:r>
          </w:p>
        </w:tc>
      </w:tr>
      <w:tr w:rsidR="00BA318D" w:rsidRPr="0099428A" w:rsidTr="00E77E4E">
        <w:trPr>
          <w:trHeight w:val="475"/>
          <w:jc w:val="center"/>
        </w:trPr>
        <w:tc>
          <w:tcPr>
            <w:tcW w:w="5000" w:type="pct"/>
            <w:gridSpan w:val="5"/>
            <w:shd w:val="clear" w:color="auto" w:fill="A6A6A6" w:themeFill="background1" w:themeFillShade="A6"/>
            <w:tcMar>
              <w:top w:w="0" w:type="dxa"/>
              <w:left w:w="0" w:type="dxa"/>
              <w:bottom w:w="0" w:type="dxa"/>
              <w:right w:w="0" w:type="dxa"/>
            </w:tcMar>
            <w:vAlign w:val="center"/>
          </w:tcPr>
          <w:p w:rsidR="00BA318D" w:rsidRPr="0099428A" w:rsidRDefault="00BA318D" w:rsidP="00E77E4E">
            <w:pPr>
              <w:ind w:left="-355" w:firstLine="355"/>
              <w:rPr>
                <w:b/>
                <w:bCs/>
                <w:sz w:val="20"/>
                <w:szCs w:val="20"/>
              </w:rPr>
            </w:pPr>
            <w:r w:rsidRPr="0099428A">
              <w:rPr>
                <w:b/>
                <w:bCs/>
                <w:sz w:val="20"/>
                <w:szCs w:val="20"/>
              </w:rPr>
              <w:t>Action Step #</w:t>
            </w:r>
            <w:r>
              <w:rPr>
                <w:b/>
                <w:bCs/>
                <w:sz w:val="20"/>
                <w:szCs w:val="20"/>
              </w:rPr>
              <w:t>6:  Adopt Parking Overlays</w:t>
            </w:r>
          </w:p>
        </w:tc>
      </w:tr>
      <w:tr w:rsidR="00BA318D" w:rsidRPr="0099428A" w:rsidTr="00BA318D">
        <w:trPr>
          <w:trHeight w:val="503"/>
          <w:jc w:val="center"/>
        </w:trPr>
        <w:tc>
          <w:tcPr>
            <w:tcW w:w="1720" w:type="pct"/>
            <w:shd w:val="clear" w:color="auto" w:fill="A6A6A6" w:themeFill="background1" w:themeFillShade="A6"/>
            <w:tcMar>
              <w:top w:w="0" w:type="dxa"/>
              <w:left w:w="0" w:type="dxa"/>
              <w:bottom w:w="0" w:type="dxa"/>
              <w:right w:w="0" w:type="dxa"/>
            </w:tcMar>
            <w:vAlign w:val="center"/>
          </w:tcPr>
          <w:p w:rsidR="00BA318D" w:rsidRPr="0099428A" w:rsidRDefault="00BA318D" w:rsidP="00E77E4E">
            <w:pPr>
              <w:suppressAutoHyphens/>
              <w:autoSpaceDE w:val="0"/>
              <w:autoSpaceDN w:val="0"/>
              <w:adjustRightInd w:val="0"/>
              <w:jc w:val="center"/>
              <w:textAlignment w:val="center"/>
              <w:rPr>
                <w:b/>
                <w:bCs/>
                <w:color w:val="000000"/>
                <w:sz w:val="20"/>
                <w:szCs w:val="20"/>
              </w:rPr>
            </w:pPr>
            <w:r w:rsidRPr="0099428A">
              <w:rPr>
                <w:b/>
                <w:bCs/>
                <w:color w:val="000000"/>
                <w:sz w:val="20"/>
                <w:szCs w:val="20"/>
              </w:rPr>
              <w:t>Tasks</w:t>
            </w:r>
          </w:p>
        </w:tc>
        <w:tc>
          <w:tcPr>
            <w:tcW w:w="1228" w:type="pct"/>
            <w:gridSpan w:val="2"/>
            <w:shd w:val="clear" w:color="auto" w:fill="A6A6A6" w:themeFill="background1" w:themeFillShade="A6"/>
            <w:tcMar>
              <w:top w:w="0" w:type="dxa"/>
              <w:left w:w="0" w:type="dxa"/>
              <w:bottom w:w="0" w:type="dxa"/>
              <w:right w:w="0" w:type="dxa"/>
            </w:tcMar>
            <w:vAlign w:val="center"/>
          </w:tcPr>
          <w:p w:rsidR="00BA318D" w:rsidRPr="0099428A" w:rsidRDefault="00BA318D" w:rsidP="00E77E4E">
            <w:pPr>
              <w:suppressAutoHyphens/>
              <w:autoSpaceDE w:val="0"/>
              <w:autoSpaceDN w:val="0"/>
              <w:adjustRightInd w:val="0"/>
              <w:jc w:val="center"/>
              <w:textAlignment w:val="center"/>
              <w:rPr>
                <w:b/>
                <w:bCs/>
                <w:color w:val="000000"/>
                <w:sz w:val="20"/>
                <w:szCs w:val="20"/>
              </w:rPr>
            </w:pPr>
            <w:r w:rsidRPr="0099428A">
              <w:rPr>
                <w:b/>
                <w:bCs/>
                <w:color w:val="000000"/>
                <w:sz w:val="20"/>
                <w:szCs w:val="20"/>
              </w:rPr>
              <w:t>Required Approvals</w:t>
            </w:r>
          </w:p>
        </w:tc>
        <w:tc>
          <w:tcPr>
            <w:tcW w:w="1448" w:type="pct"/>
            <w:shd w:val="clear" w:color="auto" w:fill="A6A6A6" w:themeFill="background1" w:themeFillShade="A6"/>
            <w:tcMar>
              <w:top w:w="0" w:type="dxa"/>
              <w:left w:w="0" w:type="dxa"/>
              <w:bottom w:w="0" w:type="dxa"/>
              <w:right w:w="0" w:type="dxa"/>
            </w:tcMar>
            <w:vAlign w:val="center"/>
          </w:tcPr>
          <w:p w:rsidR="00BA318D" w:rsidRPr="0099428A" w:rsidRDefault="00BA318D" w:rsidP="00E77E4E">
            <w:pPr>
              <w:suppressAutoHyphens/>
              <w:autoSpaceDE w:val="0"/>
              <w:autoSpaceDN w:val="0"/>
              <w:adjustRightInd w:val="0"/>
              <w:jc w:val="center"/>
              <w:textAlignment w:val="center"/>
              <w:rPr>
                <w:b/>
                <w:bCs/>
                <w:color w:val="000000"/>
                <w:sz w:val="20"/>
                <w:szCs w:val="20"/>
              </w:rPr>
            </w:pPr>
            <w:r w:rsidRPr="0099428A">
              <w:rPr>
                <w:b/>
                <w:bCs/>
                <w:color w:val="000000"/>
                <w:sz w:val="20"/>
                <w:szCs w:val="20"/>
              </w:rPr>
              <w:t>Measurable Outcome(s)</w:t>
            </w:r>
          </w:p>
        </w:tc>
        <w:tc>
          <w:tcPr>
            <w:tcW w:w="604" w:type="pct"/>
            <w:shd w:val="clear" w:color="auto" w:fill="A6A6A6" w:themeFill="background1" w:themeFillShade="A6"/>
            <w:tcMar>
              <w:top w:w="0" w:type="dxa"/>
              <w:left w:w="0" w:type="dxa"/>
              <w:bottom w:w="0" w:type="dxa"/>
              <w:right w:w="0" w:type="dxa"/>
            </w:tcMar>
            <w:vAlign w:val="center"/>
          </w:tcPr>
          <w:p w:rsidR="00BA318D" w:rsidRPr="0099428A" w:rsidRDefault="00BA318D" w:rsidP="00E77E4E">
            <w:pPr>
              <w:suppressAutoHyphens/>
              <w:autoSpaceDE w:val="0"/>
              <w:autoSpaceDN w:val="0"/>
              <w:adjustRightInd w:val="0"/>
              <w:jc w:val="center"/>
              <w:textAlignment w:val="center"/>
              <w:rPr>
                <w:b/>
                <w:bCs/>
                <w:color w:val="000000"/>
                <w:sz w:val="20"/>
                <w:szCs w:val="20"/>
                <w:u w:color="000000"/>
              </w:rPr>
            </w:pPr>
            <w:r w:rsidRPr="0099428A">
              <w:rPr>
                <w:b/>
                <w:bCs/>
                <w:color w:val="000000"/>
                <w:sz w:val="20"/>
                <w:szCs w:val="20"/>
                <w:u w:color="000000"/>
              </w:rPr>
              <w:t>Target Completion Date(s)</w:t>
            </w:r>
          </w:p>
        </w:tc>
      </w:tr>
      <w:tr w:rsidR="00BA318D" w:rsidRPr="0099428A" w:rsidTr="00BA318D">
        <w:trPr>
          <w:trHeight w:val="458"/>
          <w:jc w:val="center"/>
        </w:trPr>
        <w:tc>
          <w:tcPr>
            <w:tcW w:w="1720" w:type="pct"/>
            <w:vMerge w:val="restart"/>
            <w:shd w:val="clear" w:color="auto" w:fill="auto"/>
            <w:tcMar>
              <w:top w:w="90" w:type="dxa"/>
              <w:left w:w="90" w:type="dxa"/>
              <w:bottom w:w="90" w:type="dxa"/>
              <w:right w:w="90" w:type="dxa"/>
            </w:tcMar>
          </w:tcPr>
          <w:p w:rsidR="00BA318D" w:rsidRPr="0099428A" w:rsidRDefault="00BA318D" w:rsidP="00E77E4E">
            <w:pPr>
              <w:numPr>
                <w:ilvl w:val="0"/>
                <w:numId w:val="2"/>
              </w:numPr>
              <w:suppressAutoHyphens/>
              <w:autoSpaceDE w:val="0"/>
              <w:autoSpaceDN w:val="0"/>
              <w:adjustRightInd w:val="0"/>
              <w:spacing w:after="200" w:line="276" w:lineRule="auto"/>
              <w:textAlignment w:val="center"/>
              <w:rPr>
                <w:color w:val="000000"/>
                <w:sz w:val="20"/>
                <w:szCs w:val="20"/>
              </w:rPr>
            </w:pPr>
            <w:r>
              <w:rPr>
                <w:color w:val="000000"/>
                <w:sz w:val="20"/>
                <w:szCs w:val="20"/>
              </w:rPr>
              <w:t>Review and revise parking standards to allow lower parking standards for projects located near transit</w:t>
            </w:r>
          </w:p>
          <w:p w:rsidR="00BA318D" w:rsidRPr="0099428A" w:rsidRDefault="00BA318D" w:rsidP="00E77E4E">
            <w:pPr>
              <w:suppressAutoHyphens/>
              <w:autoSpaceDE w:val="0"/>
              <w:autoSpaceDN w:val="0"/>
              <w:adjustRightInd w:val="0"/>
              <w:textAlignment w:val="center"/>
              <w:rPr>
                <w:color w:val="000000"/>
                <w:sz w:val="20"/>
                <w:szCs w:val="20"/>
              </w:rPr>
            </w:pPr>
          </w:p>
        </w:tc>
        <w:tc>
          <w:tcPr>
            <w:tcW w:w="659" w:type="pct"/>
            <w:tcBorders>
              <w:bottom w:val="single" w:sz="4" w:space="0" w:color="000000"/>
            </w:tcBorders>
            <w:shd w:val="clear" w:color="auto" w:fill="auto"/>
            <w:tcMar>
              <w:top w:w="90" w:type="dxa"/>
              <w:left w:w="90" w:type="dxa"/>
              <w:bottom w:w="90" w:type="dxa"/>
              <w:right w:w="90" w:type="dxa"/>
            </w:tcMar>
            <w:vAlign w:val="center"/>
          </w:tcPr>
          <w:p w:rsidR="00BA318D" w:rsidRPr="0099428A" w:rsidRDefault="00BA318D" w:rsidP="00E77E4E">
            <w:pPr>
              <w:suppressAutoHyphens/>
              <w:autoSpaceDE w:val="0"/>
              <w:autoSpaceDN w:val="0"/>
              <w:adjustRightInd w:val="0"/>
              <w:jc w:val="center"/>
              <w:textAlignment w:val="center"/>
              <w:rPr>
                <w:color w:val="000000"/>
                <w:sz w:val="20"/>
                <w:szCs w:val="20"/>
              </w:rPr>
            </w:pPr>
            <w:r w:rsidRPr="0099428A">
              <w:rPr>
                <w:color w:val="000000"/>
                <w:sz w:val="20"/>
                <w:szCs w:val="20"/>
              </w:rPr>
              <w:t>Local</w:t>
            </w:r>
          </w:p>
        </w:tc>
        <w:tc>
          <w:tcPr>
            <w:tcW w:w="569" w:type="pct"/>
            <w:tcBorders>
              <w:bottom w:val="single" w:sz="4" w:space="0" w:color="000000"/>
            </w:tcBorders>
            <w:shd w:val="clear" w:color="auto" w:fill="auto"/>
            <w:vAlign w:val="center"/>
          </w:tcPr>
          <w:p w:rsidR="00BA318D" w:rsidRPr="0099428A" w:rsidRDefault="00BA318D" w:rsidP="00E77E4E">
            <w:pPr>
              <w:suppressAutoHyphens/>
              <w:autoSpaceDE w:val="0"/>
              <w:autoSpaceDN w:val="0"/>
              <w:adjustRightInd w:val="0"/>
              <w:jc w:val="center"/>
              <w:textAlignment w:val="center"/>
              <w:rPr>
                <w:color w:val="000000"/>
                <w:sz w:val="20"/>
                <w:szCs w:val="20"/>
              </w:rPr>
            </w:pPr>
            <w:r>
              <w:rPr>
                <w:color w:val="000000"/>
                <w:sz w:val="20"/>
                <w:szCs w:val="20"/>
              </w:rPr>
              <w:t>X</w:t>
            </w:r>
          </w:p>
        </w:tc>
        <w:tc>
          <w:tcPr>
            <w:tcW w:w="1448" w:type="pct"/>
            <w:vMerge w:val="restart"/>
            <w:shd w:val="clear" w:color="auto" w:fill="auto"/>
            <w:tcMar>
              <w:top w:w="90" w:type="dxa"/>
              <w:left w:w="90" w:type="dxa"/>
              <w:bottom w:w="90" w:type="dxa"/>
              <w:right w:w="90" w:type="dxa"/>
            </w:tcMar>
          </w:tcPr>
          <w:p w:rsidR="00BA318D" w:rsidRPr="0099428A" w:rsidRDefault="00BA318D" w:rsidP="00E77E4E">
            <w:pPr>
              <w:numPr>
                <w:ilvl w:val="0"/>
                <w:numId w:val="2"/>
              </w:numPr>
              <w:suppressAutoHyphens/>
              <w:autoSpaceDE w:val="0"/>
              <w:autoSpaceDN w:val="0"/>
              <w:adjustRightInd w:val="0"/>
              <w:spacing w:after="200" w:line="276" w:lineRule="auto"/>
              <w:textAlignment w:val="center"/>
              <w:rPr>
                <w:color w:val="000000"/>
                <w:sz w:val="20"/>
                <w:szCs w:val="20"/>
              </w:rPr>
            </w:pPr>
            <w:r>
              <w:rPr>
                <w:color w:val="000000"/>
                <w:sz w:val="20"/>
                <w:szCs w:val="20"/>
              </w:rPr>
              <w:t>Flexible parking standard adopted for projects near transit.</w:t>
            </w:r>
          </w:p>
        </w:tc>
        <w:tc>
          <w:tcPr>
            <w:tcW w:w="604" w:type="pct"/>
            <w:vMerge w:val="restart"/>
            <w:shd w:val="clear" w:color="auto" w:fill="auto"/>
            <w:tcMar>
              <w:top w:w="90" w:type="dxa"/>
              <w:left w:w="90" w:type="dxa"/>
              <w:bottom w:w="90" w:type="dxa"/>
              <w:right w:w="90" w:type="dxa"/>
            </w:tcMar>
          </w:tcPr>
          <w:p w:rsidR="00BA318D" w:rsidRPr="0099428A" w:rsidRDefault="00BA318D" w:rsidP="00E77E4E">
            <w:pPr>
              <w:autoSpaceDE w:val="0"/>
              <w:autoSpaceDN w:val="0"/>
              <w:adjustRightInd w:val="0"/>
              <w:spacing w:line="288" w:lineRule="auto"/>
              <w:textAlignment w:val="center"/>
              <w:rPr>
                <w:color w:val="000000"/>
                <w:sz w:val="20"/>
                <w:szCs w:val="20"/>
              </w:rPr>
            </w:pPr>
          </w:p>
        </w:tc>
      </w:tr>
      <w:tr w:rsidR="00BA318D" w:rsidRPr="0099428A" w:rsidTr="00BA318D">
        <w:trPr>
          <w:trHeight w:val="530"/>
          <w:jc w:val="center"/>
        </w:trPr>
        <w:tc>
          <w:tcPr>
            <w:tcW w:w="1720" w:type="pct"/>
            <w:vMerge/>
            <w:shd w:val="clear" w:color="auto" w:fill="auto"/>
            <w:tcMar>
              <w:top w:w="90" w:type="dxa"/>
              <w:left w:w="90" w:type="dxa"/>
              <w:bottom w:w="90" w:type="dxa"/>
              <w:right w:w="90" w:type="dxa"/>
            </w:tcMar>
          </w:tcPr>
          <w:p w:rsidR="00BA318D" w:rsidRPr="0099428A" w:rsidRDefault="00BA318D" w:rsidP="00E77E4E">
            <w:pPr>
              <w:numPr>
                <w:ilvl w:val="0"/>
                <w:numId w:val="2"/>
              </w:numPr>
              <w:suppressAutoHyphens/>
              <w:autoSpaceDE w:val="0"/>
              <w:autoSpaceDN w:val="0"/>
              <w:adjustRightInd w:val="0"/>
              <w:spacing w:after="200" w:line="276" w:lineRule="auto"/>
              <w:textAlignment w:val="center"/>
              <w:rPr>
                <w:color w:val="000000"/>
                <w:sz w:val="20"/>
                <w:szCs w:val="20"/>
              </w:rPr>
            </w:pPr>
          </w:p>
        </w:tc>
        <w:tc>
          <w:tcPr>
            <w:tcW w:w="659" w:type="pct"/>
            <w:tcBorders>
              <w:bottom w:val="single" w:sz="4" w:space="0" w:color="000000"/>
            </w:tcBorders>
            <w:shd w:val="clear" w:color="auto" w:fill="auto"/>
            <w:tcMar>
              <w:top w:w="90" w:type="dxa"/>
              <w:left w:w="90" w:type="dxa"/>
              <w:bottom w:w="90" w:type="dxa"/>
              <w:right w:w="90" w:type="dxa"/>
            </w:tcMar>
            <w:vAlign w:val="center"/>
          </w:tcPr>
          <w:p w:rsidR="00BA318D" w:rsidRPr="0099428A" w:rsidRDefault="00BA318D" w:rsidP="00E77E4E">
            <w:pPr>
              <w:suppressAutoHyphens/>
              <w:autoSpaceDE w:val="0"/>
              <w:autoSpaceDN w:val="0"/>
              <w:adjustRightInd w:val="0"/>
              <w:jc w:val="center"/>
              <w:textAlignment w:val="center"/>
              <w:rPr>
                <w:color w:val="000000"/>
                <w:sz w:val="20"/>
                <w:szCs w:val="20"/>
              </w:rPr>
            </w:pPr>
            <w:r w:rsidRPr="0099428A">
              <w:rPr>
                <w:color w:val="000000"/>
                <w:sz w:val="20"/>
                <w:szCs w:val="20"/>
              </w:rPr>
              <w:t>State</w:t>
            </w:r>
          </w:p>
        </w:tc>
        <w:tc>
          <w:tcPr>
            <w:tcW w:w="569" w:type="pct"/>
            <w:tcBorders>
              <w:bottom w:val="single" w:sz="4" w:space="0" w:color="000000"/>
            </w:tcBorders>
            <w:shd w:val="clear" w:color="auto" w:fill="auto"/>
            <w:vAlign w:val="center"/>
          </w:tcPr>
          <w:p w:rsidR="00BA318D" w:rsidRPr="0099428A" w:rsidRDefault="00BA318D" w:rsidP="00E77E4E">
            <w:pPr>
              <w:suppressAutoHyphens/>
              <w:autoSpaceDE w:val="0"/>
              <w:autoSpaceDN w:val="0"/>
              <w:adjustRightInd w:val="0"/>
              <w:jc w:val="center"/>
              <w:textAlignment w:val="center"/>
              <w:rPr>
                <w:color w:val="000000"/>
                <w:sz w:val="20"/>
                <w:szCs w:val="20"/>
              </w:rPr>
            </w:pPr>
          </w:p>
        </w:tc>
        <w:tc>
          <w:tcPr>
            <w:tcW w:w="1448" w:type="pct"/>
            <w:vMerge/>
            <w:shd w:val="clear" w:color="auto" w:fill="auto"/>
            <w:tcMar>
              <w:top w:w="90" w:type="dxa"/>
              <w:left w:w="90" w:type="dxa"/>
              <w:bottom w:w="90" w:type="dxa"/>
              <w:right w:w="90" w:type="dxa"/>
            </w:tcMar>
          </w:tcPr>
          <w:p w:rsidR="00BA318D" w:rsidRPr="0099428A" w:rsidRDefault="00BA318D" w:rsidP="00E77E4E">
            <w:pPr>
              <w:numPr>
                <w:ilvl w:val="0"/>
                <w:numId w:val="2"/>
              </w:numPr>
              <w:suppressAutoHyphens/>
              <w:autoSpaceDE w:val="0"/>
              <w:autoSpaceDN w:val="0"/>
              <w:adjustRightInd w:val="0"/>
              <w:spacing w:after="200" w:line="276" w:lineRule="auto"/>
              <w:textAlignment w:val="center"/>
              <w:rPr>
                <w:color w:val="000000"/>
                <w:sz w:val="20"/>
                <w:szCs w:val="20"/>
              </w:rPr>
            </w:pPr>
          </w:p>
        </w:tc>
        <w:tc>
          <w:tcPr>
            <w:tcW w:w="604" w:type="pct"/>
            <w:vMerge/>
            <w:shd w:val="clear" w:color="auto" w:fill="auto"/>
            <w:tcMar>
              <w:top w:w="90" w:type="dxa"/>
              <w:left w:w="90" w:type="dxa"/>
              <w:bottom w:w="90" w:type="dxa"/>
              <w:right w:w="90" w:type="dxa"/>
            </w:tcMar>
          </w:tcPr>
          <w:p w:rsidR="00BA318D" w:rsidRPr="0099428A" w:rsidRDefault="00BA318D" w:rsidP="00E77E4E">
            <w:pPr>
              <w:autoSpaceDE w:val="0"/>
              <w:autoSpaceDN w:val="0"/>
              <w:adjustRightInd w:val="0"/>
              <w:spacing w:line="288" w:lineRule="auto"/>
              <w:textAlignment w:val="center"/>
              <w:rPr>
                <w:color w:val="000000"/>
                <w:sz w:val="20"/>
                <w:szCs w:val="20"/>
              </w:rPr>
            </w:pPr>
          </w:p>
        </w:tc>
      </w:tr>
      <w:tr w:rsidR="00BA318D" w:rsidRPr="0099428A" w:rsidTr="00BA318D">
        <w:trPr>
          <w:trHeight w:val="575"/>
          <w:jc w:val="center"/>
        </w:trPr>
        <w:tc>
          <w:tcPr>
            <w:tcW w:w="1720" w:type="pct"/>
            <w:vMerge/>
            <w:tcBorders>
              <w:bottom w:val="single" w:sz="4" w:space="0" w:color="000000"/>
            </w:tcBorders>
            <w:shd w:val="clear" w:color="auto" w:fill="auto"/>
            <w:tcMar>
              <w:top w:w="90" w:type="dxa"/>
              <w:left w:w="90" w:type="dxa"/>
              <w:bottom w:w="90" w:type="dxa"/>
              <w:right w:w="90" w:type="dxa"/>
            </w:tcMar>
          </w:tcPr>
          <w:p w:rsidR="00BA318D" w:rsidRPr="0099428A" w:rsidRDefault="00BA318D" w:rsidP="00E77E4E">
            <w:pPr>
              <w:numPr>
                <w:ilvl w:val="0"/>
                <w:numId w:val="2"/>
              </w:numPr>
              <w:suppressAutoHyphens/>
              <w:autoSpaceDE w:val="0"/>
              <w:autoSpaceDN w:val="0"/>
              <w:adjustRightInd w:val="0"/>
              <w:spacing w:after="200" w:line="276" w:lineRule="auto"/>
              <w:textAlignment w:val="center"/>
              <w:rPr>
                <w:color w:val="000000"/>
                <w:sz w:val="20"/>
                <w:szCs w:val="20"/>
              </w:rPr>
            </w:pPr>
          </w:p>
        </w:tc>
        <w:tc>
          <w:tcPr>
            <w:tcW w:w="659" w:type="pct"/>
            <w:tcBorders>
              <w:bottom w:val="single" w:sz="4" w:space="0" w:color="000000"/>
            </w:tcBorders>
            <w:shd w:val="clear" w:color="auto" w:fill="auto"/>
            <w:tcMar>
              <w:top w:w="90" w:type="dxa"/>
              <w:left w:w="90" w:type="dxa"/>
              <w:bottom w:w="90" w:type="dxa"/>
              <w:right w:w="90" w:type="dxa"/>
            </w:tcMar>
            <w:vAlign w:val="center"/>
          </w:tcPr>
          <w:p w:rsidR="00BA318D" w:rsidRPr="0099428A" w:rsidRDefault="00BA318D" w:rsidP="00E77E4E">
            <w:pPr>
              <w:suppressAutoHyphens/>
              <w:autoSpaceDE w:val="0"/>
              <w:autoSpaceDN w:val="0"/>
              <w:adjustRightInd w:val="0"/>
              <w:jc w:val="center"/>
              <w:textAlignment w:val="center"/>
              <w:rPr>
                <w:color w:val="000000"/>
                <w:sz w:val="20"/>
                <w:szCs w:val="20"/>
              </w:rPr>
            </w:pPr>
            <w:r w:rsidRPr="0099428A">
              <w:rPr>
                <w:color w:val="000000"/>
                <w:sz w:val="20"/>
                <w:szCs w:val="20"/>
              </w:rPr>
              <w:t>Voter</w:t>
            </w:r>
          </w:p>
        </w:tc>
        <w:tc>
          <w:tcPr>
            <w:tcW w:w="569" w:type="pct"/>
            <w:tcBorders>
              <w:bottom w:val="single" w:sz="4" w:space="0" w:color="000000"/>
            </w:tcBorders>
            <w:shd w:val="clear" w:color="auto" w:fill="auto"/>
            <w:vAlign w:val="center"/>
          </w:tcPr>
          <w:p w:rsidR="00BA318D" w:rsidRPr="0099428A" w:rsidRDefault="00BA318D" w:rsidP="00E77E4E">
            <w:pPr>
              <w:suppressAutoHyphens/>
              <w:autoSpaceDE w:val="0"/>
              <w:autoSpaceDN w:val="0"/>
              <w:adjustRightInd w:val="0"/>
              <w:jc w:val="center"/>
              <w:textAlignment w:val="center"/>
              <w:rPr>
                <w:color w:val="000000"/>
                <w:sz w:val="20"/>
                <w:szCs w:val="20"/>
              </w:rPr>
            </w:pPr>
          </w:p>
        </w:tc>
        <w:tc>
          <w:tcPr>
            <w:tcW w:w="1448" w:type="pct"/>
            <w:vMerge/>
            <w:tcBorders>
              <w:bottom w:val="single" w:sz="4" w:space="0" w:color="000000"/>
            </w:tcBorders>
            <w:shd w:val="clear" w:color="auto" w:fill="auto"/>
            <w:tcMar>
              <w:top w:w="90" w:type="dxa"/>
              <w:left w:w="90" w:type="dxa"/>
              <w:bottom w:w="90" w:type="dxa"/>
              <w:right w:w="90" w:type="dxa"/>
            </w:tcMar>
          </w:tcPr>
          <w:p w:rsidR="00BA318D" w:rsidRPr="0099428A" w:rsidRDefault="00BA318D" w:rsidP="00E77E4E">
            <w:pPr>
              <w:numPr>
                <w:ilvl w:val="0"/>
                <w:numId w:val="2"/>
              </w:numPr>
              <w:suppressAutoHyphens/>
              <w:autoSpaceDE w:val="0"/>
              <w:autoSpaceDN w:val="0"/>
              <w:adjustRightInd w:val="0"/>
              <w:spacing w:after="200" w:line="276" w:lineRule="auto"/>
              <w:textAlignment w:val="center"/>
              <w:rPr>
                <w:color w:val="000000"/>
                <w:sz w:val="20"/>
                <w:szCs w:val="20"/>
              </w:rPr>
            </w:pPr>
          </w:p>
        </w:tc>
        <w:tc>
          <w:tcPr>
            <w:tcW w:w="604" w:type="pct"/>
            <w:vMerge/>
            <w:tcBorders>
              <w:bottom w:val="single" w:sz="4" w:space="0" w:color="000000"/>
            </w:tcBorders>
            <w:shd w:val="clear" w:color="auto" w:fill="auto"/>
            <w:tcMar>
              <w:top w:w="90" w:type="dxa"/>
              <w:left w:w="90" w:type="dxa"/>
              <w:bottom w:w="90" w:type="dxa"/>
              <w:right w:w="90" w:type="dxa"/>
            </w:tcMar>
          </w:tcPr>
          <w:p w:rsidR="00BA318D" w:rsidRPr="0099428A" w:rsidRDefault="00BA318D" w:rsidP="00E77E4E">
            <w:pPr>
              <w:autoSpaceDE w:val="0"/>
              <w:autoSpaceDN w:val="0"/>
              <w:adjustRightInd w:val="0"/>
              <w:spacing w:line="288" w:lineRule="auto"/>
              <w:textAlignment w:val="center"/>
              <w:rPr>
                <w:color w:val="000000"/>
                <w:sz w:val="20"/>
                <w:szCs w:val="20"/>
              </w:rPr>
            </w:pPr>
          </w:p>
        </w:tc>
      </w:tr>
      <w:tr w:rsidR="00BA318D" w:rsidRPr="0099428A" w:rsidTr="00E77E4E">
        <w:trPr>
          <w:trHeight w:val="475"/>
          <w:jc w:val="center"/>
        </w:trPr>
        <w:tc>
          <w:tcPr>
            <w:tcW w:w="5000" w:type="pct"/>
            <w:gridSpan w:val="5"/>
            <w:shd w:val="clear" w:color="auto" w:fill="A6A6A6" w:themeFill="background1" w:themeFillShade="A6"/>
            <w:tcMar>
              <w:top w:w="0" w:type="dxa"/>
              <w:left w:w="0" w:type="dxa"/>
              <w:bottom w:w="0" w:type="dxa"/>
              <w:right w:w="0" w:type="dxa"/>
            </w:tcMar>
            <w:vAlign w:val="center"/>
          </w:tcPr>
          <w:p w:rsidR="00BA318D" w:rsidRPr="0099428A" w:rsidRDefault="00BA318D" w:rsidP="00E77E4E">
            <w:pPr>
              <w:rPr>
                <w:b/>
                <w:bCs/>
                <w:sz w:val="20"/>
                <w:szCs w:val="20"/>
              </w:rPr>
            </w:pPr>
            <w:r w:rsidRPr="0099428A">
              <w:rPr>
                <w:b/>
                <w:bCs/>
                <w:sz w:val="20"/>
                <w:szCs w:val="20"/>
              </w:rPr>
              <w:t xml:space="preserve"> Action Step #</w:t>
            </w:r>
            <w:r>
              <w:rPr>
                <w:b/>
                <w:bCs/>
                <w:sz w:val="20"/>
                <w:szCs w:val="20"/>
              </w:rPr>
              <w:t>7:  Adopt Utility Allowances for Green Buildings</w:t>
            </w:r>
          </w:p>
        </w:tc>
      </w:tr>
      <w:tr w:rsidR="00BA318D" w:rsidRPr="0099428A" w:rsidTr="00BA318D">
        <w:trPr>
          <w:trHeight w:val="503"/>
          <w:jc w:val="center"/>
        </w:trPr>
        <w:tc>
          <w:tcPr>
            <w:tcW w:w="1720" w:type="pct"/>
            <w:shd w:val="clear" w:color="auto" w:fill="A6A6A6" w:themeFill="background1" w:themeFillShade="A6"/>
            <w:tcMar>
              <w:top w:w="0" w:type="dxa"/>
              <w:left w:w="0" w:type="dxa"/>
              <w:bottom w:w="0" w:type="dxa"/>
              <w:right w:w="0" w:type="dxa"/>
            </w:tcMar>
            <w:vAlign w:val="center"/>
          </w:tcPr>
          <w:p w:rsidR="00BA318D" w:rsidRPr="0099428A" w:rsidRDefault="00BA318D" w:rsidP="00E77E4E">
            <w:pPr>
              <w:suppressAutoHyphens/>
              <w:autoSpaceDE w:val="0"/>
              <w:autoSpaceDN w:val="0"/>
              <w:adjustRightInd w:val="0"/>
              <w:jc w:val="center"/>
              <w:textAlignment w:val="center"/>
              <w:rPr>
                <w:b/>
                <w:bCs/>
                <w:color w:val="000000"/>
                <w:sz w:val="20"/>
                <w:szCs w:val="20"/>
              </w:rPr>
            </w:pPr>
            <w:r w:rsidRPr="0099428A">
              <w:rPr>
                <w:b/>
                <w:bCs/>
                <w:color w:val="000000"/>
                <w:sz w:val="20"/>
                <w:szCs w:val="20"/>
              </w:rPr>
              <w:t>Tasks</w:t>
            </w:r>
          </w:p>
        </w:tc>
        <w:tc>
          <w:tcPr>
            <w:tcW w:w="1228" w:type="pct"/>
            <w:gridSpan w:val="2"/>
            <w:shd w:val="clear" w:color="auto" w:fill="A6A6A6" w:themeFill="background1" w:themeFillShade="A6"/>
            <w:tcMar>
              <w:top w:w="0" w:type="dxa"/>
              <w:left w:w="0" w:type="dxa"/>
              <w:bottom w:w="0" w:type="dxa"/>
              <w:right w:w="0" w:type="dxa"/>
            </w:tcMar>
            <w:vAlign w:val="center"/>
          </w:tcPr>
          <w:p w:rsidR="00BA318D" w:rsidRPr="0099428A" w:rsidRDefault="00BA318D" w:rsidP="00E77E4E">
            <w:pPr>
              <w:suppressAutoHyphens/>
              <w:autoSpaceDE w:val="0"/>
              <w:autoSpaceDN w:val="0"/>
              <w:adjustRightInd w:val="0"/>
              <w:jc w:val="center"/>
              <w:textAlignment w:val="center"/>
              <w:rPr>
                <w:b/>
                <w:bCs/>
                <w:color w:val="000000"/>
                <w:sz w:val="20"/>
                <w:szCs w:val="20"/>
              </w:rPr>
            </w:pPr>
            <w:r w:rsidRPr="0099428A">
              <w:rPr>
                <w:b/>
                <w:bCs/>
                <w:color w:val="000000"/>
                <w:sz w:val="20"/>
                <w:szCs w:val="20"/>
              </w:rPr>
              <w:t>Required Approvals</w:t>
            </w:r>
          </w:p>
        </w:tc>
        <w:tc>
          <w:tcPr>
            <w:tcW w:w="1448" w:type="pct"/>
            <w:shd w:val="clear" w:color="auto" w:fill="A6A6A6" w:themeFill="background1" w:themeFillShade="A6"/>
            <w:tcMar>
              <w:top w:w="0" w:type="dxa"/>
              <w:left w:w="0" w:type="dxa"/>
              <w:bottom w:w="0" w:type="dxa"/>
              <w:right w:w="0" w:type="dxa"/>
            </w:tcMar>
            <w:vAlign w:val="center"/>
          </w:tcPr>
          <w:p w:rsidR="00BA318D" w:rsidRPr="0099428A" w:rsidRDefault="00BA318D" w:rsidP="00E77E4E">
            <w:pPr>
              <w:suppressAutoHyphens/>
              <w:autoSpaceDE w:val="0"/>
              <w:autoSpaceDN w:val="0"/>
              <w:adjustRightInd w:val="0"/>
              <w:jc w:val="center"/>
              <w:textAlignment w:val="center"/>
              <w:rPr>
                <w:b/>
                <w:bCs/>
                <w:color w:val="000000"/>
                <w:sz w:val="20"/>
                <w:szCs w:val="20"/>
              </w:rPr>
            </w:pPr>
            <w:r w:rsidRPr="0099428A">
              <w:rPr>
                <w:b/>
                <w:bCs/>
                <w:color w:val="000000"/>
                <w:sz w:val="20"/>
                <w:szCs w:val="20"/>
              </w:rPr>
              <w:t>Measurable Outcome(s)</w:t>
            </w:r>
          </w:p>
        </w:tc>
        <w:tc>
          <w:tcPr>
            <w:tcW w:w="604" w:type="pct"/>
            <w:shd w:val="clear" w:color="auto" w:fill="A6A6A6" w:themeFill="background1" w:themeFillShade="A6"/>
            <w:tcMar>
              <w:top w:w="0" w:type="dxa"/>
              <w:left w:w="0" w:type="dxa"/>
              <w:bottom w:w="0" w:type="dxa"/>
              <w:right w:w="0" w:type="dxa"/>
            </w:tcMar>
            <w:vAlign w:val="center"/>
          </w:tcPr>
          <w:p w:rsidR="00BA318D" w:rsidRPr="0099428A" w:rsidRDefault="00BA318D" w:rsidP="00E77E4E">
            <w:pPr>
              <w:suppressAutoHyphens/>
              <w:autoSpaceDE w:val="0"/>
              <w:autoSpaceDN w:val="0"/>
              <w:adjustRightInd w:val="0"/>
              <w:jc w:val="center"/>
              <w:textAlignment w:val="center"/>
              <w:rPr>
                <w:b/>
                <w:bCs/>
                <w:color w:val="000000"/>
                <w:sz w:val="20"/>
                <w:szCs w:val="20"/>
                <w:u w:color="000000"/>
              </w:rPr>
            </w:pPr>
            <w:r w:rsidRPr="0099428A">
              <w:rPr>
                <w:b/>
                <w:bCs/>
                <w:color w:val="000000"/>
                <w:sz w:val="20"/>
                <w:szCs w:val="20"/>
                <w:u w:color="000000"/>
              </w:rPr>
              <w:t>Target Completion Date(s)</w:t>
            </w:r>
          </w:p>
        </w:tc>
      </w:tr>
      <w:tr w:rsidR="00BA318D" w:rsidRPr="0099428A" w:rsidTr="00BA318D">
        <w:trPr>
          <w:trHeight w:val="458"/>
          <w:jc w:val="center"/>
        </w:trPr>
        <w:tc>
          <w:tcPr>
            <w:tcW w:w="1720" w:type="pct"/>
            <w:vMerge w:val="restart"/>
            <w:shd w:val="clear" w:color="auto" w:fill="auto"/>
            <w:tcMar>
              <w:top w:w="90" w:type="dxa"/>
              <w:left w:w="90" w:type="dxa"/>
              <w:bottom w:w="90" w:type="dxa"/>
              <w:right w:w="90" w:type="dxa"/>
            </w:tcMar>
          </w:tcPr>
          <w:p w:rsidR="00BA318D" w:rsidRPr="0099428A" w:rsidRDefault="00BA318D" w:rsidP="00E77E4E">
            <w:pPr>
              <w:numPr>
                <w:ilvl w:val="0"/>
                <w:numId w:val="2"/>
              </w:numPr>
              <w:suppressAutoHyphens/>
              <w:autoSpaceDE w:val="0"/>
              <w:autoSpaceDN w:val="0"/>
              <w:adjustRightInd w:val="0"/>
              <w:spacing w:after="200" w:line="276" w:lineRule="auto"/>
              <w:textAlignment w:val="center"/>
              <w:rPr>
                <w:color w:val="000000"/>
                <w:sz w:val="20"/>
                <w:szCs w:val="20"/>
              </w:rPr>
            </w:pPr>
            <w:r>
              <w:rPr>
                <w:color w:val="000000"/>
                <w:sz w:val="20"/>
                <w:szCs w:val="20"/>
              </w:rPr>
              <w:t>Adjust utility allowances to include separate allowances for tenant-paid utilities in green buildings</w:t>
            </w:r>
          </w:p>
          <w:p w:rsidR="00BA318D" w:rsidRPr="0099428A" w:rsidRDefault="00BA318D" w:rsidP="00E77E4E">
            <w:pPr>
              <w:suppressAutoHyphens/>
              <w:autoSpaceDE w:val="0"/>
              <w:autoSpaceDN w:val="0"/>
              <w:adjustRightInd w:val="0"/>
              <w:textAlignment w:val="center"/>
              <w:rPr>
                <w:color w:val="000000"/>
                <w:sz w:val="20"/>
                <w:szCs w:val="20"/>
              </w:rPr>
            </w:pPr>
          </w:p>
        </w:tc>
        <w:tc>
          <w:tcPr>
            <w:tcW w:w="659" w:type="pct"/>
            <w:tcBorders>
              <w:bottom w:val="single" w:sz="4" w:space="0" w:color="000000"/>
            </w:tcBorders>
            <w:shd w:val="clear" w:color="auto" w:fill="auto"/>
            <w:tcMar>
              <w:top w:w="90" w:type="dxa"/>
              <w:left w:w="90" w:type="dxa"/>
              <w:bottom w:w="90" w:type="dxa"/>
              <w:right w:w="90" w:type="dxa"/>
            </w:tcMar>
            <w:vAlign w:val="center"/>
          </w:tcPr>
          <w:p w:rsidR="00BA318D" w:rsidRPr="0099428A" w:rsidRDefault="00BA318D" w:rsidP="00E77E4E">
            <w:pPr>
              <w:suppressAutoHyphens/>
              <w:autoSpaceDE w:val="0"/>
              <w:autoSpaceDN w:val="0"/>
              <w:adjustRightInd w:val="0"/>
              <w:jc w:val="center"/>
              <w:textAlignment w:val="center"/>
              <w:rPr>
                <w:color w:val="000000"/>
                <w:sz w:val="20"/>
                <w:szCs w:val="20"/>
              </w:rPr>
            </w:pPr>
            <w:r w:rsidRPr="0099428A">
              <w:rPr>
                <w:color w:val="000000"/>
                <w:sz w:val="20"/>
                <w:szCs w:val="20"/>
              </w:rPr>
              <w:t>Local</w:t>
            </w:r>
          </w:p>
        </w:tc>
        <w:tc>
          <w:tcPr>
            <w:tcW w:w="569" w:type="pct"/>
            <w:tcBorders>
              <w:bottom w:val="single" w:sz="4" w:space="0" w:color="000000"/>
            </w:tcBorders>
            <w:shd w:val="clear" w:color="auto" w:fill="auto"/>
            <w:vAlign w:val="center"/>
          </w:tcPr>
          <w:p w:rsidR="00BA318D" w:rsidRPr="0099428A" w:rsidRDefault="00BA318D" w:rsidP="00E77E4E">
            <w:pPr>
              <w:suppressAutoHyphens/>
              <w:autoSpaceDE w:val="0"/>
              <w:autoSpaceDN w:val="0"/>
              <w:adjustRightInd w:val="0"/>
              <w:jc w:val="center"/>
              <w:textAlignment w:val="center"/>
              <w:rPr>
                <w:color w:val="000000"/>
                <w:sz w:val="20"/>
                <w:szCs w:val="20"/>
              </w:rPr>
            </w:pPr>
            <w:r>
              <w:rPr>
                <w:color w:val="000000"/>
                <w:sz w:val="20"/>
                <w:szCs w:val="20"/>
              </w:rPr>
              <w:t>X</w:t>
            </w:r>
          </w:p>
        </w:tc>
        <w:tc>
          <w:tcPr>
            <w:tcW w:w="1448" w:type="pct"/>
            <w:vMerge w:val="restart"/>
            <w:shd w:val="clear" w:color="auto" w:fill="auto"/>
            <w:tcMar>
              <w:top w:w="90" w:type="dxa"/>
              <w:left w:w="90" w:type="dxa"/>
              <w:bottom w:w="90" w:type="dxa"/>
              <w:right w:w="90" w:type="dxa"/>
            </w:tcMar>
          </w:tcPr>
          <w:p w:rsidR="00BA318D" w:rsidRPr="0099428A" w:rsidRDefault="00BA318D" w:rsidP="00E77E4E">
            <w:pPr>
              <w:numPr>
                <w:ilvl w:val="0"/>
                <w:numId w:val="2"/>
              </w:numPr>
              <w:suppressAutoHyphens/>
              <w:autoSpaceDE w:val="0"/>
              <w:autoSpaceDN w:val="0"/>
              <w:adjustRightInd w:val="0"/>
              <w:spacing w:after="200" w:line="276" w:lineRule="auto"/>
              <w:textAlignment w:val="center"/>
              <w:rPr>
                <w:color w:val="000000"/>
                <w:sz w:val="20"/>
                <w:szCs w:val="20"/>
              </w:rPr>
            </w:pPr>
            <w:r>
              <w:rPr>
                <w:color w:val="000000"/>
                <w:sz w:val="20"/>
                <w:szCs w:val="20"/>
              </w:rPr>
              <w:t>Modification of utility allowances to include lower utility allowances for green buildings.</w:t>
            </w:r>
          </w:p>
        </w:tc>
        <w:tc>
          <w:tcPr>
            <w:tcW w:w="604" w:type="pct"/>
            <w:vMerge w:val="restart"/>
            <w:shd w:val="clear" w:color="auto" w:fill="auto"/>
            <w:tcMar>
              <w:top w:w="90" w:type="dxa"/>
              <w:left w:w="90" w:type="dxa"/>
              <w:bottom w:w="90" w:type="dxa"/>
              <w:right w:w="90" w:type="dxa"/>
            </w:tcMar>
          </w:tcPr>
          <w:p w:rsidR="00BA318D" w:rsidRPr="0099428A" w:rsidRDefault="00BA318D" w:rsidP="00E77E4E">
            <w:pPr>
              <w:autoSpaceDE w:val="0"/>
              <w:autoSpaceDN w:val="0"/>
              <w:adjustRightInd w:val="0"/>
              <w:spacing w:line="288" w:lineRule="auto"/>
              <w:textAlignment w:val="center"/>
              <w:rPr>
                <w:color w:val="000000"/>
                <w:sz w:val="20"/>
                <w:szCs w:val="20"/>
              </w:rPr>
            </w:pPr>
          </w:p>
        </w:tc>
      </w:tr>
      <w:tr w:rsidR="00BA318D" w:rsidRPr="0099428A" w:rsidTr="00BA318D">
        <w:trPr>
          <w:trHeight w:val="530"/>
          <w:jc w:val="center"/>
        </w:trPr>
        <w:tc>
          <w:tcPr>
            <w:tcW w:w="1720" w:type="pct"/>
            <w:vMerge/>
            <w:shd w:val="clear" w:color="auto" w:fill="auto"/>
            <w:tcMar>
              <w:top w:w="90" w:type="dxa"/>
              <w:left w:w="90" w:type="dxa"/>
              <w:bottom w:w="90" w:type="dxa"/>
              <w:right w:w="90" w:type="dxa"/>
            </w:tcMar>
          </w:tcPr>
          <w:p w:rsidR="00BA318D" w:rsidRPr="0099428A" w:rsidRDefault="00BA318D" w:rsidP="00E77E4E">
            <w:pPr>
              <w:numPr>
                <w:ilvl w:val="0"/>
                <w:numId w:val="2"/>
              </w:numPr>
              <w:suppressAutoHyphens/>
              <w:autoSpaceDE w:val="0"/>
              <w:autoSpaceDN w:val="0"/>
              <w:adjustRightInd w:val="0"/>
              <w:spacing w:after="200" w:line="276" w:lineRule="auto"/>
              <w:textAlignment w:val="center"/>
              <w:rPr>
                <w:color w:val="000000"/>
                <w:sz w:val="20"/>
                <w:szCs w:val="20"/>
              </w:rPr>
            </w:pPr>
          </w:p>
        </w:tc>
        <w:tc>
          <w:tcPr>
            <w:tcW w:w="659" w:type="pct"/>
            <w:tcBorders>
              <w:bottom w:val="single" w:sz="4" w:space="0" w:color="000000"/>
            </w:tcBorders>
            <w:shd w:val="clear" w:color="auto" w:fill="auto"/>
            <w:tcMar>
              <w:top w:w="90" w:type="dxa"/>
              <w:left w:w="90" w:type="dxa"/>
              <w:bottom w:w="90" w:type="dxa"/>
              <w:right w:w="90" w:type="dxa"/>
            </w:tcMar>
            <w:vAlign w:val="center"/>
          </w:tcPr>
          <w:p w:rsidR="00BA318D" w:rsidRPr="0099428A" w:rsidRDefault="00BA318D" w:rsidP="00E77E4E">
            <w:pPr>
              <w:suppressAutoHyphens/>
              <w:autoSpaceDE w:val="0"/>
              <w:autoSpaceDN w:val="0"/>
              <w:adjustRightInd w:val="0"/>
              <w:jc w:val="center"/>
              <w:textAlignment w:val="center"/>
              <w:rPr>
                <w:color w:val="000000"/>
                <w:sz w:val="20"/>
                <w:szCs w:val="20"/>
              </w:rPr>
            </w:pPr>
            <w:r w:rsidRPr="0099428A">
              <w:rPr>
                <w:color w:val="000000"/>
                <w:sz w:val="20"/>
                <w:szCs w:val="20"/>
              </w:rPr>
              <w:t>State</w:t>
            </w:r>
          </w:p>
        </w:tc>
        <w:tc>
          <w:tcPr>
            <w:tcW w:w="569" w:type="pct"/>
            <w:tcBorders>
              <w:bottom w:val="single" w:sz="4" w:space="0" w:color="000000"/>
            </w:tcBorders>
            <w:shd w:val="clear" w:color="auto" w:fill="auto"/>
            <w:vAlign w:val="center"/>
          </w:tcPr>
          <w:p w:rsidR="00BA318D" w:rsidRPr="0099428A" w:rsidRDefault="00BA318D" w:rsidP="00E77E4E">
            <w:pPr>
              <w:suppressAutoHyphens/>
              <w:autoSpaceDE w:val="0"/>
              <w:autoSpaceDN w:val="0"/>
              <w:adjustRightInd w:val="0"/>
              <w:jc w:val="center"/>
              <w:textAlignment w:val="center"/>
              <w:rPr>
                <w:color w:val="000000"/>
                <w:sz w:val="20"/>
                <w:szCs w:val="20"/>
              </w:rPr>
            </w:pPr>
          </w:p>
        </w:tc>
        <w:tc>
          <w:tcPr>
            <w:tcW w:w="1448" w:type="pct"/>
            <w:vMerge/>
            <w:shd w:val="clear" w:color="auto" w:fill="auto"/>
            <w:tcMar>
              <w:top w:w="90" w:type="dxa"/>
              <w:left w:w="90" w:type="dxa"/>
              <w:bottom w:w="90" w:type="dxa"/>
              <w:right w:w="90" w:type="dxa"/>
            </w:tcMar>
          </w:tcPr>
          <w:p w:rsidR="00BA318D" w:rsidRPr="0099428A" w:rsidRDefault="00BA318D" w:rsidP="00E77E4E">
            <w:pPr>
              <w:numPr>
                <w:ilvl w:val="0"/>
                <w:numId w:val="2"/>
              </w:numPr>
              <w:suppressAutoHyphens/>
              <w:autoSpaceDE w:val="0"/>
              <w:autoSpaceDN w:val="0"/>
              <w:adjustRightInd w:val="0"/>
              <w:spacing w:after="200" w:line="276" w:lineRule="auto"/>
              <w:textAlignment w:val="center"/>
              <w:rPr>
                <w:color w:val="000000"/>
                <w:sz w:val="20"/>
                <w:szCs w:val="20"/>
              </w:rPr>
            </w:pPr>
          </w:p>
        </w:tc>
        <w:tc>
          <w:tcPr>
            <w:tcW w:w="604" w:type="pct"/>
            <w:vMerge/>
            <w:shd w:val="clear" w:color="auto" w:fill="auto"/>
            <w:tcMar>
              <w:top w:w="90" w:type="dxa"/>
              <w:left w:w="90" w:type="dxa"/>
              <w:bottom w:w="90" w:type="dxa"/>
              <w:right w:w="90" w:type="dxa"/>
            </w:tcMar>
          </w:tcPr>
          <w:p w:rsidR="00BA318D" w:rsidRPr="0099428A" w:rsidRDefault="00BA318D" w:rsidP="00E77E4E">
            <w:pPr>
              <w:autoSpaceDE w:val="0"/>
              <w:autoSpaceDN w:val="0"/>
              <w:adjustRightInd w:val="0"/>
              <w:spacing w:line="288" w:lineRule="auto"/>
              <w:textAlignment w:val="center"/>
              <w:rPr>
                <w:color w:val="000000"/>
                <w:sz w:val="20"/>
                <w:szCs w:val="20"/>
              </w:rPr>
            </w:pPr>
          </w:p>
        </w:tc>
      </w:tr>
      <w:tr w:rsidR="00BA318D" w:rsidRPr="0099428A" w:rsidTr="00BA318D">
        <w:trPr>
          <w:trHeight w:val="575"/>
          <w:jc w:val="center"/>
        </w:trPr>
        <w:tc>
          <w:tcPr>
            <w:tcW w:w="1720" w:type="pct"/>
            <w:vMerge/>
            <w:tcBorders>
              <w:bottom w:val="single" w:sz="4" w:space="0" w:color="000000"/>
            </w:tcBorders>
            <w:shd w:val="clear" w:color="auto" w:fill="auto"/>
            <w:tcMar>
              <w:top w:w="90" w:type="dxa"/>
              <w:left w:w="90" w:type="dxa"/>
              <w:bottom w:w="90" w:type="dxa"/>
              <w:right w:w="90" w:type="dxa"/>
            </w:tcMar>
          </w:tcPr>
          <w:p w:rsidR="00BA318D" w:rsidRPr="0099428A" w:rsidRDefault="00BA318D" w:rsidP="00E77E4E">
            <w:pPr>
              <w:numPr>
                <w:ilvl w:val="0"/>
                <w:numId w:val="2"/>
              </w:numPr>
              <w:suppressAutoHyphens/>
              <w:autoSpaceDE w:val="0"/>
              <w:autoSpaceDN w:val="0"/>
              <w:adjustRightInd w:val="0"/>
              <w:spacing w:after="200" w:line="276" w:lineRule="auto"/>
              <w:textAlignment w:val="center"/>
              <w:rPr>
                <w:color w:val="000000"/>
                <w:sz w:val="20"/>
                <w:szCs w:val="20"/>
              </w:rPr>
            </w:pPr>
          </w:p>
        </w:tc>
        <w:tc>
          <w:tcPr>
            <w:tcW w:w="659" w:type="pct"/>
            <w:tcBorders>
              <w:bottom w:val="single" w:sz="4" w:space="0" w:color="000000"/>
            </w:tcBorders>
            <w:shd w:val="clear" w:color="auto" w:fill="auto"/>
            <w:tcMar>
              <w:top w:w="90" w:type="dxa"/>
              <w:left w:w="90" w:type="dxa"/>
              <w:bottom w:w="90" w:type="dxa"/>
              <w:right w:w="90" w:type="dxa"/>
            </w:tcMar>
            <w:vAlign w:val="center"/>
          </w:tcPr>
          <w:p w:rsidR="00BA318D" w:rsidRPr="0099428A" w:rsidRDefault="00BA318D" w:rsidP="00E77E4E">
            <w:pPr>
              <w:suppressAutoHyphens/>
              <w:autoSpaceDE w:val="0"/>
              <w:autoSpaceDN w:val="0"/>
              <w:adjustRightInd w:val="0"/>
              <w:jc w:val="center"/>
              <w:textAlignment w:val="center"/>
              <w:rPr>
                <w:color w:val="000000"/>
                <w:sz w:val="20"/>
                <w:szCs w:val="20"/>
              </w:rPr>
            </w:pPr>
            <w:r w:rsidRPr="0099428A">
              <w:rPr>
                <w:color w:val="000000"/>
                <w:sz w:val="20"/>
                <w:szCs w:val="20"/>
              </w:rPr>
              <w:t>Voter</w:t>
            </w:r>
          </w:p>
        </w:tc>
        <w:tc>
          <w:tcPr>
            <w:tcW w:w="569" w:type="pct"/>
            <w:tcBorders>
              <w:bottom w:val="single" w:sz="4" w:space="0" w:color="000000"/>
            </w:tcBorders>
            <w:shd w:val="clear" w:color="auto" w:fill="auto"/>
            <w:vAlign w:val="center"/>
          </w:tcPr>
          <w:p w:rsidR="00BA318D" w:rsidRPr="0099428A" w:rsidRDefault="00BA318D" w:rsidP="00E77E4E">
            <w:pPr>
              <w:suppressAutoHyphens/>
              <w:autoSpaceDE w:val="0"/>
              <w:autoSpaceDN w:val="0"/>
              <w:adjustRightInd w:val="0"/>
              <w:jc w:val="center"/>
              <w:textAlignment w:val="center"/>
              <w:rPr>
                <w:color w:val="000000"/>
                <w:sz w:val="20"/>
                <w:szCs w:val="20"/>
              </w:rPr>
            </w:pPr>
          </w:p>
        </w:tc>
        <w:tc>
          <w:tcPr>
            <w:tcW w:w="1448" w:type="pct"/>
            <w:vMerge/>
            <w:tcBorders>
              <w:bottom w:val="single" w:sz="4" w:space="0" w:color="000000"/>
            </w:tcBorders>
            <w:shd w:val="clear" w:color="auto" w:fill="auto"/>
            <w:tcMar>
              <w:top w:w="90" w:type="dxa"/>
              <w:left w:w="90" w:type="dxa"/>
              <w:bottom w:w="90" w:type="dxa"/>
              <w:right w:w="90" w:type="dxa"/>
            </w:tcMar>
          </w:tcPr>
          <w:p w:rsidR="00BA318D" w:rsidRPr="0099428A" w:rsidRDefault="00BA318D" w:rsidP="00E77E4E">
            <w:pPr>
              <w:numPr>
                <w:ilvl w:val="0"/>
                <w:numId w:val="2"/>
              </w:numPr>
              <w:suppressAutoHyphens/>
              <w:autoSpaceDE w:val="0"/>
              <w:autoSpaceDN w:val="0"/>
              <w:adjustRightInd w:val="0"/>
              <w:spacing w:after="200" w:line="276" w:lineRule="auto"/>
              <w:textAlignment w:val="center"/>
              <w:rPr>
                <w:color w:val="000000"/>
                <w:sz w:val="20"/>
                <w:szCs w:val="20"/>
              </w:rPr>
            </w:pPr>
          </w:p>
        </w:tc>
        <w:tc>
          <w:tcPr>
            <w:tcW w:w="604" w:type="pct"/>
            <w:vMerge/>
            <w:tcBorders>
              <w:bottom w:val="single" w:sz="4" w:space="0" w:color="000000"/>
            </w:tcBorders>
            <w:shd w:val="clear" w:color="auto" w:fill="auto"/>
            <w:tcMar>
              <w:top w:w="90" w:type="dxa"/>
              <w:left w:w="90" w:type="dxa"/>
              <w:bottom w:w="90" w:type="dxa"/>
              <w:right w:w="90" w:type="dxa"/>
            </w:tcMar>
          </w:tcPr>
          <w:p w:rsidR="00BA318D" w:rsidRPr="0099428A" w:rsidRDefault="00BA318D" w:rsidP="00E77E4E">
            <w:pPr>
              <w:autoSpaceDE w:val="0"/>
              <w:autoSpaceDN w:val="0"/>
              <w:adjustRightInd w:val="0"/>
              <w:spacing w:line="288" w:lineRule="auto"/>
              <w:textAlignment w:val="center"/>
              <w:rPr>
                <w:color w:val="000000"/>
                <w:sz w:val="20"/>
                <w:szCs w:val="20"/>
              </w:rPr>
            </w:pPr>
          </w:p>
        </w:tc>
      </w:tr>
    </w:tbl>
    <w:p w:rsidR="00BA318D" w:rsidRDefault="00BA318D" w:rsidP="00BA318D">
      <w:r>
        <w:br w:type="page"/>
      </w:r>
    </w:p>
    <w:tbl>
      <w:tblPr>
        <w:tblW w:w="10552" w:type="dxa"/>
        <w:jc w:val="center"/>
        <w:tblInd w:w="-5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3686"/>
        <w:gridCol w:w="1165"/>
        <w:gridCol w:w="1114"/>
        <w:gridCol w:w="3040"/>
        <w:gridCol w:w="1547"/>
      </w:tblGrid>
      <w:tr w:rsidR="00DC6E5A" w:rsidRPr="0099428A" w:rsidTr="00AB1CCF">
        <w:trPr>
          <w:trHeight w:val="452"/>
          <w:jc w:val="center"/>
        </w:trPr>
        <w:tc>
          <w:tcPr>
            <w:tcW w:w="10552" w:type="dxa"/>
            <w:gridSpan w:val="5"/>
            <w:tcBorders>
              <w:top w:val="single" w:sz="4" w:space="0" w:color="auto"/>
              <w:left w:val="single" w:sz="4" w:space="0" w:color="auto"/>
              <w:bottom w:val="single" w:sz="4" w:space="0" w:color="auto"/>
              <w:right w:val="single" w:sz="4" w:space="0" w:color="auto"/>
            </w:tcBorders>
            <w:shd w:val="clear" w:color="auto" w:fill="8DB3E2" w:themeFill="text2" w:themeFillTint="66"/>
            <w:tcMar>
              <w:top w:w="0" w:type="dxa"/>
              <w:left w:w="0" w:type="dxa"/>
              <w:bottom w:w="0" w:type="dxa"/>
              <w:right w:w="0" w:type="dxa"/>
            </w:tcMar>
            <w:vAlign w:val="center"/>
          </w:tcPr>
          <w:p w:rsidR="00DC6E5A" w:rsidRPr="0099428A" w:rsidRDefault="00DC6E5A" w:rsidP="000336A9">
            <w:pPr>
              <w:suppressAutoHyphens/>
              <w:autoSpaceDE w:val="0"/>
              <w:autoSpaceDN w:val="0"/>
              <w:adjustRightInd w:val="0"/>
              <w:jc w:val="center"/>
              <w:textAlignment w:val="center"/>
              <w:rPr>
                <w:b/>
                <w:bCs/>
                <w:color w:val="000000"/>
                <w:sz w:val="20"/>
                <w:szCs w:val="20"/>
              </w:rPr>
            </w:pPr>
            <w:r w:rsidRPr="0099428A">
              <w:rPr>
                <w:b/>
                <w:bCs/>
                <w:color w:val="000000"/>
                <w:sz w:val="20"/>
                <w:szCs w:val="20"/>
              </w:rPr>
              <w:t xml:space="preserve">STRATEGY # </w:t>
            </w:r>
            <w:r>
              <w:rPr>
                <w:b/>
                <w:bCs/>
                <w:color w:val="000000"/>
                <w:sz w:val="20"/>
                <w:szCs w:val="20"/>
              </w:rPr>
              <w:t>2</w:t>
            </w:r>
            <w:r w:rsidRPr="0099428A">
              <w:rPr>
                <w:b/>
                <w:bCs/>
                <w:color w:val="000000"/>
                <w:sz w:val="20"/>
                <w:szCs w:val="20"/>
              </w:rPr>
              <w:t>:</w:t>
            </w:r>
          </w:p>
          <w:p w:rsidR="00DC6E5A" w:rsidRPr="0099428A" w:rsidRDefault="00DC6E5A" w:rsidP="000336A9">
            <w:pPr>
              <w:suppressAutoHyphens/>
              <w:autoSpaceDE w:val="0"/>
              <w:autoSpaceDN w:val="0"/>
              <w:adjustRightInd w:val="0"/>
              <w:jc w:val="center"/>
              <w:textAlignment w:val="center"/>
              <w:rPr>
                <w:b/>
                <w:bCs/>
                <w:color w:val="000000"/>
                <w:sz w:val="20"/>
                <w:szCs w:val="20"/>
              </w:rPr>
            </w:pPr>
            <w:r w:rsidRPr="0099428A">
              <w:rPr>
                <w:b/>
                <w:bCs/>
                <w:color w:val="000000"/>
                <w:sz w:val="20"/>
                <w:szCs w:val="20"/>
              </w:rPr>
              <w:t>DETERMINE OPTIMAL MIX OF HOUSING TYPES</w:t>
            </w:r>
          </w:p>
        </w:tc>
      </w:tr>
      <w:tr w:rsidR="00DC6E5A" w:rsidRPr="0099428A" w:rsidTr="00DC6E5A">
        <w:trPr>
          <w:trHeight w:val="475"/>
          <w:jc w:val="center"/>
        </w:trPr>
        <w:tc>
          <w:tcPr>
            <w:tcW w:w="10552" w:type="dxa"/>
            <w:gridSpan w:val="5"/>
            <w:tcBorders>
              <w:top w:val="single" w:sz="4" w:space="0" w:color="auto"/>
              <w:left w:val="single" w:sz="4" w:space="0" w:color="auto"/>
            </w:tcBorders>
            <w:shd w:val="clear" w:color="F37174" w:fill="8DB3E2" w:themeFill="text2" w:themeFillTint="66"/>
            <w:tcMar>
              <w:top w:w="0" w:type="dxa"/>
              <w:left w:w="0" w:type="dxa"/>
              <w:bottom w:w="0" w:type="dxa"/>
              <w:right w:w="0" w:type="dxa"/>
            </w:tcMar>
            <w:vAlign w:val="center"/>
          </w:tcPr>
          <w:p w:rsidR="00DC6E5A" w:rsidRPr="0099428A" w:rsidRDefault="00DC6E5A" w:rsidP="000336A9">
            <w:pPr>
              <w:suppressAutoHyphens/>
              <w:autoSpaceDE w:val="0"/>
              <w:autoSpaceDN w:val="0"/>
              <w:adjustRightInd w:val="0"/>
              <w:textAlignment w:val="center"/>
              <w:rPr>
                <w:b/>
                <w:bCs/>
                <w:color w:val="000000"/>
                <w:sz w:val="20"/>
                <w:szCs w:val="20"/>
              </w:rPr>
            </w:pPr>
            <w:r w:rsidRPr="0099428A">
              <w:rPr>
                <w:b/>
                <w:bCs/>
                <w:color w:val="000000"/>
                <w:sz w:val="20"/>
                <w:szCs w:val="20"/>
              </w:rPr>
              <w:t xml:space="preserve"> Action Step #1:  Encourage Affordable Housing Site</w:t>
            </w:r>
            <w:r>
              <w:rPr>
                <w:b/>
                <w:bCs/>
                <w:color w:val="000000"/>
                <w:sz w:val="20"/>
                <w:szCs w:val="20"/>
              </w:rPr>
              <w:t xml:space="preserve"> Selection</w:t>
            </w:r>
            <w:r w:rsidRPr="0099428A">
              <w:rPr>
                <w:b/>
                <w:bCs/>
                <w:color w:val="000000"/>
                <w:sz w:val="20"/>
                <w:szCs w:val="20"/>
              </w:rPr>
              <w:t xml:space="preserve"> Near Transit and Employment Centers</w:t>
            </w:r>
          </w:p>
        </w:tc>
      </w:tr>
      <w:tr w:rsidR="00DC6E5A" w:rsidRPr="0099428A" w:rsidTr="00DC6E5A">
        <w:trPr>
          <w:trHeight w:val="503"/>
          <w:jc w:val="center"/>
        </w:trPr>
        <w:tc>
          <w:tcPr>
            <w:tcW w:w="3686" w:type="dxa"/>
            <w:tcBorders>
              <w:left w:val="single" w:sz="4" w:space="0" w:color="auto"/>
            </w:tcBorders>
            <w:shd w:val="clear" w:color="F37174" w:fill="8DB3E2" w:themeFill="text2" w:themeFillTint="66"/>
            <w:tcMar>
              <w:top w:w="0" w:type="dxa"/>
              <w:left w:w="0" w:type="dxa"/>
              <w:bottom w:w="0" w:type="dxa"/>
              <w:right w:w="0" w:type="dxa"/>
            </w:tcMar>
            <w:vAlign w:val="center"/>
          </w:tcPr>
          <w:p w:rsidR="00DC6E5A" w:rsidRPr="0099428A" w:rsidRDefault="00DC6E5A" w:rsidP="000336A9">
            <w:pPr>
              <w:suppressAutoHyphens/>
              <w:autoSpaceDE w:val="0"/>
              <w:autoSpaceDN w:val="0"/>
              <w:adjustRightInd w:val="0"/>
              <w:jc w:val="center"/>
              <w:textAlignment w:val="center"/>
              <w:rPr>
                <w:b/>
                <w:bCs/>
                <w:color w:val="000000"/>
                <w:sz w:val="20"/>
                <w:szCs w:val="20"/>
              </w:rPr>
            </w:pPr>
            <w:r w:rsidRPr="0099428A">
              <w:rPr>
                <w:b/>
                <w:bCs/>
                <w:color w:val="000000"/>
                <w:sz w:val="20"/>
                <w:szCs w:val="20"/>
              </w:rPr>
              <w:t>Tasks</w:t>
            </w:r>
          </w:p>
        </w:tc>
        <w:tc>
          <w:tcPr>
            <w:tcW w:w="2279" w:type="dxa"/>
            <w:gridSpan w:val="2"/>
            <w:shd w:val="clear" w:color="F37174" w:fill="8DB3E2" w:themeFill="text2" w:themeFillTint="66"/>
            <w:tcMar>
              <w:top w:w="0" w:type="dxa"/>
              <w:left w:w="0" w:type="dxa"/>
              <w:bottom w:w="0" w:type="dxa"/>
              <w:right w:w="0" w:type="dxa"/>
            </w:tcMar>
            <w:vAlign w:val="center"/>
          </w:tcPr>
          <w:p w:rsidR="00DC6E5A" w:rsidRPr="0099428A" w:rsidRDefault="00DC6E5A" w:rsidP="000336A9">
            <w:pPr>
              <w:suppressAutoHyphens/>
              <w:autoSpaceDE w:val="0"/>
              <w:autoSpaceDN w:val="0"/>
              <w:adjustRightInd w:val="0"/>
              <w:jc w:val="center"/>
              <w:textAlignment w:val="center"/>
              <w:rPr>
                <w:b/>
                <w:bCs/>
                <w:color w:val="000000"/>
                <w:sz w:val="20"/>
                <w:szCs w:val="20"/>
              </w:rPr>
            </w:pPr>
            <w:r w:rsidRPr="0099428A">
              <w:rPr>
                <w:b/>
                <w:bCs/>
                <w:color w:val="000000"/>
                <w:sz w:val="20"/>
                <w:szCs w:val="20"/>
              </w:rPr>
              <w:t>Required Approvals</w:t>
            </w:r>
          </w:p>
        </w:tc>
        <w:tc>
          <w:tcPr>
            <w:tcW w:w="3040" w:type="dxa"/>
            <w:shd w:val="clear" w:color="F37174" w:fill="8DB3E2" w:themeFill="text2" w:themeFillTint="66"/>
            <w:vAlign w:val="center"/>
          </w:tcPr>
          <w:p w:rsidR="00DC6E5A" w:rsidRPr="0099428A" w:rsidRDefault="00DC6E5A" w:rsidP="000336A9">
            <w:pPr>
              <w:suppressAutoHyphens/>
              <w:autoSpaceDE w:val="0"/>
              <w:autoSpaceDN w:val="0"/>
              <w:adjustRightInd w:val="0"/>
              <w:jc w:val="center"/>
              <w:textAlignment w:val="center"/>
              <w:rPr>
                <w:b/>
                <w:bCs/>
                <w:color w:val="000000"/>
                <w:sz w:val="20"/>
                <w:szCs w:val="20"/>
              </w:rPr>
            </w:pPr>
            <w:r w:rsidRPr="0099428A">
              <w:rPr>
                <w:b/>
                <w:bCs/>
                <w:color w:val="000000"/>
                <w:sz w:val="20"/>
                <w:szCs w:val="20"/>
              </w:rPr>
              <w:t>Measurable Outcome(s)</w:t>
            </w:r>
          </w:p>
        </w:tc>
        <w:tc>
          <w:tcPr>
            <w:tcW w:w="1547" w:type="dxa"/>
            <w:shd w:val="clear" w:color="F37174" w:fill="8DB3E2" w:themeFill="text2" w:themeFillTint="66"/>
            <w:tcMar>
              <w:top w:w="0" w:type="dxa"/>
              <w:left w:w="0" w:type="dxa"/>
              <w:bottom w:w="0" w:type="dxa"/>
              <w:right w:w="0" w:type="dxa"/>
            </w:tcMar>
            <w:vAlign w:val="center"/>
          </w:tcPr>
          <w:p w:rsidR="00DC6E5A" w:rsidRPr="0099428A" w:rsidRDefault="00DC6E5A" w:rsidP="000336A9">
            <w:pPr>
              <w:suppressAutoHyphens/>
              <w:autoSpaceDE w:val="0"/>
              <w:autoSpaceDN w:val="0"/>
              <w:adjustRightInd w:val="0"/>
              <w:jc w:val="center"/>
              <w:textAlignment w:val="center"/>
              <w:rPr>
                <w:b/>
                <w:bCs/>
                <w:color w:val="000000"/>
                <w:sz w:val="20"/>
                <w:szCs w:val="20"/>
                <w:u w:color="000000"/>
              </w:rPr>
            </w:pPr>
            <w:r w:rsidRPr="0099428A">
              <w:rPr>
                <w:b/>
                <w:bCs/>
                <w:color w:val="000000"/>
                <w:sz w:val="20"/>
                <w:szCs w:val="20"/>
                <w:u w:color="000000"/>
              </w:rPr>
              <w:t>Target Completion Date(s)</w:t>
            </w:r>
          </w:p>
        </w:tc>
      </w:tr>
      <w:tr w:rsidR="00DC6E5A" w:rsidRPr="0099428A" w:rsidTr="00DC6E5A">
        <w:trPr>
          <w:trHeight w:val="389"/>
          <w:jc w:val="center"/>
        </w:trPr>
        <w:tc>
          <w:tcPr>
            <w:tcW w:w="3686" w:type="dxa"/>
            <w:vMerge w:val="restart"/>
            <w:tcBorders>
              <w:left w:val="single" w:sz="4" w:space="0" w:color="auto"/>
            </w:tcBorders>
            <w:shd w:val="clear" w:color="auto" w:fill="auto"/>
            <w:tcMar>
              <w:top w:w="90" w:type="dxa"/>
              <w:left w:w="90" w:type="dxa"/>
              <w:bottom w:w="90" w:type="dxa"/>
              <w:right w:w="90" w:type="dxa"/>
            </w:tcMar>
          </w:tcPr>
          <w:p w:rsidR="00DC6E5A" w:rsidRPr="0099428A" w:rsidRDefault="00DC6E5A" w:rsidP="000336A9">
            <w:pPr>
              <w:numPr>
                <w:ilvl w:val="0"/>
                <w:numId w:val="2"/>
              </w:numPr>
              <w:suppressAutoHyphens/>
              <w:autoSpaceDE w:val="0"/>
              <w:autoSpaceDN w:val="0"/>
              <w:adjustRightInd w:val="0"/>
              <w:spacing w:after="200" w:line="276" w:lineRule="auto"/>
              <w:textAlignment w:val="center"/>
              <w:rPr>
                <w:color w:val="000000"/>
                <w:sz w:val="20"/>
                <w:szCs w:val="20"/>
              </w:rPr>
            </w:pPr>
            <w:r w:rsidRPr="0099428A">
              <w:rPr>
                <w:color w:val="000000"/>
                <w:sz w:val="20"/>
                <w:szCs w:val="20"/>
              </w:rPr>
              <w:t>Incorporate a point system into NOFA for sites near transit and employment centers</w:t>
            </w:r>
          </w:p>
        </w:tc>
        <w:tc>
          <w:tcPr>
            <w:tcW w:w="1165" w:type="dxa"/>
            <w:shd w:val="clear" w:color="auto" w:fill="auto"/>
            <w:tcMar>
              <w:top w:w="90" w:type="dxa"/>
              <w:left w:w="90" w:type="dxa"/>
              <w:bottom w:w="90" w:type="dxa"/>
              <w:right w:w="90" w:type="dxa"/>
            </w:tcMar>
            <w:vAlign w:val="center"/>
          </w:tcPr>
          <w:p w:rsidR="00DC6E5A" w:rsidRPr="0099428A" w:rsidRDefault="00DC6E5A" w:rsidP="000336A9">
            <w:pPr>
              <w:suppressAutoHyphens/>
              <w:autoSpaceDE w:val="0"/>
              <w:autoSpaceDN w:val="0"/>
              <w:adjustRightInd w:val="0"/>
              <w:jc w:val="center"/>
              <w:textAlignment w:val="center"/>
              <w:rPr>
                <w:color w:val="000000"/>
                <w:sz w:val="20"/>
                <w:szCs w:val="20"/>
              </w:rPr>
            </w:pPr>
            <w:r w:rsidRPr="0099428A">
              <w:rPr>
                <w:color w:val="000000"/>
                <w:sz w:val="20"/>
                <w:szCs w:val="20"/>
              </w:rPr>
              <w:t>Local</w:t>
            </w:r>
          </w:p>
        </w:tc>
        <w:tc>
          <w:tcPr>
            <w:tcW w:w="1114" w:type="dxa"/>
            <w:shd w:val="clear" w:color="auto" w:fill="auto"/>
            <w:vAlign w:val="center"/>
          </w:tcPr>
          <w:p w:rsidR="00DC6E5A" w:rsidRPr="0099428A" w:rsidRDefault="00DC6E5A" w:rsidP="000336A9">
            <w:pPr>
              <w:suppressAutoHyphens/>
              <w:autoSpaceDE w:val="0"/>
              <w:autoSpaceDN w:val="0"/>
              <w:adjustRightInd w:val="0"/>
              <w:jc w:val="center"/>
              <w:textAlignment w:val="center"/>
              <w:rPr>
                <w:color w:val="000000"/>
                <w:sz w:val="20"/>
                <w:szCs w:val="20"/>
              </w:rPr>
            </w:pPr>
            <w:r w:rsidRPr="0099428A">
              <w:rPr>
                <w:color w:val="000000"/>
                <w:sz w:val="20"/>
                <w:szCs w:val="20"/>
              </w:rPr>
              <w:t>X</w:t>
            </w:r>
          </w:p>
        </w:tc>
        <w:tc>
          <w:tcPr>
            <w:tcW w:w="3040" w:type="dxa"/>
            <w:vMerge w:val="restart"/>
            <w:shd w:val="clear" w:color="auto" w:fill="auto"/>
            <w:tcMar>
              <w:top w:w="90" w:type="dxa"/>
              <w:left w:w="90" w:type="dxa"/>
              <w:bottom w:w="90" w:type="dxa"/>
              <w:right w:w="90" w:type="dxa"/>
            </w:tcMar>
          </w:tcPr>
          <w:p w:rsidR="00DC6E5A" w:rsidRPr="0099428A" w:rsidRDefault="00DC6E5A" w:rsidP="000336A9">
            <w:pPr>
              <w:numPr>
                <w:ilvl w:val="0"/>
                <w:numId w:val="2"/>
              </w:numPr>
              <w:suppressAutoHyphens/>
              <w:autoSpaceDE w:val="0"/>
              <w:autoSpaceDN w:val="0"/>
              <w:adjustRightInd w:val="0"/>
              <w:spacing w:after="200" w:line="276" w:lineRule="auto"/>
              <w:textAlignment w:val="center"/>
              <w:rPr>
                <w:color w:val="000000"/>
                <w:sz w:val="20"/>
                <w:szCs w:val="20"/>
              </w:rPr>
            </w:pPr>
            <w:r w:rsidRPr="0099428A">
              <w:rPr>
                <w:color w:val="000000"/>
                <w:sz w:val="20"/>
                <w:szCs w:val="20"/>
              </w:rPr>
              <w:t>In a competitive funding round, resources will be targeted towards developments that are near transit and employment centers</w:t>
            </w:r>
            <w:r>
              <w:rPr>
                <w:color w:val="000000"/>
                <w:sz w:val="20"/>
                <w:szCs w:val="20"/>
              </w:rPr>
              <w:t>.</w:t>
            </w:r>
          </w:p>
        </w:tc>
        <w:tc>
          <w:tcPr>
            <w:tcW w:w="1547" w:type="dxa"/>
            <w:vMerge w:val="restart"/>
            <w:shd w:val="clear" w:color="auto" w:fill="auto"/>
            <w:tcMar>
              <w:top w:w="90" w:type="dxa"/>
              <w:left w:w="90" w:type="dxa"/>
              <w:bottom w:w="90" w:type="dxa"/>
              <w:right w:w="90" w:type="dxa"/>
            </w:tcMar>
          </w:tcPr>
          <w:p w:rsidR="00DC6E5A" w:rsidRPr="0099428A" w:rsidRDefault="00DC6E5A" w:rsidP="000336A9">
            <w:pPr>
              <w:autoSpaceDE w:val="0"/>
              <w:autoSpaceDN w:val="0"/>
              <w:adjustRightInd w:val="0"/>
              <w:spacing w:line="288" w:lineRule="auto"/>
              <w:textAlignment w:val="center"/>
              <w:rPr>
                <w:color w:val="000000"/>
                <w:sz w:val="20"/>
                <w:szCs w:val="20"/>
              </w:rPr>
            </w:pPr>
          </w:p>
        </w:tc>
      </w:tr>
      <w:tr w:rsidR="00DC6E5A" w:rsidRPr="0099428A" w:rsidTr="00DC6E5A">
        <w:trPr>
          <w:trHeight w:val="475"/>
          <w:jc w:val="center"/>
        </w:trPr>
        <w:tc>
          <w:tcPr>
            <w:tcW w:w="3686" w:type="dxa"/>
            <w:vMerge/>
            <w:tcBorders>
              <w:left w:val="single" w:sz="4" w:space="0" w:color="auto"/>
            </w:tcBorders>
            <w:shd w:val="clear" w:color="auto" w:fill="auto"/>
            <w:tcMar>
              <w:top w:w="90" w:type="dxa"/>
              <w:left w:w="90" w:type="dxa"/>
              <w:bottom w:w="90" w:type="dxa"/>
              <w:right w:w="90" w:type="dxa"/>
            </w:tcMar>
          </w:tcPr>
          <w:p w:rsidR="00DC6E5A" w:rsidRPr="0099428A" w:rsidRDefault="00DC6E5A" w:rsidP="000336A9">
            <w:pPr>
              <w:numPr>
                <w:ilvl w:val="0"/>
                <w:numId w:val="2"/>
              </w:numPr>
              <w:suppressAutoHyphens/>
              <w:autoSpaceDE w:val="0"/>
              <w:autoSpaceDN w:val="0"/>
              <w:adjustRightInd w:val="0"/>
              <w:spacing w:after="200" w:line="276" w:lineRule="auto"/>
              <w:textAlignment w:val="center"/>
              <w:rPr>
                <w:color w:val="000000"/>
                <w:sz w:val="20"/>
                <w:szCs w:val="20"/>
              </w:rPr>
            </w:pPr>
          </w:p>
        </w:tc>
        <w:tc>
          <w:tcPr>
            <w:tcW w:w="1165" w:type="dxa"/>
            <w:shd w:val="clear" w:color="auto" w:fill="auto"/>
            <w:tcMar>
              <w:top w:w="90" w:type="dxa"/>
              <w:left w:w="90" w:type="dxa"/>
              <w:bottom w:w="90" w:type="dxa"/>
              <w:right w:w="90" w:type="dxa"/>
            </w:tcMar>
            <w:vAlign w:val="center"/>
          </w:tcPr>
          <w:p w:rsidR="00DC6E5A" w:rsidRPr="0099428A" w:rsidRDefault="00DC6E5A" w:rsidP="000336A9">
            <w:pPr>
              <w:suppressAutoHyphens/>
              <w:autoSpaceDE w:val="0"/>
              <w:autoSpaceDN w:val="0"/>
              <w:adjustRightInd w:val="0"/>
              <w:jc w:val="center"/>
              <w:textAlignment w:val="center"/>
              <w:rPr>
                <w:color w:val="000000"/>
                <w:sz w:val="20"/>
                <w:szCs w:val="20"/>
              </w:rPr>
            </w:pPr>
            <w:r w:rsidRPr="0099428A">
              <w:rPr>
                <w:color w:val="000000"/>
                <w:sz w:val="20"/>
                <w:szCs w:val="20"/>
              </w:rPr>
              <w:t>State</w:t>
            </w:r>
          </w:p>
        </w:tc>
        <w:tc>
          <w:tcPr>
            <w:tcW w:w="1114" w:type="dxa"/>
            <w:shd w:val="clear" w:color="auto" w:fill="auto"/>
            <w:vAlign w:val="center"/>
          </w:tcPr>
          <w:p w:rsidR="00DC6E5A" w:rsidRPr="0099428A" w:rsidRDefault="00DC6E5A" w:rsidP="000336A9">
            <w:pPr>
              <w:suppressAutoHyphens/>
              <w:autoSpaceDE w:val="0"/>
              <w:autoSpaceDN w:val="0"/>
              <w:adjustRightInd w:val="0"/>
              <w:jc w:val="center"/>
              <w:textAlignment w:val="center"/>
              <w:rPr>
                <w:color w:val="000000"/>
                <w:sz w:val="20"/>
                <w:szCs w:val="20"/>
              </w:rPr>
            </w:pPr>
          </w:p>
        </w:tc>
        <w:tc>
          <w:tcPr>
            <w:tcW w:w="3040" w:type="dxa"/>
            <w:vMerge/>
            <w:shd w:val="clear" w:color="auto" w:fill="auto"/>
            <w:tcMar>
              <w:top w:w="90" w:type="dxa"/>
              <w:left w:w="90" w:type="dxa"/>
              <w:bottom w:w="90" w:type="dxa"/>
              <w:right w:w="90" w:type="dxa"/>
            </w:tcMar>
          </w:tcPr>
          <w:p w:rsidR="00DC6E5A" w:rsidRPr="0099428A" w:rsidRDefault="00DC6E5A" w:rsidP="000336A9">
            <w:pPr>
              <w:numPr>
                <w:ilvl w:val="0"/>
                <w:numId w:val="2"/>
              </w:numPr>
              <w:suppressAutoHyphens/>
              <w:autoSpaceDE w:val="0"/>
              <w:autoSpaceDN w:val="0"/>
              <w:adjustRightInd w:val="0"/>
              <w:spacing w:after="200" w:line="276" w:lineRule="auto"/>
              <w:textAlignment w:val="center"/>
              <w:rPr>
                <w:color w:val="000000"/>
                <w:sz w:val="20"/>
                <w:szCs w:val="20"/>
              </w:rPr>
            </w:pPr>
          </w:p>
        </w:tc>
        <w:tc>
          <w:tcPr>
            <w:tcW w:w="1547" w:type="dxa"/>
            <w:vMerge/>
            <w:shd w:val="clear" w:color="auto" w:fill="auto"/>
            <w:tcMar>
              <w:top w:w="90" w:type="dxa"/>
              <w:left w:w="90" w:type="dxa"/>
              <w:bottom w:w="90" w:type="dxa"/>
              <w:right w:w="90" w:type="dxa"/>
            </w:tcMar>
          </w:tcPr>
          <w:p w:rsidR="00DC6E5A" w:rsidRPr="0099428A" w:rsidRDefault="00DC6E5A" w:rsidP="000336A9">
            <w:pPr>
              <w:autoSpaceDE w:val="0"/>
              <w:autoSpaceDN w:val="0"/>
              <w:adjustRightInd w:val="0"/>
              <w:spacing w:line="288" w:lineRule="auto"/>
              <w:textAlignment w:val="center"/>
              <w:rPr>
                <w:color w:val="000000"/>
                <w:sz w:val="20"/>
                <w:szCs w:val="20"/>
              </w:rPr>
            </w:pPr>
          </w:p>
        </w:tc>
      </w:tr>
      <w:tr w:rsidR="00DC6E5A" w:rsidRPr="0099428A" w:rsidTr="00DC6E5A">
        <w:trPr>
          <w:trHeight w:val="475"/>
          <w:jc w:val="center"/>
        </w:trPr>
        <w:tc>
          <w:tcPr>
            <w:tcW w:w="3686" w:type="dxa"/>
            <w:vMerge/>
            <w:tcBorders>
              <w:left w:val="single" w:sz="4" w:space="0" w:color="auto"/>
            </w:tcBorders>
            <w:shd w:val="clear" w:color="auto" w:fill="auto"/>
            <w:tcMar>
              <w:top w:w="90" w:type="dxa"/>
              <w:left w:w="90" w:type="dxa"/>
              <w:bottom w:w="90" w:type="dxa"/>
              <w:right w:w="90" w:type="dxa"/>
            </w:tcMar>
          </w:tcPr>
          <w:p w:rsidR="00DC6E5A" w:rsidRPr="0099428A" w:rsidRDefault="00DC6E5A" w:rsidP="000336A9">
            <w:pPr>
              <w:numPr>
                <w:ilvl w:val="0"/>
                <w:numId w:val="2"/>
              </w:numPr>
              <w:suppressAutoHyphens/>
              <w:autoSpaceDE w:val="0"/>
              <w:autoSpaceDN w:val="0"/>
              <w:adjustRightInd w:val="0"/>
              <w:spacing w:after="200" w:line="276" w:lineRule="auto"/>
              <w:textAlignment w:val="center"/>
              <w:rPr>
                <w:color w:val="000000"/>
                <w:sz w:val="20"/>
                <w:szCs w:val="20"/>
              </w:rPr>
            </w:pPr>
          </w:p>
        </w:tc>
        <w:tc>
          <w:tcPr>
            <w:tcW w:w="1165" w:type="dxa"/>
            <w:shd w:val="clear" w:color="auto" w:fill="auto"/>
            <w:tcMar>
              <w:top w:w="90" w:type="dxa"/>
              <w:left w:w="90" w:type="dxa"/>
              <w:bottom w:w="90" w:type="dxa"/>
              <w:right w:w="90" w:type="dxa"/>
            </w:tcMar>
            <w:vAlign w:val="center"/>
          </w:tcPr>
          <w:p w:rsidR="00DC6E5A" w:rsidRPr="0099428A" w:rsidRDefault="00DC6E5A" w:rsidP="000336A9">
            <w:pPr>
              <w:suppressAutoHyphens/>
              <w:autoSpaceDE w:val="0"/>
              <w:autoSpaceDN w:val="0"/>
              <w:adjustRightInd w:val="0"/>
              <w:jc w:val="center"/>
              <w:textAlignment w:val="center"/>
              <w:rPr>
                <w:color w:val="000000"/>
                <w:sz w:val="20"/>
                <w:szCs w:val="20"/>
              </w:rPr>
            </w:pPr>
            <w:r w:rsidRPr="0099428A">
              <w:rPr>
                <w:color w:val="000000"/>
                <w:sz w:val="20"/>
                <w:szCs w:val="20"/>
              </w:rPr>
              <w:t>Voter</w:t>
            </w:r>
          </w:p>
        </w:tc>
        <w:tc>
          <w:tcPr>
            <w:tcW w:w="1114" w:type="dxa"/>
            <w:shd w:val="clear" w:color="auto" w:fill="auto"/>
            <w:vAlign w:val="center"/>
          </w:tcPr>
          <w:p w:rsidR="00DC6E5A" w:rsidRPr="0099428A" w:rsidRDefault="00DC6E5A" w:rsidP="000336A9">
            <w:pPr>
              <w:suppressAutoHyphens/>
              <w:autoSpaceDE w:val="0"/>
              <w:autoSpaceDN w:val="0"/>
              <w:adjustRightInd w:val="0"/>
              <w:jc w:val="center"/>
              <w:textAlignment w:val="center"/>
              <w:rPr>
                <w:color w:val="000000"/>
                <w:sz w:val="20"/>
                <w:szCs w:val="20"/>
              </w:rPr>
            </w:pPr>
          </w:p>
        </w:tc>
        <w:tc>
          <w:tcPr>
            <w:tcW w:w="3040" w:type="dxa"/>
            <w:vMerge/>
            <w:shd w:val="clear" w:color="auto" w:fill="auto"/>
            <w:tcMar>
              <w:top w:w="90" w:type="dxa"/>
              <w:left w:w="90" w:type="dxa"/>
              <w:bottom w:w="90" w:type="dxa"/>
              <w:right w:w="90" w:type="dxa"/>
            </w:tcMar>
          </w:tcPr>
          <w:p w:rsidR="00DC6E5A" w:rsidRPr="0099428A" w:rsidRDefault="00DC6E5A" w:rsidP="000336A9">
            <w:pPr>
              <w:numPr>
                <w:ilvl w:val="0"/>
                <w:numId w:val="2"/>
              </w:numPr>
              <w:suppressAutoHyphens/>
              <w:autoSpaceDE w:val="0"/>
              <w:autoSpaceDN w:val="0"/>
              <w:adjustRightInd w:val="0"/>
              <w:spacing w:after="200" w:line="276" w:lineRule="auto"/>
              <w:textAlignment w:val="center"/>
              <w:rPr>
                <w:color w:val="000000"/>
                <w:sz w:val="20"/>
                <w:szCs w:val="20"/>
              </w:rPr>
            </w:pPr>
          </w:p>
        </w:tc>
        <w:tc>
          <w:tcPr>
            <w:tcW w:w="1547" w:type="dxa"/>
            <w:vMerge/>
            <w:shd w:val="clear" w:color="auto" w:fill="auto"/>
            <w:tcMar>
              <w:top w:w="90" w:type="dxa"/>
              <w:left w:w="90" w:type="dxa"/>
              <w:bottom w:w="90" w:type="dxa"/>
              <w:right w:w="90" w:type="dxa"/>
            </w:tcMar>
          </w:tcPr>
          <w:p w:rsidR="00DC6E5A" w:rsidRPr="0099428A" w:rsidRDefault="00DC6E5A" w:rsidP="000336A9">
            <w:pPr>
              <w:autoSpaceDE w:val="0"/>
              <w:autoSpaceDN w:val="0"/>
              <w:adjustRightInd w:val="0"/>
              <w:spacing w:line="288" w:lineRule="auto"/>
              <w:textAlignment w:val="center"/>
              <w:rPr>
                <w:color w:val="000000"/>
                <w:sz w:val="20"/>
                <w:szCs w:val="20"/>
              </w:rPr>
            </w:pPr>
          </w:p>
        </w:tc>
      </w:tr>
      <w:tr w:rsidR="00DC6E5A" w:rsidRPr="0099428A" w:rsidTr="00DC6E5A">
        <w:trPr>
          <w:trHeight w:val="602"/>
          <w:jc w:val="center"/>
        </w:trPr>
        <w:tc>
          <w:tcPr>
            <w:tcW w:w="3686" w:type="dxa"/>
            <w:vMerge w:val="restart"/>
            <w:tcBorders>
              <w:left w:val="single" w:sz="4" w:space="0" w:color="auto"/>
            </w:tcBorders>
            <w:shd w:val="clear" w:color="auto" w:fill="auto"/>
            <w:tcMar>
              <w:top w:w="90" w:type="dxa"/>
              <w:left w:w="90" w:type="dxa"/>
              <w:bottom w:w="90" w:type="dxa"/>
              <w:right w:w="90" w:type="dxa"/>
            </w:tcMar>
          </w:tcPr>
          <w:p w:rsidR="00DC6E5A" w:rsidRPr="0099428A" w:rsidRDefault="00DC6E5A" w:rsidP="000336A9">
            <w:pPr>
              <w:numPr>
                <w:ilvl w:val="0"/>
                <w:numId w:val="2"/>
              </w:numPr>
              <w:suppressAutoHyphens/>
              <w:autoSpaceDE w:val="0"/>
              <w:autoSpaceDN w:val="0"/>
              <w:adjustRightInd w:val="0"/>
              <w:spacing w:after="200" w:line="276" w:lineRule="auto"/>
              <w:textAlignment w:val="center"/>
              <w:rPr>
                <w:color w:val="000000"/>
                <w:sz w:val="20"/>
                <w:szCs w:val="20"/>
              </w:rPr>
            </w:pPr>
            <w:r w:rsidRPr="0099428A">
              <w:rPr>
                <w:color w:val="000000"/>
                <w:sz w:val="20"/>
                <w:szCs w:val="20"/>
              </w:rPr>
              <w:t>Identify sites and designate areas that meet this objective</w:t>
            </w:r>
          </w:p>
        </w:tc>
        <w:tc>
          <w:tcPr>
            <w:tcW w:w="1165" w:type="dxa"/>
            <w:shd w:val="clear" w:color="auto" w:fill="auto"/>
            <w:tcMar>
              <w:top w:w="90" w:type="dxa"/>
              <w:left w:w="90" w:type="dxa"/>
              <w:bottom w:w="90" w:type="dxa"/>
              <w:right w:w="90" w:type="dxa"/>
            </w:tcMar>
            <w:vAlign w:val="center"/>
          </w:tcPr>
          <w:p w:rsidR="00DC6E5A" w:rsidRPr="0099428A" w:rsidRDefault="00DC6E5A" w:rsidP="000336A9">
            <w:pPr>
              <w:suppressAutoHyphens/>
              <w:autoSpaceDE w:val="0"/>
              <w:autoSpaceDN w:val="0"/>
              <w:adjustRightInd w:val="0"/>
              <w:jc w:val="center"/>
              <w:textAlignment w:val="center"/>
              <w:rPr>
                <w:color w:val="000000"/>
                <w:sz w:val="20"/>
                <w:szCs w:val="20"/>
              </w:rPr>
            </w:pPr>
            <w:r w:rsidRPr="0099428A">
              <w:rPr>
                <w:color w:val="000000"/>
                <w:sz w:val="20"/>
                <w:szCs w:val="20"/>
              </w:rPr>
              <w:t>Local</w:t>
            </w:r>
          </w:p>
        </w:tc>
        <w:tc>
          <w:tcPr>
            <w:tcW w:w="1114" w:type="dxa"/>
            <w:shd w:val="clear" w:color="auto" w:fill="auto"/>
            <w:vAlign w:val="center"/>
          </w:tcPr>
          <w:p w:rsidR="00DC6E5A" w:rsidRPr="0099428A" w:rsidRDefault="00DC6E5A" w:rsidP="000336A9">
            <w:pPr>
              <w:suppressAutoHyphens/>
              <w:autoSpaceDE w:val="0"/>
              <w:autoSpaceDN w:val="0"/>
              <w:adjustRightInd w:val="0"/>
              <w:jc w:val="center"/>
              <w:textAlignment w:val="center"/>
              <w:rPr>
                <w:color w:val="000000"/>
                <w:sz w:val="20"/>
                <w:szCs w:val="20"/>
              </w:rPr>
            </w:pPr>
            <w:r w:rsidRPr="0099428A">
              <w:rPr>
                <w:color w:val="000000"/>
                <w:sz w:val="20"/>
                <w:szCs w:val="20"/>
              </w:rPr>
              <w:t>X</w:t>
            </w:r>
          </w:p>
        </w:tc>
        <w:tc>
          <w:tcPr>
            <w:tcW w:w="3040" w:type="dxa"/>
            <w:vMerge w:val="restart"/>
            <w:shd w:val="clear" w:color="auto" w:fill="auto"/>
            <w:tcMar>
              <w:top w:w="90" w:type="dxa"/>
              <w:left w:w="90" w:type="dxa"/>
              <w:bottom w:w="90" w:type="dxa"/>
              <w:right w:w="90" w:type="dxa"/>
            </w:tcMar>
          </w:tcPr>
          <w:p w:rsidR="00DC6E5A" w:rsidRPr="0099428A" w:rsidRDefault="00DC6E5A" w:rsidP="000336A9">
            <w:pPr>
              <w:numPr>
                <w:ilvl w:val="0"/>
                <w:numId w:val="2"/>
              </w:numPr>
              <w:suppressAutoHyphens/>
              <w:autoSpaceDE w:val="0"/>
              <w:autoSpaceDN w:val="0"/>
              <w:adjustRightInd w:val="0"/>
              <w:spacing w:after="200" w:line="276" w:lineRule="auto"/>
              <w:textAlignment w:val="center"/>
              <w:rPr>
                <w:color w:val="000000"/>
                <w:sz w:val="20"/>
                <w:szCs w:val="20"/>
              </w:rPr>
            </w:pPr>
            <w:r w:rsidRPr="0099428A">
              <w:rPr>
                <w:color w:val="000000"/>
                <w:sz w:val="20"/>
                <w:szCs w:val="20"/>
              </w:rPr>
              <w:t>Affordable housing zones will direct resources towards preferred areas that meet several public policy objectives, including proximity to employment and transit</w:t>
            </w:r>
            <w:r>
              <w:rPr>
                <w:color w:val="000000"/>
                <w:sz w:val="20"/>
                <w:szCs w:val="20"/>
              </w:rPr>
              <w:t>.</w:t>
            </w:r>
          </w:p>
        </w:tc>
        <w:tc>
          <w:tcPr>
            <w:tcW w:w="1547" w:type="dxa"/>
            <w:vMerge w:val="restart"/>
            <w:shd w:val="clear" w:color="auto" w:fill="auto"/>
            <w:tcMar>
              <w:top w:w="90" w:type="dxa"/>
              <w:left w:w="90" w:type="dxa"/>
              <w:bottom w:w="90" w:type="dxa"/>
              <w:right w:w="90" w:type="dxa"/>
            </w:tcMar>
          </w:tcPr>
          <w:p w:rsidR="00DC6E5A" w:rsidRPr="0099428A" w:rsidRDefault="00DC6E5A" w:rsidP="000336A9">
            <w:pPr>
              <w:autoSpaceDE w:val="0"/>
              <w:autoSpaceDN w:val="0"/>
              <w:adjustRightInd w:val="0"/>
              <w:spacing w:line="288" w:lineRule="auto"/>
              <w:textAlignment w:val="center"/>
              <w:rPr>
                <w:color w:val="000000"/>
                <w:sz w:val="20"/>
                <w:szCs w:val="20"/>
              </w:rPr>
            </w:pPr>
          </w:p>
        </w:tc>
      </w:tr>
      <w:tr w:rsidR="00DC6E5A" w:rsidRPr="0099428A" w:rsidTr="00DC6E5A">
        <w:trPr>
          <w:trHeight w:val="620"/>
          <w:jc w:val="center"/>
        </w:trPr>
        <w:tc>
          <w:tcPr>
            <w:tcW w:w="3686" w:type="dxa"/>
            <w:vMerge/>
            <w:tcBorders>
              <w:left w:val="single" w:sz="4" w:space="0" w:color="auto"/>
            </w:tcBorders>
            <w:shd w:val="clear" w:color="auto" w:fill="auto"/>
            <w:tcMar>
              <w:top w:w="90" w:type="dxa"/>
              <w:left w:w="90" w:type="dxa"/>
              <w:bottom w:w="90" w:type="dxa"/>
              <w:right w:w="90" w:type="dxa"/>
            </w:tcMar>
          </w:tcPr>
          <w:p w:rsidR="00DC6E5A" w:rsidRPr="0099428A" w:rsidRDefault="00DC6E5A" w:rsidP="000336A9">
            <w:pPr>
              <w:numPr>
                <w:ilvl w:val="0"/>
                <w:numId w:val="2"/>
              </w:numPr>
              <w:suppressAutoHyphens/>
              <w:autoSpaceDE w:val="0"/>
              <w:autoSpaceDN w:val="0"/>
              <w:adjustRightInd w:val="0"/>
              <w:spacing w:after="200" w:line="276" w:lineRule="auto"/>
              <w:textAlignment w:val="center"/>
              <w:rPr>
                <w:color w:val="000000"/>
                <w:sz w:val="20"/>
                <w:szCs w:val="20"/>
              </w:rPr>
            </w:pPr>
          </w:p>
        </w:tc>
        <w:tc>
          <w:tcPr>
            <w:tcW w:w="1165" w:type="dxa"/>
            <w:shd w:val="clear" w:color="auto" w:fill="auto"/>
            <w:tcMar>
              <w:top w:w="90" w:type="dxa"/>
              <w:left w:w="90" w:type="dxa"/>
              <w:bottom w:w="90" w:type="dxa"/>
              <w:right w:w="90" w:type="dxa"/>
            </w:tcMar>
            <w:vAlign w:val="center"/>
          </w:tcPr>
          <w:p w:rsidR="00DC6E5A" w:rsidRPr="0099428A" w:rsidRDefault="00DC6E5A" w:rsidP="000336A9">
            <w:pPr>
              <w:suppressAutoHyphens/>
              <w:autoSpaceDE w:val="0"/>
              <w:autoSpaceDN w:val="0"/>
              <w:adjustRightInd w:val="0"/>
              <w:jc w:val="center"/>
              <w:textAlignment w:val="center"/>
              <w:rPr>
                <w:color w:val="000000"/>
                <w:sz w:val="20"/>
                <w:szCs w:val="20"/>
              </w:rPr>
            </w:pPr>
            <w:r w:rsidRPr="0099428A">
              <w:rPr>
                <w:color w:val="000000"/>
                <w:sz w:val="20"/>
                <w:szCs w:val="20"/>
              </w:rPr>
              <w:t>State</w:t>
            </w:r>
          </w:p>
        </w:tc>
        <w:tc>
          <w:tcPr>
            <w:tcW w:w="1114" w:type="dxa"/>
            <w:shd w:val="clear" w:color="auto" w:fill="auto"/>
            <w:vAlign w:val="center"/>
          </w:tcPr>
          <w:p w:rsidR="00DC6E5A" w:rsidRPr="0099428A" w:rsidRDefault="00DC6E5A" w:rsidP="000336A9">
            <w:pPr>
              <w:suppressAutoHyphens/>
              <w:autoSpaceDE w:val="0"/>
              <w:autoSpaceDN w:val="0"/>
              <w:adjustRightInd w:val="0"/>
              <w:jc w:val="center"/>
              <w:textAlignment w:val="center"/>
              <w:rPr>
                <w:color w:val="000000"/>
                <w:sz w:val="20"/>
                <w:szCs w:val="20"/>
              </w:rPr>
            </w:pPr>
          </w:p>
        </w:tc>
        <w:tc>
          <w:tcPr>
            <w:tcW w:w="3040" w:type="dxa"/>
            <w:vMerge/>
            <w:shd w:val="clear" w:color="auto" w:fill="auto"/>
            <w:tcMar>
              <w:top w:w="90" w:type="dxa"/>
              <w:left w:w="90" w:type="dxa"/>
              <w:bottom w:w="90" w:type="dxa"/>
              <w:right w:w="90" w:type="dxa"/>
            </w:tcMar>
          </w:tcPr>
          <w:p w:rsidR="00DC6E5A" w:rsidRPr="0099428A" w:rsidRDefault="00DC6E5A" w:rsidP="000336A9">
            <w:pPr>
              <w:numPr>
                <w:ilvl w:val="0"/>
                <w:numId w:val="2"/>
              </w:numPr>
              <w:suppressAutoHyphens/>
              <w:autoSpaceDE w:val="0"/>
              <w:autoSpaceDN w:val="0"/>
              <w:adjustRightInd w:val="0"/>
              <w:spacing w:after="200" w:line="276" w:lineRule="auto"/>
              <w:textAlignment w:val="center"/>
              <w:rPr>
                <w:color w:val="000000"/>
                <w:sz w:val="20"/>
                <w:szCs w:val="20"/>
              </w:rPr>
            </w:pPr>
          </w:p>
        </w:tc>
        <w:tc>
          <w:tcPr>
            <w:tcW w:w="1547" w:type="dxa"/>
            <w:vMerge/>
            <w:shd w:val="clear" w:color="auto" w:fill="auto"/>
            <w:tcMar>
              <w:top w:w="90" w:type="dxa"/>
              <w:left w:w="90" w:type="dxa"/>
              <w:bottom w:w="90" w:type="dxa"/>
              <w:right w:w="90" w:type="dxa"/>
            </w:tcMar>
          </w:tcPr>
          <w:p w:rsidR="00DC6E5A" w:rsidRPr="0099428A" w:rsidRDefault="00DC6E5A" w:rsidP="000336A9">
            <w:pPr>
              <w:autoSpaceDE w:val="0"/>
              <w:autoSpaceDN w:val="0"/>
              <w:adjustRightInd w:val="0"/>
              <w:spacing w:line="288" w:lineRule="auto"/>
              <w:textAlignment w:val="center"/>
              <w:rPr>
                <w:color w:val="000000"/>
                <w:sz w:val="20"/>
                <w:szCs w:val="20"/>
              </w:rPr>
            </w:pPr>
          </w:p>
        </w:tc>
      </w:tr>
      <w:tr w:rsidR="00DC6E5A" w:rsidRPr="0099428A" w:rsidTr="00DC6E5A">
        <w:trPr>
          <w:trHeight w:val="383"/>
          <w:jc w:val="center"/>
        </w:trPr>
        <w:tc>
          <w:tcPr>
            <w:tcW w:w="3686" w:type="dxa"/>
            <w:vMerge/>
            <w:tcBorders>
              <w:left w:val="single" w:sz="4" w:space="0" w:color="auto"/>
            </w:tcBorders>
            <w:shd w:val="clear" w:color="auto" w:fill="auto"/>
            <w:tcMar>
              <w:top w:w="90" w:type="dxa"/>
              <w:left w:w="90" w:type="dxa"/>
              <w:bottom w:w="90" w:type="dxa"/>
              <w:right w:w="90" w:type="dxa"/>
            </w:tcMar>
          </w:tcPr>
          <w:p w:rsidR="00DC6E5A" w:rsidRPr="0099428A" w:rsidRDefault="00DC6E5A" w:rsidP="000336A9">
            <w:pPr>
              <w:numPr>
                <w:ilvl w:val="0"/>
                <w:numId w:val="2"/>
              </w:numPr>
              <w:suppressAutoHyphens/>
              <w:autoSpaceDE w:val="0"/>
              <w:autoSpaceDN w:val="0"/>
              <w:adjustRightInd w:val="0"/>
              <w:spacing w:after="200" w:line="276" w:lineRule="auto"/>
              <w:textAlignment w:val="center"/>
              <w:rPr>
                <w:color w:val="000000"/>
                <w:sz w:val="20"/>
                <w:szCs w:val="20"/>
              </w:rPr>
            </w:pPr>
          </w:p>
        </w:tc>
        <w:tc>
          <w:tcPr>
            <w:tcW w:w="1165" w:type="dxa"/>
            <w:shd w:val="clear" w:color="auto" w:fill="auto"/>
            <w:tcMar>
              <w:top w:w="90" w:type="dxa"/>
              <w:left w:w="90" w:type="dxa"/>
              <w:bottom w:w="90" w:type="dxa"/>
              <w:right w:w="90" w:type="dxa"/>
            </w:tcMar>
            <w:vAlign w:val="center"/>
          </w:tcPr>
          <w:p w:rsidR="00DC6E5A" w:rsidRPr="0099428A" w:rsidRDefault="00DC6E5A" w:rsidP="000336A9">
            <w:pPr>
              <w:suppressAutoHyphens/>
              <w:autoSpaceDE w:val="0"/>
              <w:autoSpaceDN w:val="0"/>
              <w:adjustRightInd w:val="0"/>
              <w:jc w:val="center"/>
              <w:textAlignment w:val="center"/>
              <w:rPr>
                <w:color w:val="000000"/>
                <w:sz w:val="20"/>
                <w:szCs w:val="20"/>
              </w:rPr>
            </w:pPr>
            <w:r w:rsidRPr="0099428A">
              <w:rPr>
                <w:color w:val="000000"/>
                <w:sz w:val="20"/>
                <w:szCs w:val="20"/>
              </w:rPr>
              <w:t>Voter</w:t>
            </w:r>
          </w:p>
        </w:tc>
        <w:tc>
          <w:tcPr>
            <w:tcW w:w="1114" w:type="dxa"/>
            <w:shd w:val="clear" w:color="auto" w:fill="auto"/>
            <w:vAlign w:val="center"/>
          </w:tcPr>
          <w:p w:rsidR="00DC6E5A" w:rsidRPr="0099428A" w:rsidRDefault="00DC6E5A" w:rsidP="000336A9">
            <w:pPr>
              <w:suppressAutoHyphens/>
              <w:autoSpaceDE w:val="0"/>
              <w:autoSpaceDN w:val="0"/>
              <w:adjustRightInd w:val="0"/>
              <w:jc w:val="center"/>
              <w:textAlignment w:val="center"/>
              <w:rPr>
                <w:color w:val="000000"/>
                <w:sz w:val="20"/>
                <w:szCs w:val="20"/>
              </w:rPr>
            </w:pPr>
          </w:p>
        </w:tc>
        <w:tc>
          <w:tcPr>
            <w:tcW w:w="3040" w:type="dxa"/>
            <w:vMerge/>
            <w:shd w:val="clear" w:color="auto" w:fill="auto"/>
            <w:tcMar>
              <w:top w:w="90" w:type="dxa"/>
              <w:left w:w="90" w:type="dxa"/>
              <w:bottom w:w="90" w:type="dxa"/>
              <w:right w:w="90" w:type="dxa"/>
            </w:tcMar>
          </w:tcPr>
          <w:p w:rsidR="00DC6E5A" w:rsidRPr="0099428A" w:rsidRDefault="00DC6E5A" w:rsidP="000336A9">
            <w:pPr>
              <w:numPr>
                <w:ilvl w:val="0"/>
                <w:numId w:val="2"/>
              </w:numPr>
              <w:suppressAutoHyphens/>
              <w:autoSpaceDE w:val="0"/>
              <w:autoSpaceDN w:val="0"/>
              <w:adjustRightInd w:val="0"/>
              <w:spacing w:after="200" w:line="276" w:lineRule="auto"/>
              <w:textAlignment w:val="center"/>
              <w:rPr>
                <w:color w:val="000000"/>
                <w:sz w:val="20"/>
                <w:szCs w:val="20"/>
              </w:rPr>
            </w:pPr>
          </w:p>
        </w:tc>
        <w:tc>
          <w:tcPr>
            <w:tcW w:w="1547" w:type="dxa"/>
            <w:vMerge/>
            <w:shd w:val="clear" w:color="auto" w:fill="auto"/>
            <w:tcMar>
              <w:top w:w="90" w:type="dxa"/>
              <w:left w:w="90" w:type="dxa"/>
              <w:bottom w:w="90" w:type="dxa"/>
              <w:right w:w="90" w:type="dxa"/>
            </w:tcMar>
          </w:tcPr>
          <w:p w:rsidR="00DC6E5A" w:rsidRPr="0099428A" w:rsidRDefault="00DC6E5A" w:rsidP="000336A9">
            <w:pPr>
              <w:autoSpaceDE w:val="0"/>
              <w:autoSpaceDN w:val="0"/>
              <w:adjustRightInd w:val="0"/>
              <w:spacing w:line="288" w:lineRule="auto"/>
              <w:textAlignment w:val="center"/>
              <w:rPr>
                <w:color w:val="000000"/>
                <w:sz w:val="20"/>
                <w:szCs w:val="20"/>
              </w:rPr>
            </w:pPr>
          </w:p>
        </w:tc>
      </w:tr>
      <w:tr w:rsidR="00DC6E5A" w:rsidRPr="0099428A" w:rsidTr="00DC6E5A">
        <w:trPr>
          <w:trHeight w:val="476"/>
          <w:jc w:val="center"/>
        </w:trPr>
        <w:tc>
          <w:tcPr>
            <w:tcW w:w="10552" w:type="dxa"/>
            <w:gridSpan w:val="5"/>
            <w:shd w:val="clear" w:color="F37174" w:fill="8DB3E2" w:themeFill="text2" w:themeFillTint="66"/>
            <w:tcMar>
              <w:top w:w="0" w:type="dxa"/>
              <w:left w:w="0" w:type="dxa"/>
              <w:bottom w:w="0" w:type="dxa"/>
              <w:right w:w="0" w:type="dxa"/>
            </w:tcMar>
            <w:vAlign w:val="center"/>
          </w:tcPr>
          <w:p w:rsidR="00DC6E5A" w:rsidRPr="0099428A" w:rsidRDefault="00DC6E5A" w:rsidP="00720FB4">
            <w:pPr>
              <w:suppressAutoHyphens/>
              <w:autoSpaceDE w:val="0"/>
              <w:autoSpaceDN w:val="0"/>
              <w:adjustRightInd w:val="0"/>
              <w:textAlignment w:val="center"/>
              <w:rPr>
                <w:b/>
                <w:bCs/>
                <w:color w:val="000000"/>
                <w:sz w:val="20"/>
                <w:szCs w:val="20"/>
              </w:rPr>
            </w:pPr>
            <w:r w:rsidRPr="0099428A">
              <w:rPr>
                <w:b/>
                <w:bCs/>
                <w:color w:val="000000"/>
                <w:sz w:val="20"/>
                <w:szCs w:val="20"/>
              </w:rPr>
              <w:t xml:space="preserve"> Action Step #2:  Direct Resources so that </w:t>
            </w:r>
            <w:r>
              <w:rPr>
                <w:b/>
                <w:bCs/>
                <w:color w:val="000000"/>
                <w:sz w:val="20"/>
                <w:szCs w:val="20"/>
              </w:rPr>
              <w:t xml:space="preserve">the predominate type </w:t>
            </w:r>
            <w:r w:rsidRPr="0099428A">
              <w:rPr>
                <w:b/>
                <w:bCs/>
                <w:color w:val="000000"/>
                <w:sz w:val="20"/>
                <w:szCs w:val="20"/>
              </w:rPr>
              <w:t xml:space="preserve">of Assisted Units </w:t>
            </w:r>
            <w:r w:rsidR="00720FB4">
              <w:rPr>
                <w:b/>
                <w:bCs/>
                <w:color w:val="000000"/>
                <w:sz w:val="20"/>
                <w:szCs w:val="20"/>
              </w:rPr>
              <w:t>is</w:t>
            </w:r>
            <w:r w:rsidRPr="0099428A">
              <w:rPr>
                <w:b/>
                <w:bCs/>
                <w:color w:val="000000"/>
                <w:sz w:val="20"/>
                <w:szCs w:val="20"/>
              </w:rPr>
              <w:t xml:space="preserve"> Rental Housing</w:t>
            </w:r>
          </w:p>
        </w:tc>
      </w:tr>
      <w:tr w:rsidR="00DC6E5A" w:rsidRPr="0099428A" w:rsidTr="00DC6E5A">
        <w:trPr>
          <w:trHeight w:val="530"/>
          <w:jc w:val="center"/>
        </w:trPr>
        <w:tc>
          <w:tcPr>
            <w:tcW w:w="3686" w:type="dxa"/>
            <w:shd w:val="clear" w:color="F37174" w:fill="8DB3E2" w:themeFill="text2" w:themeFillTint="66"/>
            <w:tcMar>
              <w:top w:w="0" w:type="dxa"/>
              <w:left w:w="0" w:type="dxa"/>
              <w:bottom w:w="0" w:type="dxa"/>
              <w:right w:w="0" w:type="dxa"/>
            </w:tcMar>
            <w:vAlign w:val="center"/>
          </w:tcPr>
          <w:p w:rsidR="00DC6E5A" w:rsidRPr="0099428A" w:rsidRDefault="00DC6E5A" w:rsidP="000336A9">
            <w:pPr>
              <w:suppressAutoHyphens/>
              <w:autoSpaceDE w:val="0"/>
              <w:autoSpaceDN w:val="0"/>
              <w:adjustRightInd w:val="0"/>
              <w:jc w:val="center"/>
              <w:textAlignment w:val="center"/>
              <w:rPr>
                <w:b/>
                <w:bCs/>
                <w:color w:val="000000"/>
                <w:sz w:val="20"/>
                <w:szCs w:val="20"/>
              </w:rPr>
            </w:pPr>
            <w:r w:rsidRPr="0099428A">
              <w:rPr>
                <w:b/>
                <w:bCs/>
                <w:color w:val="000000"/>
                <w:sz w:val="20"/>
                <w:szCs w:val="20"/>
              </w:rPr>
              <w:t>Tasks</w:t>
            </w:r>
          </w:p>
        </w:tc>
        <w:tc>
          <w:tcPr>
            <w:tcW w:w="2279" w:type="dxa"/>
            <w:gridSpan w:val="2"/>
            <w:shd w:val="clear" w:color="F37174" w:fill="8DB3E2" w:themeFill="text2" w:themeFillTint="66"/>
            <w:tcMar>
              <w:top w:w="0" w:type="dxa"/>
              <w:left w:w="0" w:type="dxa"/>
              <w:bottom w:w="0" w:type="dxa"/>
              <w:right w:w="0" w:type="dxa"/>
            </w:tcMar>
            <w:vAlign w:val="center"/>
          </w:tcPr>
          <w:p w:rsidR="00DC6E5A" w:rsidRPr="0099428A" w:rsidRDefault="00DC6E5A" w:rsidP="000336A9">
            <w:pPr>
              <w:suppressAutoHyphens/>
              <w:autoSpaceDE w:val="0"/>
              <w:autoSpaceDN w:val="0"/>
              <w:adjustRightInd w:val="0"/>
              <w:jc w:val="center"/>
              <w:textAlignment w:val="center"/>
              <w:rPr>
                <w:b/>
                <w:bCs/>
                <w:color w:val="000000"/>
                <w:sz w:val="20"/>
                <w:szCs w:val="20"/>
              </w:rPr>
            </w:pPr>
            <w:r w:rsidRPr="0099428A">
              <w:rPr>
                <w:b/>
                <w:bCs/>
                <w:color w:val="000000"/>
                <w:sz w:val="20"/>
                <w:szCs w:val="20"/>
              </w:rPr>
              <w:t>Required Approvals</w:t>
            </w:r>
          </w:p>
        </w:tc>
        <w:tc>
          <w:tcPr>
            <w:tcW w:w="3040" w:type="dxa"/>
            <w:shd w:val="clear" w:color="F37174" w:fill="8DB3E2" w:themeFill="text2" w:themeFillTint="66"/>
            <w:vAlign w:val="center"/>
          </w:tcPr>
          <w:p w:rsidR="00DC6E5A" w:rsidRPr="0099428A" w:rsidRDefault="00DC6E5A" w:rsidP="000336A9">
            <w:pPr>
              <w:suppressAutoHyphens/>
              <w:autoSpaceDE w:val="0"/>
              <w:autoSpaceDN w:val="0"/>
              <w:adjustRightInd w:val="0"/>
              <w:jc w:val="center"/>
              <w:textAlignment w:val="center"/>
              <w:rPr>
                <w:b/>
                <w:bCs/>
                <w:color w:val="000000"/>
                <w:sz w:val="20"/>
                <w:szCs w:val="20"/>
              </w:rPr>
            </w:pPr>
            <w:r w:rsidRPr="0099428A">
              <w:rPr>
                <w:b/>
                <w:bCs/>
                <w:color w:val="000000"/>
                <w:sz w:val="20"/>
                <w:szCs w:val="20"/>
              </w:rPr>
              <w:t>Measurable Outcome(s)</w:t>
            </w:r>
          </w:p>
        </w:tc>
        <w:tc>
          <w:tcPr>
            <w:tcW w:w="1547" w:type="dxa"/>
            <w:shd w:val="clear" w:color="F37174" w:fill="8DB3E2" w:themeFill="text2" w:themeFillTint="66"/>
            <w:tcMar>
              <w:top w:w="0" w:type="dxa"/>
              <w:left w:w="0" w:type="dxa"/>
              <w:bottom w:w="0" w:type="dxa"/>
              <w:right w:w="0" w:type="dxa"/>
            </w:tcMar>
            <w:vAlign w:val="center"/>
          </w:tcPr>
          <w:p w:rsidR="00DC6E5A" w:rsidRPr="0099428A" w:rsidRDefault="00DC6E5A" w:rsidP="000336A9">
            <w:pPr>
              <w:suppressAutoHyphens/>
              <w:autoSpaceDE w:val="0"/>
              <w:autoSpaceDN w:val="0"/>
              <w:adjustRightInd w:val="0"/>
              <w:jc w:val="center"/>
              <w:textAlignment w:val="center"/>
              <w:rPr>
                <w:b/>
                <w:bCs/>
                <w:color w:val="000000"/>
                <w:sz w:val="20"/>
                <w:szCs w:val="20"/>
                <w:u w:color="000000"/>
              </w:rPr>
            </w:pPr>
            <w:r w:rsidRPr="0099428A">
              <w:rPr>
                <w:b/>
                <w:bCs/>
                <w:color w:val="000000"/>
                <w:sz w:val="20"/>
                <w:szCs w:val="20"/>
                <w:u w:color="000000"/>
              </w:rPr>
              <w:t>Target Completion Date(s)</w:t>
            </w:r>
          </w:p>
        </w:tc>
      </w:tr>
      <w:tr w:rsidR="00DC6E5A" w:rsidRPr="0099428A" w:rsidTr="00DC6E5A">
        <w:trPr>
          <w:trHeight w:val="449"/>
          <w:jc w:val="center"/>
        </w:trPr>
        <w:tc>
          <w:tcPr>
            <w:tcW w:w="3686" w:type="dxa"/>
            <w:vMerge w:val="restart"/>
            <w:shd w:val="clear" w:color="auto" w:fill="auto"/>
            <w:tcMar>
              <w:top w:w="90" w:type="dxa"/>
              <w:left w:w="90" w:type="dxa"/>
              <w:bottom w:w="90" w:type="dxa"/>
              <w:right w:w="90" w:type="dxa"/>
            </w:tcMar>
          </w:tcPr>
          <w:p w:rsidR="00DC6E5A" w:rsidRPr="0099428A" w:rsidRDefault="00DC6E5A" w:rsidP="004C794B">
            <w:pPr>
              <w:numPr>
                <w:ilvl w:val="0"/>
                <w:numId w:val="21"/>
              </w:numPr>
              <w:suppressAutoHyphens/>
              <w:autoSpaceDE w:val="0"/>
              <w:autoSpaceDN w:val="0"/>
              <w:adjustRightInd w:val="0"/>
              <w:spacing w:after="200" w:line="276" w:lineRule="auto"/>
              <w:textAlignment w:val="center"/>
              <w:rPr>
                <w:color w:val="000000"/>
                <w:sz w:val="20"/>
                <w:szCs w:val="20"/>
              </w:rPr>
            </w:pPr>
            <w:r w:rsidRPr="0099428A">
              <w:rPr>
                <w:color w:val="000000"/>
                <w:sz w:val="20"/>
                <w:szCs w:val="20"/>
              </w:rPr>
              <w:t>Adopt policies and budgets that reflect assisted unit goals</w:t>
            </w:r>
          </w:p>
        </w:tc>
        <w:tc>
          <w:tcPr>
            <w:tcW w:w="1165" w:type="dxa"/>
            <w:shd w:val="clear" w:color="auto" w:fill="auto"/>
            <w:tcMar>
              <w:top w:w="90" w:type="dxa"/>
              <w:left w:w="90" w:type="dxa"/>
              <w:bottom w:w="90" w:type="dxa"/>
              <w:right w:w="90" w:type="dxa"/>
            </w:tcMar>
            <w:vAlign w:val="center"/>
          </w:tcPr>
          <w:p w:rsidR="00DC6E5A" w:rsidRPr="0099428A" w:rsidRDefault="00DC6E5A" w:rsidP="000336A9">
            <w:pPr>
              <w:suppressAutoHyphens/>
              <w:autoSpaceDE w:val="0"/>
              <w:autoSpaceDN w:val="0"/>
              <w:adjustRightInd w:val="0"/>
              <w:jc w:val="center"/>
              <w:textAlignment w:val="center"/>
              <w:rPr>
                <w:color w:val="000000"/>
                <w:sz w:val="20"/>
                <w:szCs w:val="20"/>
              </w:rPr>
            </w:pPr>
            <w:r w:rsidRPr="0099428A">
              <w:rPr>
                <w:color w:val="000000"/>
                <w:sz w:val="20"/>
                <w:szCs w:val="20"/>
              </w:rPr>
              <w:t>Local</w:t>
            </w:r>
          </w:p>
        </w:tc>
        <w:tc>
          <w:tcPr>
            <w:tcW w:w="1114" w:type="dxa"/>
            <w:shd w:val="clear" w:color="auto" w:fill="auto"/>
            <w:vAlign w:val="center"/>
          </w:tcPr>
          <w:p w:rsidR="00DC6E5A" w:rsidRPr="0099428A" w:rsidRDefault="00DC6E5A" w:rsidP="000336A9">
            <w:pPr>
              <w:suppressAutoHyphens/>
              <w:autoSpaceDE w:val="0"/>
              <w:autoSpaceDN w:val="0"/>
              <w:adjustRightInd w:val="0"/>
              <w:jc w:val="center"/>
              <w:textAlignment w:val="center"/>
              <w:rPr>
                <w:color w:val="000000"/>
                <w:sz w:val="20"/>
                <w:szCs w:val="20"/>
              </w:rPr>
            </w:pPr>
            <w:r w:rsidRPr="0099428A">
              <w:rPr>
                <w:color w:val="000000"/>
                <w:sz w:val="20"/>
                <w:szCs w:val="20"/>
              </w:rPr>
              <w:t>X</w:t>
            </w:r>
          </w:p>
        </w:tc>
        <w:tc>
          <w:tcPr>
            <w:tcW w:w="3040" w:type="dxa"/>
            <w:vMerge w:val="restart"/>
            <w:shd w:val="clear" w:color="auto" w:fill="auto"/>
            <w:tcMar>
              <w:top w:w="90" w:type="dxa"/>
              <w:left w:w="90" w:type="dxa"/>
              <w:bottom w:w="90" w:type="dxa"/>
              <w:right w:w="90" w:type="dxa"/>
            </w:tcMar>
          </w:tcPr>
          <w:p w:rsidR="00DC6E5A" w:rsidRPr="0099428A" w:rsidRDefault="00DC6E5A" w:rsidP="000336A9">
            <w:pPr>
              <w:numPr>
                <w:ilvl w:val="0"/>
                <w:numId w:val="3"/>
              </w:numPr>
              <w:suppressAutoHyphens/>
              <w:autoSpaceDE w:val="0"/>
              <w:autoSpaceDN w:val="0"/>
              <w:adjustRightInd w:val="0"/>
              <w:spacing w:after="200" w:line="276" w:lineRule="auto"/>
              <w:textAlignment w:val="center"/>
              <w:rPr>
                <w:color w:val="000000"/>
                <w:sz w:val="20"/>
                <w:szCs w:val="20"/>
              </w:rPr>
            </w:pPr>
            <w:r w:rsidRPr="0099428A">
              <w:rPr>
                <w:color w:val="000000"/>
                <w:sz w:val="20"/>
                <w:szCs w:val="20"/>
              </w:rPr>
              <w:t xml:space="preserve">Policies and budgets adopted </w:t>
            </w:r>
            <w:r>
              <w:rPr>
                <w:color w:val="000000"/>
                <w:sz w:val="20"/>
                <w:szCs w:val="20"/>
              </w:rPr>
              <w:t xml:space="preserve">to encourage development of and provide funding </w:t>
            </w:r>
            <w:r w:rsidRPr="0099428A">
              <w:rPr>
                <w:color w:val="000000"/>
                <w:sz w:val="20"/>
                <w:szCs w:val="20"/>
              </w:rPr>
              <w:t>for rental projects</w:t>
            </w:r>
            <w:r>
              <w:rPr>
                <w:color w:val="000000"/>
                <w:sz w:val="20"/>
                <w:szCs w:val="20"/>
              </w:rPr>
              <w:t>.</w:t>
            </w:r>
          </w:p>
          <w:p w:rsidR="00DC6E5A" w:rsidRPr="0099428A" w:rsidRDefault="00DC6E5A" w:rsidP="000336A9">
            <w:pPr>
              <w:suppressAutoHyphens/>
              <w:autoSpaceDE w:val="0"/>
              <w:autoSpaceDN w:val="0"/>
              <w:adjustRightInd w:val="0"/>
              <w:textAlignment w:val="center"/>
              <w:rPr>
                <w:color w:val="000000"/>
                <w:sz w:val="20"/>
                <w:szCs w:val="20"/>
              </w:rPr>
            </w:pPr>
          </w:p>
        </w:tc>
        <w:tc>
          <w:tcPr>
            <w:tcW w:w="1547" w:type="dxa"/>
            <w:vMerge w:val="restart"/>
            <w:shd w:val="clear" w:color="auto" w:fill="auto"/>
            <w:tcMar>
              <w:top w:w="90" w:type="dxa"/>
              <w:left w:w="90" w:type="dxa"/>
              <w:bottom w:w="90" w:type="dxa"/>
              <w:right w:w="90" w:type="dxa"/>
            </w:tcMar>
          </w:tcPr>
          <w:p w:rsidR="00DC6E5A" w:rsidRPr="0099428A" w:rsidRDefault="00DC6E5A" w:rsidP="000336A9">
            <w:pPr>
              <w:suppressAutoHyphens/>
              <w:autoSpaceDE w:val="0"/>
              <w:autoSpaceDN w:val="0"/>
              <w:adjustRightInd w:val="0"/>
              <w:jc w:val="center"/>
              <w:textAlignment w:val="center"/>
              <w:rPr>
                <w:color w:val="000000"/>
                <w:sz w:val="20"/>
                <w:szCs w:val="20"/>
              </w:rPr>
            </w:pPr>
          </w:p>
        </w:tc>
      </w:tr>
      <w:tr w:rsidR="00DC6E5A" w:rsidRPr="0099428A" w:rsidTr="00DC6E5A">
        <w:trPr>
          <w:trHeight w:val="530"/>
          <w:jc w:val="center"/>
        </w:trPr>
        <w:tc>
          <w:tcPr>
            <w:tcW w:w="3686" w:type="dxa"/>
            <w:vMerge/>
            <w:shd w:val="clear" w:color="auto" w:fill="auto"/>
            <w:tcMar>
              <w:top w:w="90" w:type="dxa"/>
              <w:left w:w="90" w:type="dxa"/>
              <w:bottom w:w="90" w:type="dxa"/>
              <w:right w:w="90" w:type="dxa"/>
            </w:tcMar>
          </w:tcPr>
          <w:p w:rsidR="00DC6E5A" w:rsidRPr="0099428A" w:rsidRDefault="00DC6E5A" w:rsidP="004C794B">
            <w:pPr>
              <w:numPr>
                <w:ilvl w:val="0"/>
                <w:numId w:val="21"/>
              </w:numPr>
              <w:suppressAutoHyphens/>
              <w:autoSpaceDE w:val="0"/>
              <w:autoSpaceDN w:val="0"/>
              <w:adjustRightInd w:val="0"/>
              <w:spacing w:after="200" w:line="276" w:lineRule="auto"/>
              <w:textAlignment w:val="center"/>
              <w:rPr>
                <w:color w:val="000000"/>
                <w:sz w:val="20"/>
                <w:szCs w:val="20"/>
              </w:rPr>
            </w:pPr>
          </w:p>
        </w:tc>
        <w:tc>
          <w:tcPr>
            <w:tcW w:w="1165" w:type="dxa"/>
            <w:shd w:val="clear" w:color="auto" w:fill="auto"/>
            <w:tcMar>
              <w:top w:w="90" w:type="dxa"/>
              <w:left w:w="90" w:type="dxa"/>
              <w:bottom w:w="90" w:type="dxa"/>
              <w:right w:w="90" w:type="dxa"/>
            </w:tcMar>
            <w:vAlign w:val="center"/>
          </w:tcPr>
          <w:p w:rsidR="00DC6E5A" w:rsidRPr="0099428A" w:rsidRDefault="00DC6E5A" w:rsidP="000336A9">
            <w:pPr>
              <w:suppressAutoHyphens/>
              <w:autoSpaceDE w:val="0"/>
              <w:autoSpaceDN w:val="0"/>
              <w:adjustRightInd w:val="0"/>
              <w:jc w:val="center"/>
              <w:textAlignment w:val="center"/>
              <w:rPr>
                <w:color w:val="000000"/>
                <w:sz w:val="20"/>
                <w:szCs w:val="20"/>
              </w:rPr>
            </w:pPr>
            <w:r w:rsidRPr="0099428A">
              <w:rPr>
                <w:color w:val="000000"/>
                <w:sz w:val="20"/>
                <w:szCs w:val="20"/>
              </w:rPr>
              <w:t>State</w:t>
            </w:r>
          </w:p>
        </w:tc>
        <w:tc>
          <w:tcPr>
            <w:tcW w:w="1114" w:type="dxa"/>
            <w:shd w:val="clear" w:color="auto" w:fill="auto"/>
            <w:vAlign w:val="center"/>
          </w:tcPr>
          <w:p w:rsidR="00DC6E5A" w:rsidRPr="0099428A" w:rsidRDefault="00DC6E5A" w:rsidP="000336A9">
            <w:pPr>
              <w:suppressAutoHyphens/>
              <w:autoSpaceDE w:val="0"/>
              <w:autoSpaceDN w:val="0"/>
              <w:adjustRightInd w:val="0"/>
              <w:jc w:val="center"/>
              <w:textAlignment w:val="center"/>
              <w:rPr>
                <w:color w:val="000000"/>
                <w:sz w:val="20"/>
                <w:szCs w:val="20"/>
              </w:rPr>
            </w:pPr>
          </w:p>
        </w:tc>
        <w:tc>
          <w:tcPr>
            <w:tcW w:w="3040" w:type="dxa"/>
            <w:vMerge/>
            <w:shd w:val="clear" w:color="auto" w:fill="auto"/>
            <w:tcMar>
              <w:top w:w="90" w:type="dxa"/>
              <w:left w:w="90" w:type="dxa"/>
              <w:bottom w:w="90" w:type="dxa"/>
              <w:right w:w="90" w:type="dxa"/>
            </w:tcMar>
          </w:tcPr>
          <w:p w:rsidR="00DC6E5A" w:rsidRPr="0099428A" w:rsidRDefault="00DC6E5A" w:rsidP="000336A9">
            <w:pPr>
              <w:numPr>
                <w:ilvl w:val="0"/>
                <w:numId w:val="3"/>
              </w:numPr>
              <w:suppressAutoHyphens/>
              <w:autoSpaceDE w:val="0"/>
              <w:autoSpaceDN w:val="0"/>
              <w:adjustRightInd w:val="0"/>
              <w:spacing w:after="200" w:line="276" w:lineRule="auto"/>
              <w:textAlignment w:val="center"/>
              <w:rPr>
                <w:color w:val="000000"/>
                <w:sz w:val="20"/>
                <w:szCs w:val="20"/>
              </w:rPr>
            </w:pPr>
          </w:p>
        </w:tc>
        <w:tc>
          <w:tcPr>
            <w:tcW w:w="1547" w:type="dxa"/>
            <w:vMerge/>
            <w:shd w:val="clear" w:color="auto" w:fill="auto"/>
            <w:tcMar>
              <w:top w:w="90" w:type="dxa"/>
              <w:left w:w="90" w:type="dxa"/>
              <w:bottom w:w="90" w:type="dxa"/>
              <w:right w:w="90" w:type="dxa"/>
            </w:tcMar>
          </w:tcPr>
          <w:p w:rsidR="00DC6E5A" w:rsidRPr="0099428A" w:rsidRDefault="00DC6E5A" w:rsidP="000336A9">
            <w:pPr>
              <w:suppressAutoHyphens/>
              <w:autoSpaceDE w:val="0"/>
              <w:autoSpaceDN w:val="0"/>
              <w:adjustRightInd w:val="0"/>
              <w:jc w:val="center"/>
              <w:textAlignment w:val="center"/>
              <w:rPr>
                <w:color w:val="000000"/>
                <w:sz w:val="20"/>
                <w:szCs w:val="20"/>
              </w:rPr>
            </w:pPr>
          </w:p>
        </w:tc>
      </w:tr>
      <w:tr w:rsidR="00DC6E5A" w:rsidRPr="0099428A" w:rsidTr="00DC6E5A">
        <w:trPr>
          <w:trHeight w:val="449"/>
          <w:jc w:val="center"/>
        </w:trPr>
        <w:tc>
          <w:tcPr>
            <w:tcW w:w="3686" w:type="dxa"/>
            <w:vMerge/>
            <w:shd w:val="clear" w:color="auto" w:fill="auto"/>
            <w:tcMar>
              <w:top w:w="90" w:type="dxa"/>
              <w:left w:w="90" w:type="dxa"/>
              <w:bottom w:w="90" w:type="dxa"/>
              <w:right w:w="90" w:type="dxa"/>
            </w:tcMar>
          </w:tcPr>
          <w:p w:rsidR="00DC6E5A" w:rsidRPr="0099428A" w:rsidRDefault="00DC6E5A" w:rsidP="004C794B">
            <w:pPr>
              <w:numPr>
                <w:ilvl w:val="0"/>
                <w:numId w:val="21"/>
              </w:numPr>
              <w:suppressAutoHyphens/>
              <w:autoSpaceDE w:val="0"/>
              <w:autoSpaceDN w:val="0"/>
              <w:adjustRightInd w:val="0"/>
              <w:spacing w:after="200" w:line="276" w:lineRule="auto"/>
              <w:textAlignment w:val="center"/>
              <w:rPr>
                <w:color w:val="000000"/>
                <w:sz w:val="20"/>
                <w:szCs w:val="20"/>
              </w:rPr>
            </w:pPr>
          </w:p>
        </w:tc>
        <w:tc>
          <w:tcPr>
            <w:tcW w:w="1165" w:type="dxa"/>
            <w:shd w:val="clear" w:color="auto" w:fill="auto"/>
            <w:tcMar>
              <w:top w:w="90" w:type="dxa"/>
              <w:left w:w="90" w:type="dxa"/>
              <w:bottom w:w="90" w:type="dxa"/>
              <w:right w:w="90" w:type="dxa"/>
            </w:tcMar>
            <w:vAlign w:val="center"/>
          </w:tcPr>
          <w:p w:rsidR="00DC6E5A" w:rsidRPr="0099428A" w:rsidRDefault="00DC6E5A" w:rsidP="000336A9">
            <w:pPr>
              <w:suppressAutoHyphens/>
              <w:autoSpaceDE w:val="0"/>
              <w:autoSpaceDN w:val="0"/>
              <w:adjustRightInd w:val="0"/>
              <w:jc w:val="center"/>
              <w:textAlignment w:val="center"/>
              <w:rPr>
                <w:color w:val="000000"/>
                <w:sz w:val="20"/>
                <w:szCs w:val="20"/>
              </w:rPr>
            </w:pPr>
            <w:r w:rsidRPr="0099428A">
              <w:rPr>
                <w:color w:val="000000"/>
                <w:sz w:val="20"/>
                <w:szCs w:val="20"/>
              </w:rPr>
              <w:t>Voter</w:t>
            </w:r>
          </w:p>
        </w:tc>
        <w:tc>
          <w:tcPr>
            <w:tcW w:w="1114" w:type="dxa"/>
            <w:shd w:val="clear" w:color="auto" w:fill="auto"/>
            <w:vAlign w:val="center"/>
          </w:tcPr>
          <w:p w:rsidR="00DC6E5A" w:rsidRPr="0099428A" w:rsidRDefault="00DC6E5A" w:rsidP="000336A9">
            <w:pPr>
              <w:suppressAutoHyphens/>
              <w:autoSpaceDE w:val="0"/>
              <w:autoSpaceDN w:val="0"/>
              <w:adjustRightInd w:val="0"/>
              <w:jc w:val="center"/>
              <w:textAlignment w:val="center"/>
              <w:rPr>
                <w:color w:val="000000"/>
                <w:sz w:val="20"/>
                <w:szCs w:val="20"/>
              </w:rPr>
            </w:pPr>
          </w:p>
        </w:tc>
        <w:tc>
          <w:tcPr>
            <w:tcW w:w="3040" w:type="dxa"/>
            <w:vMerge/>
            <w:shd w:val="clear" w:color="auto" w:fill="auto"/>
            <w:tcMar>
              <w:top w:w="90" w:type="dxa"/>
              <w:left w:w="90" w:type="dxa"/>
              <w:bottom w:w="90" w:type="dxa"/>
              <w:right w:w="90" w:type="dxa"/>
            </w:tcMar>
          </w:tcPr>
          <w:p w:rsidR="00DC6E5A" w:rsidRPr="0099428A" w:rsidRDefault="00DC6E5A" w:rsidP="000336A9">
            <w:pPr>
              <w:numPr>
                <w:ilvl w:val="0"/>
                <w:numId w:val="3"/>
              </w:numPr>
              <w:suppressAutoHyphens/>
              <w:autoSpaceDE w:val="0"/>
              <w:autoSpaceDN w:val="0"/>
              <w:adjustRightInd w:val="0"/>
              <w:spacing w:after="200" w:line="276" w:lineRule="auto"/>
              <w:textAlignment w:val="center"/>
              <w:rPr>
                <w:color w:val="000000"/>
                <w:sz w:val="20"/>
                <w:szCs w:val="20"/>
              </w:rPr>
            </w:pPr>
          </w:p>
        </w:tc>
        <w:tc>
          <w:tcPr>
            <w:tcW w:w="1547" w:type="dxa"/>
            <w:vMerge/>
            <w:shd w:val="clear" w:color="auto" w:fill="auto"/>
            <w:tcMar>
              <w:top w:w="90" w:type="dxa"/>
              <w:left w:w="90" w:type="dxa"/>
              <w:bottom w:w="90" w:type="dxa"/>
              <w:right w:w="90" w:type="dxa"/>
            </w:tcMar>
          </w:tcPr>
          <w:p w:rsidR="00DC6E5A" w:rsidRPr="0099428A" w:rsidRDefault="00DC6E5A" w:rsidP="000336A9">
            <w:pPr>
              <w:suppressAutoHyphens/>
              <w:autoSpaceDE w:val="0"/>
              <w:autoSpaceDN w:val="0"/>
              <w:adjustRightInd w:val="0"/>
              <w:jc w:val="center"/>
              <w:textAlignment w:val="center"/>
              <w:rPr>
                <w:color w:val="000000"/>
                <w:sz w:val="20"/>
                <w:szCs w:val="20"/>
              </w:rPr>
            </w:pPr>
          </w:p>
        </w:tc>
      </w:tr>
      <w:tr w:rsidR="00DC6E5A" w:rsidRPr="0099428A" w:rsidTr="00DC6E5A">
        <w:trPr>
          <w:trHeight w:val="539"/>
          <w:jc w:val="center"/>
        </w:trPr>
        <w:tc>
          <w:tcPr>
            <w:tcW w:w="3686" w:type="dxa"/>
            <w:vMerge w:val="restart"/>
            <w:shd w:val="clear" w:color="auto" w:fill="auto"/>
            <w:tcMar>
              <w:top w:w="90" w:type="dxa"/>
              <w:left w:w="90" w:type="dxa"/>
              <w:bottom w:w="90" w:type="dxa"/>
              <w:right w:w="90" w:type="dxa"/>
            </w:tcMar>
          </w:tcPr>
          <w:p w:rsidR="00DC6E5A" w:rsidRPr="0099428A" w:rsidRDefault="00DC6E5A" w:rsidP="000336A9">
            <w:pPr>
              <w:numPr>
                <w:ilvl w:val="0"/>
                <w:numId w:val="3"/>
              </w:numPr>
              <w:suppressAutoHyphens/>
              <w:autoSpaceDE w:val="0"/>
              <w:autoSpaceDN w:val="0"/>
              <w:adjustRightInd w:val="0"/>
              <w:spacing w:after="200" w:line="276" w:lineRule="auto"/>
              <w:textAlignment w:val="center"/>
              <w:rPr>
                <w:color w:val="000000"/>
                <w:sz w:val="20"/>
                <w:szCs w:val="20"/>
              </w:rPr>
            </w:pPr>
            <w:r w:rsidRPr="0099428A">
              <w:rPr>
                <w:color w:val="000000"/>
                <w:sz w:val="20"/>
                <w:szCs w:val="20"/>
              </w:rPr>
              <w:t>Tie-in priorities to proximity to transit/employment and surplus public land</w:t>
            </w:r>
          </w:p>
          <w:p w:rsidR="00DC6E5A" w:rsidRPr="0099428A" w:rsidRDefault="00DC6E5A" w:rsidP="000336A9">
            <w:pPr>
              <w:suppressAutoHyphens/>
              <w:autoSpaceDE w:val="0"/>
              <w:autoSpaceDN w:val="0"/>
              <w:adjustRightInd w:val="0"/>
              <w:textAlignment w:val="center"/>
              <w:rPr>
                <w:color w:val="000000"/>
                <w:sz w:val="20"/>
                <w:szCs w:val="20"/>
              </w:rPr>
            </w:pPr>
          </w:p>
        </w:tc>
        <w:tc>
          <w:tcPr>
            <w:tcW w:w="1165" w:type="dxa"/>
            <w:tcBorders>
              <w:bottom w:val="single" w:sz="4" w:space="0" w:color="000000"/>
            </w:tcBorders>
            <w:shd w:val="clear" w:color="auto" w:fill="auto"/>
            <w:tcMar>
              <w:top w:w="90" w:type="dxa"/>
              <w:left w:w="90" w:type="dxa"/>
              <w:bottom w:w="90" w:type="dxa"/>
              <w:right w:w="90" w:type="dxa"/>
            </w:tcMar>
            <w:vAlign w:val="center"/>
          </w:tcPr>
          <w:p w:rsidR="00DC6E5A" w:rsidRPr="0099428A" w:rsidRDefault="00DC6E5A" w:rsidP="000336A9">
            <w:pPr>
              <w:suppressAutoHyphens/>
              <w:autoSpaceDE w:val="0"/>
              <w:autoSpaceDN w:val="0"/>
              <w:adjustRightInd w:val="0"/>
              <w:jc w:val="center"/>
              <w:textAlignment w:val="center"/>
              <w:rPr>
                <w:color w:val="000000"/>
                <w:sz w:val="20"/>
                <w:szCs w:val="20"/>
              </w:rPr>
            </w:pPr>
            <w:r w:rsidRPr="0099428A">
              <w:rPr>
                <w:color w:val="000000"/>
                <w:sz w:val="20"/>
                <w:szCs w:val="20"/>
              </w:rPr>
              <w:t>Local</w:t>
            </w:r>
          </w:p>
        </w:tc>
        <w:tc>
          <w:tcPr>
            <w:tcW w:w="1114" w:type="dxa"/>
            <w:tcBorders>
              <w:bottom w:val="single" w:sz="4" w:space="0" w:color="000000"/>
            </w:tcBorders>
            <w:shd w:val="clear" w:color="auto" w:fill="auto"/>
            <w:vAlign w:val="center"/>
          </w:tcPr>
          <w:p w:rsidR="00DC6E5A" w:rsidRPr="0099428A" w:rsidRDefault="00DC6E5A" w:rsidP="000336A9">
            <w:pPr>
              <w:suppressAutoHyphens/>
              <w:autoSpaceDE w:val="0"/>
              <w:autoSpaceDN w:val="0"/>
              <w:adjustRightInd w:val="0"/>
              <w:jc w:val="center"/>
              <w:textAlignment w:val="center"/>
              <w:rPr>
                <w:color w:val="000000"/>
                <w:sz w:val="20"/>
                <w:szCs w:val="20"/>
              </w:rPr>
            </w:pPr>
            <w:r w:rsidRPr="0099428A">
              <w:rPr>
                <w:color w:val="000000"/>
                <w:sz w:val="20"/>
                <w:szCs w:val="20"/>
              </w:rPr>
              <w:t>X</w:t>
            </w:r>
          </w:p>
        </w:tc>
        <w:tc>
          <w:tcPr>
            <w:tcW w:w="3040" w:type="dxa"/>
            <w:vMerge w:val="restart"/>
            <w:shd w:val="clear" w:color="auto" w:fill="auto"/>
            <w:tcMar>
              <w:top w:w="90" w:type="dxa"/>
              <w:left w:w="90" w:type="dxa"/>
              <w:bottom w:w="90" w:type="dxa"/>
              <w:right w:w="90" w:type="dxa"/>
            </w:tcMar>
          </w:tcPr>
          <w:p w:rsidR="00DC6E5A" w:rsidRPr="0099428A" w:rsidRDefault="00DC6E5A" w:rsidP="000336A9">
            <w:pPr>
              <w:numPr>
                <w:ilvl w:val="0"/>
                <w:numId w:val="3"/>
              </w:numPr>
              <w:suppressAutoHyphens/>
              <w:autoSpaceDE w:val="0"/>
              <w:autoSpaceDN w:val="0"/>
              <w:adjustRightInd w:val="0"/>
              <w:spacing w:after="200" w:line="276" w:lineRule="auto"/>
              <w:textAlignment w:val="center"/>
              <w:rPr>
                <w:color w:val="000000"/>
                <w:sz w:val="20"/>
                <w:szCs w:val="20"/>
              </w:rPr>
            </w:pPr>
            <w:r w:rsidRPr="0099428A">
              <w:rPr>
                <w:color w:val="000000"/>
                <w:sz w:val="20"/>
                <w:szCs w:val="20"/>
              </w:rPr>
              <w:t>Priorities are included in adopted policies</w:t>
            </w:r>
            <w:r>
              <w:rPr>
                <w:color w:val="000000"/>
                <w:sz w:val="20"/>
                <w:szCs w:val="20"/>
              </w:rPr>
              <w:t>.</w:t>
            </w:r>
          </w:p>
        </w:tc>
        <w:tc>
          <w:tcPr>
            <w:tcW w:w="1547" w:type="dxa"/>
            <w:vMerge w:val="restart"/>
            <w:shd w:val="clear" w:color="auto" w:fill="auto"/>
            <w:tcMar>
              <w:top w:w="90" w:type="dxa"/>
              <w:left w:w="90" w:type="dxa"/>
              <w:bottom w:w="90" w:type="dxa"/>
              <w:right w:w="90" w:type="dxa"/>
            </w:tcMar>
          </w:tcPr>
          <w:p w:rsidR="00DC6E5A" w:rsidRPr="0099428A" w:rsidRDefault="00DC6E5A" w:rsidP="000336A9">
            <w:pPr>
              <w:spacing w:after="200" w:line="276" w:lineRule="auto"/>
              <w:rPr>
                <w:rFonts w:eastAsia="Calibri"/>
                <w:sz w:val="20"/>
                <w:szCs w:val="20"/>
              </w:rPr>
            </w:pPr>
          </w:p>
        </w:tc>
      </w:tr>
      <w:tr w:rsidR="00DC6E5A" w:rsidRPr="0099428A" w:rsidTr="00DC6E5A">
        <w:trPr>
          <w:trHeight w:val="530"/>
          <w:jc w:val="center"/>
        </w:trPr>
        <w:tc>
          <w:tcPr>
            <w:tcW w:w="3686" w:type="dxa"/>
            <w:vMerge/>
            <w:shd w:val="clear" w:color="auto" w:fill="auto"/>
            <w:tcMar>
              <w:top w:w="90" w:type="dxa"/>
              <w:left w:w="90" w:type="dxa"/>
              <w:bottom w:w="90" w:type="dxa"/>
              <w:right w:w="90" w:type="dxa"/>
            </w:tcMar>
          </w:tcPr>
          <w:p w:rsidR="00DC6E5A" w:rsidRPr="0099428A" w:rsidRDefault="00DC6E5A" w:rsidP="000336A9">
            <w:pPr>
              <w:numPr>
                <w:ilvl w:val="0"/>
                <w:numId w:val="3"/>
              </w:numPr>
              <w:suppressAutoHyphens/>
              <w:autoSpaceDE w:val="0"/>
              <w:autoSpaceDN w:val="0"/>
              <w:adjustRightInd w:val="0"/>
              <w:spacing w:after="200" w:line="276" w:lineRule="auto"/>
              <w:textAlignment w:val="center"/>
              <w:rPr>
                <w:color w:val="000000"/>
                <w:sz w:val="20"/>
                <w:szCs w:val="20"/>
              </w:rPr>
            </w:pPr>
          </w:p>
        </w:tc>
        <w:tc>
          <w:tcPr>
            <w:tcW w:w="1165" w:type="dxa"/>
            <w:tcBorders>
              <w:bottom w:val="single" w:sz="4" w:space="0" w:color="000000"/>
            </w:tcBorders>
            <w:shd w:val="clear" w:color="auto" w:fill="auto"/>
            <w:tcMar>
              <w:top w:w="90" w:type="dxa"/>
              <w:left w:w="90" w:type="dxa"/>
              <w:bottom w:w="90" w:type="dxa"/>
              <w:right w:w="90" w:type="dxa"/>
            </w:tcMar>
            <w:vAlign w:val="center"/>
          </w:tcPr>
          <w:p w:rsidR="00DC6E5A" w:rsidRPr="0099428A" w:rsidRDefault="00DC6E5A" w:rsidP="000336A9">
            <w:pPr>
              <w:suppressAutoHyphens/>
              <w:autoSpaceDE w:val="0"/>
              <w:autoSpaceDN w:val="0"/>
              <w:adjustRightInd w:val="0"/>
              <w:jc w:val="center"/>
              <w:textAlignment w:val="center"/>
              <w:rPr>
                <w:color w:val="000000"/>
                <w:sz w:val="20"/>
                <w:szCs w:val="20"/>
              </w:rPr>
            </w:pPr>
            <w:r w:rsidRPr="0099428A">
              <w:rPr>
                <w:color w:val="000000"/>
                <w:sz w:val="20"/>
                <w:szCs w:val="20"/>
              </w:rPr>
              <w:t>State</w:t>
            </w:r>
          </w:p>
        </w:tc>
        <w:tc>
          <w:tcPr>
            <w:tcW w:w="1114" w:type="dxa"/>
            <w:tcBorders>
              <w:bottom w:val="single" w:sz="4" w:space="0" w:color="000000"/>
            </w:tcBorders>
            <w:shd w:val="clear" w:color="auto" w:fill="auto"/>
            <w:vAlign w:val="center"/>
          </w:tcPr>
          <w:p w:rsidR="00DC6E5A" w:rsidRPr="0099428A" w:rsidRDefault="00DC6E5A" w:rsidP="000336A9">
            <w:pPr>
              <w:suppressAutoHyphens/>
              <w:autoSpaceDE w:val="0"/>
              <w:autoSpaceDN w:val="0"/>
              <w:adjustRightInd w:val="0"/>
              <w:jc w:val="center"/>
              <w:textAlignment w:val="center"/>
              <w:rPr>
                <w:color w:val="000000"/>
                <w:sz w:val="20"/>
                <w:szCs w:val="20"/>
              </w:rPr>
            </w:pPr>
          </w:p>
        </w:tc>
        <w:tc>
          <w:tcPr>
            <w:tcW w:w="3040" w:type="dxa"/>
            <w:vMerge/>
            <w:shd w:val="clear" w:color="auto" w:fill="auto"/>
            <w:tcMar>
              <w:top w:w="90" w:type="dxa"/>
              <w:left w:w="90" w:type="dxa"/>
              <w:bottom w:w="90" w:type="dxa"/>
              <w:right w:w="90" w:type="dxa"/>
            </w:tcMar>
          </w:tcPr>
          <w:p w:rsidR="00DC6E5A" w:rsidRPr="0099428A" w:rsidRDefault="00DC6E5A" w:rsidP="000336A9">
            <w:pPr>
              <w:numPr>
                <w:ilvl w:val="0"/>
                <w:numId w:val="3"/>
              </w:numPr>
              <w:suppressAutoHyphens/>
              <w:autoSpaceDE w:val="0"/>
              <w:autoSpaceDN w:val="0"/>
              <w:adjustRightInd w:val="0"/>
              <w:spacing w:after="200" w:line="276" w:lineRule="auto"/>
              <w:textAlignment w:val="center"/>
              <w:rPr>
                <w:color w:val="000000"/>
                <w:sz w:val="20"/>
                <w:szCs w:val="20"/>
              </w:rPr>
            </w:pPr>
          </w:p>
        </w:tc>
        <w:tc>
          <w:tcPr>
            <w:tcW w:w="1547" w:type="dxa"/>
            <w:vMerge/>
            <w:shd w:val="clear" w:color="auto" w:fill="auto"/>
            <w:tcMar>
              <w:top w:w="90" w:type="dxa"/>
              <w:left w:w="90" w:type="dxa"/>
              <w:bottom w:w="90" w:type="dxa"/>
              <w:right w:w="90" w:type="dxa"/>
            </w:tcMar>
          </w:tcPr>
          <w:p w:rsidR="00DC6E5A" w:rsidRPr="0099428A" w:rsidRDefault="00DC6E5A" w:rsidP="000336A9">
            <w:pPr>
              <w:spacing w:after="200" w:line="276" w:lineRule="auto"/>
              <w:rPr>
                <w:rFonts w:eastAsia="Calibri"/>
                <w:sz w:val="20"/>
                <w:szCs w:val="20"/>
              </w:rPr>
            </w:pPr>
          </w:p>
        </w:tc>
      </w:tr>
      <w:tr w:rsidR="00DC6E5A" w:rsidRPr="0099428A" w:rsidTr="00DC6E5A">
        <w:trPr>
          <w:trHeight w:val="377"/>
          <w:jc w:val="center"/>
        </w:trPr>
        <w:tc>
          <w:tcPr>
            <w:tcW w:w="3686" w:type="dxa"/>
            <w:vMerge/>
            <w:tcBorders>
              <w:bottom w:val="single" w:sz="4" w:space="0" w:color="000000"/>
            </w:tcBorders>
            <w:shd w:val="clear" w:color="auto" w:fill="auto"/>
            <w:tcMar>
              <w:top w:w="90" w:type="dxa"/>
              <w:left w:w="90" w:type="dxa"/>
              <w:bottom w:w="90" w:type="dxa"/>
              <w:right w:w="90" w:type="dxa"/>
            </w:tcMar>
          </w:tcPr>
          <w:p w:rsidR="00DC6E5A" w:rsidRPr="0099428A" w:rsidRDefault="00DC6E5A" w:rsidP="000336A9">
            <w:pPr>
              <w:numPr>
                <w:ilvl w:val="0"/>
                <w:numId w:val="3"/>
              </w:numPr>
              <w:suppressAutoHyphens/>
              <w:autoSpaceDE w:val="0"/>
              <w:autoSpaceDN w:val="0"/>
              <w:adjustRightInd w:val="0"/>
              <w:spacing w:after="200" w:line="276" w:lineRule="auto"/>
              <w:textAlignment w:val="center"/>
              <w:rPr>
                <w:color w:val="000000"/>
                <w:sz w:val="20"/>
                <w:szCs w:val="20"/>
              </w:rPr>
            </w:pPr>
          </w:p>
        </w:tc>
        <w:tc>
          <w:tcPr>
            <w:tcW w:w="1165" w:type="dxa"/>
            <w:tcBorders>
              <w:bottom w:val="single" w:sz="4" w:space="0" w:color="000000"/>
            </w:tcBorders>
            <w:shd w:val="clear" w:color="auto" w:fill="auto"/>
            <w:tcMar>
              <w:top w:w="90" w:type="dxa"/>
              <w:left w:w="90" w:type="dxa"/>
              <w:bottom w:w="90" w:type="dxa"/>
              <w:right w:w="90" w:type="dxa"/>
            </w:tcMar>
            <w:vAlign w:val="center"/>
          </w:tcPr>
          <w:p w:rsidR="00DC6E5A" w:rsidRPr="0099428A" w:rsidRDefault="00DC6E5A" w:rsidP="000336A9">
            <w:pPr>
              <w:suppressAutoHyphens/>
              <w:autoSpaceDE w:val="0"/>
              <w:autoSpaceDN w:val="0"/>
              <w:adjustRightInd w:val="0"/>
              <w:jc w:val="center"/>
              <w:textAlignment w:val="center"/>
              <w:rPr>
                <w:color w:val="000000"/>
                <w:sz w:val="20"/>
                <w:szCs w:val="20"/>
              </w:rPr>
            </w:pPr>
            <w:r w:rsidRPr="0099428A">
              <w:rPr>
                <w:color w:val="000000"/>
                <w:sz w:val="20"/>
                <w:szCs w:val="20"/>
              </w:rPr>
              <w:t>Voter</w:t>
            </w:r>
          </w:p>
        </w:tc>
        <w:tc>
          <w:tcPr>
            <w:tcW w:w="1114" w:type="dxa"/>
            <w:tcBorders>
              <w:bottom w:val="single" w:sz="4" w:space="0" w:color="000000"/>
            </w:tcBorders>
            <w:shd w:val="clear" w:color="auto" w:fill="auto"/>
            <w:vAlign w:val="center"/>
          </w:tcPr>
          <w:p w:rsidR="00DC6E5A" w:rsidRPr="0099428A" w:rsidRDefault="00DC6E5A" w:rsidP="000336A9">
            <w:pPr>
              <w:suppressAutoHyphens/>
              <w:autoSpaceDE w:val="0"/>
              <w:autoSpaceDN w:val="0"/>
              <w:adjustRightInd w:val="0"/>
              <w:jc w:val="center"/>
              <w:textAlignment w:val="center"/>
              <w:rPr>
                <w:color w:val="000000"/>
                <w:sz w:val="20"/>
                <w:szCs w:val="20"/>
              </w:rPr>
            </w:pPr>
          </w:p>
        </w:tc>
        <w:tc>
          <w:tcPr>
            <w:tcW w:w="3040" w:type="dxa"/>
            <w:vMerge/>
            <w:tcBorders>
              <w:bottom w:val="single" w:sz="4" w:space="0" w:color="000000"/>
            </w:tcBorders>
            <w:shd w:val="clear" w:color="auto" w:fill="auto"/>
            <w:tcMar>
              <w:top w:w="90" w:type="dxa"/>
              <w:left w:w="90" w:type="dxa"/>
              <w:bottom w:w="90" w:type="dxa"/>
              <w:right w:w="90" w:type="dxa"/>
            </w:tcMar>
          </w:tcPr>
          <w:p w:rsidR="00DC6E5A" w:rsidRPr="0099428A" w:rsidRDefault="00DC6E5A" w:rsidP="000336A9">
            <w:pPr>
              <w:numPr>
                <w:ilvl w:val="0"/>
                <w:numId w:val="3"/>
              </w:numPr>
              <w:suppressAutoHyphens/>
              <w:autoSpaceDE w:val="0"/>
              <w:autoSpaceDN w:val="0"/>
              <w:adjustRightInd w:val="0"/>
              <w:spacing w:after="200" w:line="276" w:lineRule="auto"/>
              <w:textAlignment w:val="center"/>
              <w:rPr>
                <w:color w:val="000000"/>
                <w:sz w:val="20"/>
                <w:szCs w:val="20"/>
              </w:rPr>
            </w:pPr>
          </w:p>
        </w:tc>
        <w:tc>
          <w:tcPr>
            <w:tcW w:w="1547" w:type="dxa"/>
            <w:vMerge/>
            <w:tcBorders>
              <w:bottom w:val="single" w:sz="4" w:space="0" w:color="000000"/>
            </w:tcBorders>
            <w:shd w:val="clear" w:color="auto" w:fill="auto"/>
            <w:tcMar>
              <w:top w:w="90" w:type="dxa"/>
              <w:left w:w="90" w:type="dxa"/>
              <w:bottom w:w="90" w:type="dxa"/>
              <w:right w:w="90" w:type="dxa"/>
            </w:tcMar>
          </w:tcPr>
          <w:p w:rsidR="00DC6E5A" w:rsidRPr="0099428A" w:rsidRDefault="00DC6E5A" w:rsidP="000336A9">
            <w:pPr>
              <w:spacing w:after="200" w:line="276" w:lineRule="auto"/>
              <w:rPr>
                <w:rFonts w:eastAsia="Calibri"/>
                <w:sz w:val="20"/>
                <w:szCs w:val="20"/>
              </w:rPr>
            </w:pPr>
          </w:p>
        </w:tc>
      </w:tr>
      <w:tr w:rsidR="00DC6E5A" w:rsidRPr="0099428A" w:rsidTr="00DC6E5A">
        <w:trPr>
          <w:trHeight w:val="548"/>
          <w:jc w:val="center"/>
        </w:trPr>
        <w:tc>
          <w:tcPr>
            <w:tcW w:w="3686" w:type="dxa"/>
            <w:vMerge w:val="restart"/>
            <w:shd w:val="clear" w:color="auto" w:fill="auto"/>
            <w:tcMar>
              <w:top w:w="90" w:type="dxa"/>
              <w:left w:w="90" w:type="dxa"/>
              <w:bottom w:w="90" w:type="dxa"/>
              <w:right w:w="90" w:type="dxa"/>
            </w:tcMar>
          </w:tcPr>
          <w:p w:rsidR="00DC6E5A" w:rsidRPr="0099428A" w:rsidRDefault="00DC6E5A" w:rsidP="000336A9">
            <w:pPr>
              <w:numPr>
                <w:ilvl w:val="0"/>
                <w:numId w:val="3"/>
              </w:numPr>
              <w:suppressAutoHyphens/>
              <w:autoSpaceDE w:val="0"/>
              <w:autoSpaceDN w:val="0"/>
              <w:adjustRightInd w:val="0"/>
              <w:spacing w:after="200" w:line="276" w:lineRule="auto"/>
              <w:textAlignment w:val="center"/>
              <w:rPr>
                <w:color w:val="000000"/>
                <w:sz w:val="20"/>
                <w:szCs w:val="20"/>
              </w:rPr>
            </w:pPr>
            <w:r w:rsidRPr="0099428A">
              <w:rPr>
                <w:color w:val="000000"/>
                <w:sz w:val="20"/>
                <w:szCs w:val="20"/>
              </w:rPr>
              <w:t>Create flexibility to undertake opportunities as they arise</w:t>
            </w:r>
          </w:p>
          <w:p w:rsidR="00DC6E5A" w:rsidRPr="0099428A" w:rsidRDefault="00DC6E5A" w:rsidP="000336A9">
            <w:pPr>
              <w:suppressAutoHyphens/>
              <w:autoSpaceDE w:val="0"/>
              <w:autoSpaceDN w:val="0"/>
              <w:adjustRightInd w:val="0"/>
              <w:textAlignment w:val="center"/>
              <w:rPr>
                <w:color w:val="000000"/>
                <w:sz w:val="20"/>
                <w:szCs w:val="20"/>
              </w:rPr>
            </w:pPr>
          </w:p>
          <w:p w:rsidR="00DC6E5A" w:rsidRPr="0099428A" w:rsidRDefault="00DC6E5A" w:rsidP="000336A9">
            <w:pPr>
              <w:suppressAutoHyphens/>
              <w:autoSpaceDE w:val="0"/>
              <w:autoSpaceDN w:val="0"/>
              <w:adjustRightInd w:val="0"/>
              <w:textAlignment w:val="center"/>
              <w:rPr>
                <w:color w:val="000000"/>
                <w:sz w:val="20"/>
                <w:szCs w:val="20"/>
              </w:rPr>
            </w:pPr>
          </w:p>
        </w:tc>
        <w:tc>
          <w:tcPr>
            <w:tcW w:w="1165" w:type="dxa"/>
            <w:tcBorders>
              <w:bottom w:val="single" w:sz="4" w:space="0" w:color="000000"/>
            </w:tcBorders>
            <w:shd w:val="clear" w:color="auto" w:fill="auto"/>
            <w:tcMar>
              <w:top w:w="90" w:type="dxa"/>
              <w:left w:w="90" w:type="dxa"/>
              <w:bottom w:w="90" w:type="dxa"/>
              <w:right w:w="90" w:type="dxa"/>
            </w:tcMar>
            <w:vAlign w:val="center"/>
          </w:tcPr>
          <w:p w:rsidR="00DC6E5A" w:rsidRPr="0099428A" w:rsidRDefault="00DC6E5A" w:rsidP="000336A9">
            <w:pPr>
              <w:suppressAutoHyphens/>
              <w:autoSpaceDE w:val="0"/>
              <w:autoSpaceDN w:val="0"/>
              <w:adjustRightInd w:val="0"/>
              <w:jc w:val="center"/>
              <w:textAlignment w:val="center"/>
              <w:rPr>
                <w:color w:val="000000"/>
                <w:sz w:val="20"/>
                <w:szCs w:val="20"/>
              </w:rPr>
            </w:pPr>
            <w:r w:rsidRPr="0099428A">
              <w:rPr>
                <w:color w:val="000000"/>
                <w:sz w:val="20"/>
                <w:szCs w:val="20"/>
              </w:rPr>
              <w:t>Local</w:t>
            </w:r>
          </w:p>
        </w:tc>
        <w:tc>
          <w:tcPr>
            <w:tcW w:w="1114" w:type="dxa"/>
            <w:tcBorders>
              <w:bottom w:val="single" w:sz="4" w:space="0" w:color="000000"/>
            </w:tcBorders>
            <w:shd w:val="clear" w:color="auto" w:fill="auto"/>
            <w:vAlign w:val="center"/>
          </w:tcPr>
          <w:p w:rsidR="00DC6E5A" w:rsidRPr="0099428A" w:rsidRDefault="00DC6E5A" w:rsidP="000336A9">
            <w:pPr>
              <w:suppressAutoHyphens/>
              <w:autoSpaceDE w:val="0"/>
              <w:autoSpaceDN w:val="0"/>
              <w:adjustRightInd w:val="0"/>
              <w:jc w:val="center"/>
              <w:textAlignment w:val="center"/>
              <w:rPr>
                <w:color w:val="000000"/>
                <w:sz w:val="20"/>
                <w:szCs w:val="20"/>
              </w:rPr>
            </w:pPr>
            <w:r w:rsidRPr="0099428A">
              <w:rPr>
                <w:color w:val="000000"/>
                <w:sz w:val="20"/>
                <w:szCs w:val="20"/>
              </w:rPr>
              <w:t>X</w:t>
            </w:r>
          </w:p>
        </w:tc>
        <w:tc>
          <w:tcPr>
            <w:tcW w:w="3040" w:type="dxa"/>
            <w:vMerge w:val="restart"/>
            <w:shd w:val="clear" w:color="auto" w:fill="auto"/>
            <w:tcMar>
              <w:top w:w="90" w:type="dxa"/>
              <w:left w:w="90" w:type="dxa"/>
              <w:bottom w:w="90" w:type="dxa"/>
              <w:right w:w="90" w:type="dxa"/>
            </w:tcMar>
          </w:tcPr>
          <w:p w:rsidR="00DC6E5A" w:rsidRPr="0099428A" w:rsidRDefault="00DC6E5A" w:rsidP="000336A9">
            <w:pPr>
              <w:numPr>
                <w:ilvl w:val="0"/>
                <w:numId w:val="3"/>
              </w:numPr>
              <w:suppressAutoHyphens/>
              <w:autoSpaceDE w:val="0"/>
              <w:autoSpaceDN w:val="0"/>
              <w:adjustRightInd w:val="0"/>
              <w:spacing w:after="200" w:line="276" w:lineRule="auto"/>
              <w:textAlignment w:val="center"/>
              <w:rPr>
                <w:color w:val="000000"/>
                <w:sz w:val="20"/>
                <w:szCs w:val="20"/>
              </w:rPr>
            </w:pPr>
            <w:r w:rsidRPr="0099428A">
              <w:rPr>
                <w:color w:val="000000"/>
                <w:sz w:val="20"/>
                <w:szCs w:val="20"/>
              </w:rPr>
              <w:t>Policy adopted for project selection</w:t>
            </w:r>
            <w:r>
              <w:rPr>
                <w:color w:val="000000"/>
                <w:sz w:val="20"/>
                <w:szCs w:val="20"/>
              </w:rPr>
              <w:t>.</w:t>
            </w:r>
          </w:p>
        </w:tc>
        <w:tc>
          <w:tcPr>
            <w:tcW w:w="1547" w:type="dxa"/>
            <w:vMerge w:val="restart"/>
            <w:shd w:val="clear" w:color="auto" w:fill="auto"/>
            <w:tcMar>
              <w:top w:w="90" w:type="dxa"/>
              <w:left w:w="90" w:type="dxa"/>
              <w:bottom w:w="90" w:type="dxa"/>
              <w:right w:w="90" w:type="dxa"/>
            </w:tcMar>
          </w:tcPr>
          <w:p w:rsidR="00DC6E5A" w:rsidRPr="0099428A" w:rsidRDefault="00DC6E5A" w:rsidP="000336A9">
            <w:pPr>
              <w:spacing w:after="200" w:line="276" w:lineRule="auto"/>
              <w:rPr>
                <w:rFonts w:eastAsia="Calibri"/>
                <w:sz w:val="20"/>
                <w:szCs w:val="20"/>
              </w:rPr>
            </w:pPr>
          </w:p>
        </w:tc>
      </w:tr>
      <w:tr w:rsidR="00DC6E5A" w:rsidRPr="0099428A" w:rsidTr="00DC6E5A">
        <w:trPr>
          <w:trHeight w:val="602"/>
          <w:jc w:val="center"/>
        </w:trPr>
        <w:tc>
          <w:tcPr>
            <w:tcW w:w="3686" w:type="dxa"/>
            <w:vMerge/>
            <w:shd w:val="clear" w:color="auto" w:fill="auto"/>
            <w:tcMar>
              <w:top w:w="90" w:type="dxa"/>
              <w:left w:w="90" w:type="dxa"/>
              <w:bottom w:w="90" w:type="dxa"/>
              <w:right w:w="90" w:type="dxa"/>
            </w:tcMar>
          </w:tcPr>
          <w:p w:rsidR="00DC6E5A" w:rsidRPr="0099428A" w:rsidRDefault="00DC6E5A" w:rsidP="000336A9">
            <w:pPr>
              <w:numPr>
                <w:ilvl w:val="0"/>
                <w:numId w:val="3"/>
              </w:numPr>
              <w:suppressAutoHyphens/>
              <w:autoSpaceDE w:val="0"/>
              <w:autoSpaceDN w:val="0"/>
              <w:adjustRightInd w:val="0"/>
              <w:spacing w:after="200" w:line="276" w:lineRule="auto"/>
              <w:textAlignment w:val="center"/>
              <w:rPr>
                <w:color w:val="000000"/>
                <w:sz w:val="20"/>
                <w:szCs w:val="20"/>
              </w:rPr>
            </w:pPr>
          </w:p>
        </w:tc>
        <w:tc>
          <w:tcPr>
            <w:tcW w:w="1165" w:type="dxa"/>
            <w:tcBorders>
              <w:bottom w:val="single" w:sz="4" w:space="0" w:color="000000"/>
            </w:tcBorders>
            <w:shd w:val="clear" w:color="auto" w:fill="auto"/>
            <w:tcMar>
              <w:top w:w="90" w:type="dxa"/>
              <w:left w:w="90" w:type="dxa"/>
              <w:bottom w:w="90" w:type="dxa"/>
              <w:right w:w="90" w:type="dxa"/>
            </w:tcMar>
            <w:vAlign w:val="center"/>
          </w:tcPr>
          <w:p w:rsidR="00DC6E5A" w:rsidRPr="0099428A" w:rsidRDefault="00DC6E5A" w:rsidP="000336A9">
            <w:pPr>
              <w:suppressAutoHyphens/>
              <w:autoSpaceDE w:val="0"/>
              <w:autoSpaceDN w:val="0"/>
              <w:adjustRightInd w:val="0"/>
              <w:jc w:val="center"/>
              <w:textAlignment w:val="center"/>
              <w:rPr>
                <w:color w:val="000000"/>
                <w:sz w:val="20"/>
                <w:szCs w:val="20"/>
              </w:rPr>
            </w:pPr>
            <w:r w:rsidRPr="0099428A">
              <w:rPr>
                <w:color w:val="000000"/>
                <w:sz w:val="20"/>
                <w:szCs w:val="20"/>
              </w:rPr>
              <w:t>State</w:t>
            </w:r>
          </w:p>
        </w:tc>
        <w:tc>
          <w:tcPr>
            <w:tcW w:w="1114" w:type="dxa"/>
            <w:tcBorders>
              <w:bottom w:val="single" w:sz="4" w:space="0" w:color="000000"/>
            </w:tcBorders>
            <w:shd w:val="clear" w:color="auto" w:fill="auto"/>
            <w:vAlign w:val="center"/>
          </w:tcPr>
          <w:p w:rsidR="00DC6E5A" w:rsidRPr="0099428A" w:rsidRDefault="00DC6E5A" w:rsidP="000336A9">
            <w:pPr>
              <w:suppressAutoHyphens/>
              <w:autoSpaceDE w:val="0"/>
              <w:autoSpaceDN w:val="0"/>
              <w:adjustRightInd w:val="0"/>
              <w:jc w:val="center"/>
              <w:textAlignment w:val="center"/>
              <w:rPr>
                <w:color w:val="000000"/>
                <w:sz w:val="20"/>
                <w:szCs w:val="20"/>
              </w:rPr>
            </w:pPr>
          </w:p>
        </w:tc>
        <w:tc>
          <w:tcPr>
            <w:tcW w:w="3040" w:type="dxa"/>
            <w:vMerge/>
            <w:shd w:val="clear" w:color="auto" w:fill="auto"/>
            <w:tcMar>
              <w:top w:w="90" w:type="dxa"/>
              <w:left w:w="90" w:type="dxa"/>
              <w:bottom w:w="90" w:type="dxa"/>
              <w:right w:w="90" w:type="dxa"/>
            </w:tcMar>
          </w:tcPr>
          <w:p w:rsidR="00DC6E5A" w:rsidRPr="0099428A" w:rsidRDefault="00DC6E5A" w:rsidP="000336A9">
            <w:pPr>
              <w:numPr>
                <w:ilvl w:val="0"/>
                <w:numId w:val="3"/>
              </w:numPr>
              <w:suppressAutoHyphens/>
              <w:autoSpaceDE w:val="0"/>
              <w:autoSpaceDN w:val="0"/>
              <w:adjustRightInd w:val="0"/>
              <w:spacing w:after="200" w:line="276" w:lineRule="auto"/>
              <w:textAlignment w:val="center"/>
              <w:rPr>
                <w:color w:val="000000"/>
                <w:sz w:val="20"/>
                <w:szCs w:val="20"/>
              </w:rPr>
            </w:pPr>
          </w:p>
        </w:tc>
        <w:tc>
          <w:tcPr>
            <w:tcW w:w="1547" w:type="dxa"/>
            <w:vMerge/>
            <w:shd w:val="clear" w:color="auto" w:fill="auto"/>
            <w:tcMar>
              <w:top w:w="90" w:type="dxa"/>
              <w:left w:w="90" w:type="dxa"/>
              <w:bottom w:w="90" w:type="dxa"/>
              <w:right w:w="90" w:type="dxa"/>
            </w:tcMar>
          </w:tcPr>
          <w:p w:rsidR="00DC6E5A" w:rsidRPr="0099428A" w:rsidRDefault="00DC6E5A" w:rsidP="000336A9">
            <w:pPr>
              <w:spacing w:after="200" w:line="276" w:lineRule="auto"/>
              <w:rPr>
                <w:rFonts w:eastAsia="Calibri"/>
                <w:sz w:val="20"/>
                <w:szCs w:val="20"/>
              </w:rPr>
            </w:pPr>
          </w:p>
        </w:tc>
      </w:tr>
      <w:tr w:rsidR="00DC6E5A" w:rsidRPr="0099428A" w:rsidTr="00DC6E5A">
        <w:trPr>
          <w:trHeight w:val="620"/>
          <w:jc w:val="center"/>
        </w:trPr>
        <w:tc>
          <w:tcPr>
            <w:tcW w:w="3686" w:type="dxa"/>
            <w:vMerge/>
            <w:tcBorders>
              <w:bottom w:val="single" w:sz="4" w:space="0" w:color="000000"/>
            </w:tcBorders>
            <w:shd w:val="clear" w:color="auto" w:fill="auto"/>
            <w:tcMar>
              <w:top w:w="90" w:type="dxa"/>
              <w:left w:w="90" w:type="dxa"/>
              <w:bottom w:w="90" w:type="dxa"/>
              <w:right w:w="90" w:type="dxa"/>
            </w:tcMar>
          </w:tcPr>
          <w:p w:rsidR="00DC6E5A" w:rsidRPr="0099428A" w:rsidRDefault="00DC6E5A" w:rsidP="000336A9">
            <w:pPr>
              <w:numPr>
                <w:ilvl w:val="0"/>
                <w:numId w:val="3"/>
              </w:numPr>
              <w:suppressAutoHyphens/>
              <w:autoSpaceDE w:val="0"/>
              <w:autoSpaceDN w:val="0"/>
              <w:adjustRightInd w:val="0"/>
              <w:spacing w:after="200" w:line="276" w:lineRule="auto"/>
              <w:textAlignment w:val="center"/>
              <w:rPr>
                <w:color w:val="000000"/>
                <w:sz w:val="20"/>
                <w:szCs w:val="20"/>
              </w:rPr>
            </w:pPr>
          </w:p>
        </w:tc>
        <w:tc>
          <w:tcPr>
            <w:tcW w:w="1165" w:type="dxa"/>
            <w:tcBorders>
              <w:bottom w:val="single" w:sz="4" w:space="0" w:color="000000"/>
            </w:tcBorders>
            <w:shd w:val="clear" w:color="auto" w:fill="auto"/>
            <w:tcMar>
              <w:top w:w="90" w:type="dxa"/>
              <w:left w:w="90" w:type="dxa"/>
              <w:bottom w:w="90" w:type="dxa"/>
              <w:right w:w="90" w:type="dxa"/>
            </w:tcMar>
            <w:vAlign w:val="center"/>
          </w:tcPr>
          <w:p w:rsidR="00DC6E5A" w:rsidRPr="0099428A" w:rsidRDefault="00DC6E5A" w:rsidP="000336A9">
            <w:pPr>
              <w:suppressAutoHyphens/>
              <w:autoSpaceDE w:val="0"/>
              <w:autoSpaceDN w:val="0"/>
              <w:adjustRightInd w:val="0"/>
              <w:jc w:val="center"/>
              <w:textAlignment w:val="center"/>
              <w:rPr>
                <w:color w:val="000000"/>
                <w:sz w:val="20"/>
                <w:szCs w:val="20"/>
              </w:rPr>
            </w:pPr>
            <w:r w:rsidRPr="0099428A">
              <w:rPr>
                <w:color w:val="000000"/>
                <w:sz w:val="20"/>
                <w:szCs w:val="20"/>
              </w:rPr>
              <w:t>Voter</w:t>
            </w:r>
          </w:p>
        </w:tc>
        <w:tc>
          <w:tcPr>
            <w:tcW w:w="1114" w:type="dxa"/>
            <w:tcBorders>
              <w:bottom w:val="single" w:sz="4" w:space="0" w:color="000000"/>
            </w:tcBorders>
            <w:shd w:val="clear" w:color="auto" w:fill="auto"/>
            <w:vAlign w:val="center"/>
          </w:tcPr>
          <w:p w:rsidR="00DC6E5A" w:rsidRPr="0099428A" w:rsidRDefault="00DC6E5A" w:rsidP="000336A9">
            <w:pPr>
              <w:suppressAutoHyphens/>
              <w:autoSpaceDE w:val="0"/>
              <w:autoSpaceDN w:val="0"/>
              <w:adjustRightInd w:val="0"/>
              <w:jc w:val="center"/>
              <w:textAlignment w:val="center"/>
              <w:rPr>
                <w:color w:val="000000"/>
                <w:sz w:val="20"/>
                <w:szCs w:val="20"/>
              </w:rPr>
            </w:pPr>
          </w:p>
        </w:tc>
        <w:tc>
          <w:tcPr>
            <w:tcW w:w="3040" w:type="dxa"/>
            <w:vMerge/>
            <w:tcBorders>
              <w:bottom w:val="single" w:sz="4" w:space="0" w:color="000000"/>
            </w:tcBorders>
            <w:shd w:val="clear" w:color="auto" w:fill="auto"/>
            <w:tcMar>
              <w:top w:w="90" w:type="dxa"/>
              <w:left w:w="90" w:type="dxa"/>
              <w:bottom w:w="90" w:type="dxa"/>
              <w:right w:w="90" w:type="dxa"/>
            </w:tcMar>
          </w:tcPr>
          <w:p w:rsidR="00DC6E5A" w:rsidRPr="0099428A" w:rsidRDefault="00DC6E5A" w:rsidP="000336A9">
            <w:pPr>
              <w:numPr>
                <w:ilvl w:val="0"/>
                <w:numId w:val="3"/>
              </w:numPr>
              <w:suppressAutoHyphens/>
              <w:autoSpaceDE w:val="0"/>
              <w:autoSpaceDN w:val="0"/>
              <w:adjustRightInd w:val="0"/>
              <w:spacing w:after="200" w:line="276" w:lineRule="auto"/>
              <w:textAlignment w:val="center"/>
              <w:rPr>
                <w:color w:val="000000"/>
                <w:sz w:val="20"/>
                <w:szCs w:val="20"/>
              </w:rPr>
            </w:pPr>
          </w:p>
        </w:tc>
        <w:tc>
          <w:tcPr>
            <w:tcW w:w="1547" w:type="dxa"/>
            <w:vMerge/>
            <w:tcBorders>
              <w:bottom w:val="single" w:sz="4" w:space="0" w:color="000000"/>
            </w:tcBorders>
            <w:shd w:val="clear" w:color="auto" w:fill="auto"/>
            <w:tcMar>
              <w:top w:w="90" w:type="dxa"/>
              <w:left w:w="90" w:type="dxa"/>
              <w:bottom w:w="90" w:type="dxa"/>
              <w:right w:w="90" w:type="dxa"/>
            </w:tcMar>
          </w:tcPr>
          <w:p w:rsidR="00DC6E5A" w:rsidRPr="0099428A" w:rsidRDefault="00DC6E5A" w:rsidP="000336A9">
            <w:pPr>
              <w:spacing w:after="200" w:line="276" w:lineRule="auto"/>
              <w:rPr>
                <w:rFonts w:eastAsia="Calibri"/>
                <w:sz w:val="20"/>
                <w:szCs w:val="20"/>
              </w:rPr>
            </w:pPr>
          </w:p>
        </w:tc>
      </w:tr>
    </w:tbl>
    <w:p w:rsidR="002B2962" w:rsidRPr="0099428A" w:rsidRDefault="002B2962" w:rsidP="002B2962">
      <w:pPr>
        <w:spacing w:after="200" w:line="276" w:lineRule="auto"/>
        <w:rPr>
          <w:rFonts w:eastAsia="Calibri"/>
          <w:sz w:val="22"/>
          <w:szCs w:val="22"/>
        </w:rPr>
      </w:pPr>
    </w:p>
    <w:tbl>
      <w:tblPr>
        <w:tblW w:w="10559" w:type="dxa"/>
        <w:jc w:val="center"/>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3686"/>
        <w:gridCol w:w="29"/>
        <w:gridCol w:w="1125"/>
        <w:gridCol w:w="11"/>
        <w:gridCol w:w="1114"/>
        <w:gridCol w:w="3060"/>
        <w:gridCol w:w="1534"/>
      </w:tblGrid>
      <w:tr w:rsidR="00BA318D" w:rsidRPr="0099428A" w:rsidTr="00DC6E5A">
        <w:trPr>
          <w:trHeight w:val="475"/>
          <w:jc w:val="center"/>
        </w:trPr>
        <w:tc>
          <w:tcPr>
            <w:tcW w:w="10559" w:type="dxa"/>
            <w:gridSpan w:val="7"/>
            <w:shd w:val="clear" w:color="F37174" w:fill="8DB3E2" w:themeFill="text2" w:themeFillTint="66"/>
            <w:tcMar>
              <w:top w:w="0" w:type="dxa"/>
              <w:left w:w="0" w:type="dxa"/>
              <w:bottom w:w="0" w:type="dxa"/>
              <w:right w:w="0" w:type="dxa"/>
            </w:tcMar>
            <w:vAlign w:val="center"/>
          </w:tcPr>
          <w:p w:rsidR="00BA318D" w:rsidRPr="0099428A" w:rsidRDefault="00BA318D" w:rsidP="00BA318D">
            <w:pPr>
              <w:suppressAutoHyphens/>
              <w:autoSpaceDE w:val="0"/>
              <w:autoSpaceDN w:val="0"/>
              <w:adjustRightInd w:val="0"/>
              <w:jc w:val="center"/>
              <w:textAlignment w:val="center"/>
              <w:rPr>
                <w:b/>
                <w:bCs/>
                <w:color w:val="000000"/>
                <w:sz w:val="20"/>
                <w:szCs w:val="20"/>
              </w:rPr>
            </w:pPr>
            <w:r w:rsidRPr="0099428A">
              <w:rPr>
                <w:b/>
                <w:bCs/>
                <w:color w:val="000000"/>
                <w:sz w:val="20"/>
                <w:szCs w:val="20"/>
              </w:rPr>
              <w:t xml:space="preserve">STRATEGY # </w:t>
            </w:r>
            <w:r>
              <w:rPr>
                <w:b/>
                <w:bCs/>
                <w:color w:val="000000"/>
                <w:sz w:val="20"/>
                <w:szCs w:val="20"/>
              </w:rPr>
              <w:t>2</w:t>
            </w:r>
            <w:r w:rsidRPr="0099428A">
              <w:rPr>
                <w:b/>
                <w:bCs/>
                <w:color w:val="000000"/>
                <w:sz w:val="20"/>
                <w:szCs w:val="20"/>
              </w:rPr>
              <w:t>:</w:t>
            </w:r>
          </w:p>
          <w:p w:rsidR="00BA318D" w:rsidRPr="0099428A" w:rsidRDefault="00BA318D" w:rsidP="00BA318D">
            <w:pPr>
              <w:suppressAutoHyphens/>
              <w:autoSpaceDE w:val="0"/>
              <w:autoSpaceDN w:val="0"/>
              <w:adjustRightInd w:val="0"/>
              <w:jc w:val="center"/>
              <w:textAlignment w:val="center"/>
              <w:rPr>
                <w:b/>
                <w:bCs/>
                <w:color w:val="000000"/>
                <w:sz w:val="20"/>
                <w:szCs w:val="20"/>
              </w:rPr>
            </w:pPr>
            <w:r w:rsidRPr="0099428A">
              <w:rPr>
                <w:b/>
                <w:bCs/>
                <w:color w:val="000000"/>
                <w:sz w:val="20"/>
                <w:szCs w:val="20"/>
              </w:rPr>
              <w:t>DETERMINE OPTIMAL MIX OF HOUSING TYPES</w:t>
            </w:r>
          </w:p>
        </w:tc>
      </w:tr>
      <w:tr w:rsidR="00DC6E5A" w:rsidRPr="0099428A" w:rsidTr="00DC6E5A">
        <w:trPr>
          <w:trHeight w:val="475"/>
          <w:jc w:val="center"/>
        </w:trPr>
        <w:tc>
          <w:tcPr>
            <w:tcW w:w="10559" w:type="dxa"/>
            <w:gridSpan w:val="7"/>
            <w:shd w:val="clear" w:color="F37174" w:fill="8DB3E2" w:themeFill="text2" w:themeFillTint="66"/>
            <w:tcMar>
              <w:top w:w="0" w:type="dxa"/>
              <w:left w:w="0" w:type="dxa"/>
              <w:bottom w:w="0" w:type="dxa"/>
              <w:right w:w="0" w:type="dxa"/>
            </w:tcMar>
            <w:vAlign w:val="center"/>
          </w:tcPr>
          <w:p w:rsidR="00DC6E5A" w:rsidRPr="0099428A" w:rsidRDefault="00DC6E5A" w:rsidP="00586AD6">
            <w:pPr>
              <w:suppressAutoHyphens/>
              <w:autoSpaceDE w:val="0"/>
              <w:autoSpaceDN w:val="0"/>
              <w:adjustRightInd w:val="0"/>
              <w:textAlignment w:val="center"/>
              <w:rPr>
                <w:b/>
                <w:bCs/>
                <w:color w:val="000000"/>
                <w:sz w:val="20"/>
                <w:szCs w:val="20"/>
              </w:rPr>
            </w:pPr>
            <w:r w:rsidRPr="0099428A">
              <w:rPr>
                <w:b/>
                <w:bCs/>
                <w:color w:val="000000"/>
                <w:sz w:val="20"/>
                <w:szCs w:val="20"/>
              </w:rPr>
              <w:t xml:space="preserve"> Action Step #3:  Direct Resources so that Home</w:t>
            </w:r>
            <w:r>
              <w:rPr>
                <w:b/>
                <w:bCs/>
                <w:color w:val="000000"/>
                <w:sz w:val="20"/>
                <w:szCs w:val="20"/>
              </w:rPr>
              <w:t>o</w:t>
            </w:r>
            <w:r w:rsidRPr="0099428A">
              <w:rPr>
                <w:b/>
                <w:bCs/>
                <w:color w:val="000000"/>
                <w:sz w:val="20"/>
                <w:szCs w:val="20"/>
              </w:rPr>
              <w:t>wnership</w:t>
            </w:r>
            <w:r>
              <w:rPr>
                <w:b/>
                <w:bCs/>
                <w:color w:val="000000"/>
                <w:sz w:val="20"/>
                <w:szCs w:val="20"/>
              </w:rPr>
              <w:t xml:space="preserve"> Opportunities of All Types Are Encouraged</w:t>
            </w:r>
          </w:p>
        </w:tc>
      </w:tr>
      <w:tr w:rsidR="00DC6E5A" w:rsidRPr="0099428A" w:rsidTr="00DC6E5A">
        <w:trPr>
          <w:trHeight w:val="431"/>
          <w:jc w:val="center"/>
        </w:trPr>
        <w:tc>
          <w:tcPr>
            <w:tcW w:w="3686" w:type="dxa"/>
            <w:shd w:val="clear" w:color="F37174" w:fill="8DB3E2" w:themeFill="text2" w:themeFillTint="66"/>
            <w:tcMar>
              <w:top w:w="0" w:type="dxa"/>
              <w:left w:w="0" w:type="dxa"/>
              <w:bottom w:w="0" w:type="dxa"/>
              <w:right w:w="0" w:type="dxa"/>
            </w:tcMar>
            <w:vAlign w:val="center"/>
          </w:tcPr>
          <w:p w:rsidR="00DC6E5A" w:rsidRPr="0099428A" w:rsidRDefault="00DC6E5A" w:rsidP="000336A9">
            <w:pPr>
              <w:suppressAutoHyphens/>
              <w:autoSpaceDE w:val="0"/>
              <w:autoSpaceDN w:val="0"/>
              <w:adjustRightInd w:val="0"/>
              <w:jc w:val="center"/>
              <w:textAlignment w:val="center"/>
              <w:rPr>
                <w:b/>
                <w:bCs/>
                <w:color w:val="000000"/>
                <w:sz w:val="20"/>
                <w:szCs w:val="20"/>
              </w:rPr>
            </w:pPr>
            <w:r w:rsidRPr="0099428A">
              <w:rPr>
                <w:b/>
                <w:bCs/>
                <w:color w:val="000000"/>
                <w:sz w:val="20"/>
                <w:szCs w:val="20"/>
              </w:rPr>
              <w:t>Tasks</w:t>
            </w:r>
          </w:p>
        </w:tc>
        <w:tc>
          <w:tcPr>
            <w:tcW w:w="2279" w:type="dxa"/>
            <w:gridSpan w:val="4"/>
            <w:shd w:val="clear" w:color="F37174" w:fill="8DB3E2" w:themeFill="text2" w:themeFillTint="66"/>
            <w:tcMar>
              <w:top w:w="0" w:type="dxa"/>
              <w:left w:w="0" w:type="dxa"/>
              <w:bottom w:w="0" w:type="dxa"/>
              <w:right w:w="0" w:type="dxa"/>
            </w:tcMar>
            <w:vAlign w:val="center"/>
          </w:tcPr>
          <w:p w:rsidR="00DC6E5A" w:rsidRPr="0099428A" w:rsidRDefault="00DC6E5A" w:rsidP="000336A9">
            <w:pPr>
              <w:suppressAutoHyphens/>
              <w:autoSpaceDE w:val="0"/>
              <w:autoSpaceDN w:val="0"/>
              <w:adjustRightInd w:val="0"/>
              <w:jc w:val="center"/>
              <w:textAlignment w:val="center"/>
              <w:rPr>
                <w:b/>
                <w:bCs/>
                <w:color w:val="000000"/>
                <w:sz w:val="20"/>
                <w:szCs w:val="20"/>
              </w:rPr>
            </w:pPr>
            <w:r w:rsidRPr="0099428A">
              <w:rPr>
                <w:b/>
                <w:bCs/>
                <w:color w:val="000000"/>
                <w:sz w:val="20"/>
                <w:szCs w:val="20"/>
              </w:rPr>
              <w:t>Required Approvals</w:t>
            </w:r>
          </w:p>
        </w:tc>
        <w:tc>
          <w:tcPr>
            <w:tcW w:w="3060" w:type="dxa"/>
            <w:shd w:val="clear" w:color="F37174" w:fill="8DB3E2" w:themeFill="text2" w:themeFillTint="66"/>
            <w:vAlign w:val="center"/>
          </w:tcPr>
          <w:p w:rsidR="00DC6E5A" w:rsidRPr="0099428A" w:rsidRDefault="00DC6E5A" w:rsidP="000336A9">
            <w:pPr>
              <w:suppressAutoHyphens/>
              <w:autoSpaceDE w:val="0"/>
              <w:autoSpaceDN w:val="0"/>
              <w:adjustRightInd w:val="0"/>
              <w:jc w:val="center"/>
              <w:textAlignment w:val="center"/>
              <w:rPr>
                <w:b/>
                <w:bCs/>
                <w:color w:val="000000"/>
                <w:sz w:val="20"/>
                <w:szCs w:val="20"/>
              </w:rPr>
            </w:pPr>
            <w:r w:rsidRPr="0099428A">
              <w:rPr>
                <w:b/>
                <w:bCs/>
                <w:color w:val="000000"/>
                <w:sz w:val="20"/>
                <w:szCs w:val="20"/>
              </w:rPr>
              <w:t>Measurable Outcome(s)</w:t>
            </w:r>
          </w:p>
        </w:tc>
        <w:tc>
          <w:tcPr>
            <w:tcW w:w="1534" w:type="dxa"/>
            <w:shd w:val="clear" w:color="F37174" w:fill="8DB3E2" w:themeFill="text2" w:themeFillTint="66"/>
            <w:tcMar>
              <w:top w:w="0" w:type="dxa"/>
              <w:left w:w="0" w:type="dxa"/>
              <w:bottom w:w="0" w:type="dxa"/>
              <w:right w:w="0" w:type="dxa"/>
            </w:tcMar>
            <w:vAlign w:val="center"/>
          </w:tcPr>
          <w:p w:rsidR="00DC6E5A" w:rsidRPr="0099428A" w:rsidRDefault="00DC6E5A" w:rsidP="000336A9">
            <w:pPr>
              <w:suppressAutoHyphens/>
              <w:autoSpaceDE w:val="0"/>
              <w:autoSpaceDN w:val="0"/>
              <w:adjustRightInd w:val="0"/>
              <w:jc w:val="center"/>
              <w:textAlignment w:val="center"/>
              <w:rPr>
                <w:b/>
                <w:bCs/>
                <w:color w:val="000000"/>
                <w:sz w:val="20"/>
                <w:szCs w:val="20"/>
                <w:u w:color="000000"/>
              </w:rPr>
            </w:pPr>
            <w:r w:rsidRPr="0099428A">
              <w:rPr>
                <w:b/>
                <w:bCs/>
                <w:color w:val="000000"/>
                <w:sz w:val="20"/>
                <w:szCs w:val="20"/>
                <w:u w:color="000000"/>
              </w:rPr>
              <w:t>Target Completion Date(s)</w:t>
            </w:r>
          </w:p>
        </w:tc>
      </w:tr>
      <w:tr w:rsidR="00DC6E5A" w:rsidRPr="0099428A" w:rsidTr="00DC6E5A">
        <w:trPr>
          <w:trHeight w:val="476"/>
          <w:jc w:val="center"/>
        </w:trPr>
        <w:tc>
          <w:tcPr>
            <w:tcW w:w="3686" w:type="dxa"/>
            <w:vMerge w:val="restart"/>
            <w:shd w:val="clear" w:color="auto" w:fill="auto"/>
            <w:tcMar>
              <w:top w:w="90" w:type="dxa"/>
              <w:left w:w="90" w:type="dxa"/>
              <w:bottom w:w="90" w:type="dxa"/>
              <w:right w:w="90" w:type="dxa"/>
            </w:tcMar>
          </w:tcPr>
          <w:p w:rsidR="00DC6E5A" w:rsidRPr="0099428A" w:rsidRDefault="00DC6E5A" w:rsidP="000336A9">
            <w:pPr>
              <w:numPr>
                <w:ilvl w:val="0"/>
                <w:numId w:val="3"/>
              </w:numPr>
              <w:suppressAutoHyphens/>
              <w:autoSpaceDE w:val="0"/>
              <w:autoSpaceDN w:val="0"/>
              <w:adjustRightInd w:val="0"/>
              <w:spacing w:after="200" w:line="276" w:lineRule="auto"/>
              <w:textAlignment w:val="center"/>
              <w:rPr>
                <w:color w:val="000000"/>
                <w:sz w:val="20"/>
                <w:szCs w:val="20"/>
              </w:rPr>
            </w:pPr>
            <w:r w:rsidRPr="0099428A">
              <w:rPr>
                <w:color w:val="000000"/>
                <w:sz w:val="20"/>
                <w:szCs w:val="20"/>
              </w:rPr>
              <w:t>Adopt policies and budgets that reflect assisted unit goals</w:t>
            </w:r>
          </w:p>
        </w:tc>
        <w:tc>
          <w:tcPr>
            <w:tcW w:w="1165" w:type="dxa"/>
            <w:gridSpan w:val="3"/>
            <w:shd w:val="clear" w:color="auto" w:fill="auto"/>
            <w:tcMar>
              <w:top w:w="90" w:type="dxa"/>
              <w:left w:w="90" w:type="dxa"/>
              <w:bottom w:w="90" w:type="dxa"/>
              <w:right w:w="90" w:type="dxa"/>
            </w:tcMar>
            <w:vAlign w:val="center"/>
          </w:tcPr>
          <w:p w:rsidR="00DC6E5A" w:rsidRPr="0099428A" w:rsidRDefault="00DC6E5A" w:rsidP="000336A9">
            <w:pPr>
              <w:suppressAutoHyphens/>
              <w:autoSpaceDE w:val="0"/>
              <w:autoSpaceDN w:val="0"/>
              <w:adjustRightInd w:val="0"/>
              <w:jc w:val="center"/>
              <w:textAlignment w:val="center"/>
              <w:rPr>
                <w:color w:val="000000"/>
                <w:sz w:val="20"/>
                <w:szCs w:val="20"/>
              </w:rPr>
            </w:pPr>
            <w:r w:rsidRPr="0099428A">
              <w:rPr>
                <w:color w:val="000000"/>
                <w:sz w:val="20"/>
                <w:szCs w:val="20"/>
              </w:rPr>
              <w:t>Local</w:t>
            </w:r>
          </w:p>
        </w:tc>
        <w:tc>
          <w:tcPr>
            <w:tcW w:w="1114" w:type="dxa"/>
            <w:shd w:val="clear" w:color="auto" w:fill="auto"/>
            <w:vAlign w:val="center"/>
          </w:tcPr>
          <w:p w:rsidR="00DC6E5A" w:rsidRPr="0099428A" w:rsidRDefault="00DC6E5A" w:rsidP="000336A9">
            <w:pPr>
              <w:suppressAutoHyphens/>
              <w:autoSpaceDE w:val="0"/>
              <w:autoSpaceDN w:val="0"/>
              <w:adjustRightInd w:val="0"/>
              <w:jc w:val="center"/>
              <w:textAlignment w:val="center"/>
              <w:rPr>
                <w:color w:val="000000"/>
                <w:sz w:val="20"/>
                <w:szCs w:val="20"/>
              </w:rPr>
            </w:pPr>
            <w:r w:rsidRPr="0099428A">
              <w:rPr>
                <w:color w:val="000000"/>
                <w:sz w:val="20"/>
                <w:szCs w:val="20"/>
              </w:rPr>
              <w:t>X</w:t>
            </w:r>
          </w:p>
        </w:tc>
        <w:tc>
          <w:tcPr>
            <w:tcW w:w="3060" w:type="dxa"/>
            <w:vMerge w:val="restart"/>
            <w:shd w:val="clear" w:color="auto" w:fill="auto"/>
            <w:tcMar>
              <w:top w:w="90" w:type="dxa"/>
              <w:left w:w="90" w:type="dxa"/>
              <w:bottom w:w="90" w:type="dxa"/>
              <w:right w:w="90" w:type="dxa"/>
            </w:tcMar>
          </w:tcPr>
          <w:p w:rsidR="00DC6E5A" w:rsidRPr="0099428A" w:rsidRDefault="00DC6E5A" w:rsidP="000336A9">
            <w:pPr>
              <w:numPr>
                <w:ilvl w:val="0"/>
                <w:numId w:val="3"/>
              </w:numPr>
              <w:suppressAutoHyphens/>
              <w:autoSpaceDE w:val="0"/>
              <w:autoSpaceDN w:val="0"/>
              <w:adjustRightInd w:val="0"/>
              <w:spacing w:after="200" w:line="276" w:lineRule="auto"/>
              <w:textAlignment w:val="center"/>
              <w:rPr>
                <w:color w:val="000000"/>
                <w:sz w:val="20"/>
                <w:szCs w:val="20"/>
              </w:rPr>
            </w:pPr>
            <w:r w:rsidRPr="0099428A">
              <w:rPr>
                <w:color w:val="000000"/>
                <w:sz w:val="20"/>
                <w:szCs w:val="20"/>
              </w:rPr>
              <w:t>Policies and budgets adopted with funding for homeownership projects</w:t>
            </w:r>
            <w:r>
              <w:rPr>
                <w:color w:val="000000"/>
                <w:sz w:val="20"/>
                <w:szCs w:val="20"/>
              </w:rPr>
              <w:t xml:space="preserve"> and programs.</w:t>
            </w:r>
          </w:p>
          <w:p w:rsidR="00DC6E5A" w:rsidRPr="0099428A" w:rsidRDefault="00DC6E5A" w:rsidP="000336A9">
            <w:pPr>
              <w:suppressAutoHyphens/>
              <w:autoSpaceDE w:val="0"/>
              <w:autoSpaceDN w:val="0"/>
              <w:adjustRightInd w:val="0"/>
              <w:textAlignment w:val="center"/>
              <w:rPr>
                <w:color w:val="000000"/>
                <w:sz w:val="20"/>
                <w:szCs w:val="20"/>
              </w:rPr>
            </w:pPr>
          </w:p>
        </w:tc>
        <w:tc>
          <w:tcPr>
            <w:tcW w:w="1534" w:type="dxa"/>
            <w:vMerge w:val="restart"/>
            <w:shd w:val="clear" w:color="auto" w:fill="auto"/>
            <w:tcMar>
              <w:top w:w="90" w:type="dxa"/>
              <w:left w:w="90" w:type="dxa"/>
              <w:bottom w:w="90" w:type="dxa"/>
              <w:right w:w="90" w:type="dxa"/>
            </w:tcMar>
          </w:tcPr>
          <w:p w:rsidR="00DC6E5A" w:rsidRPr="0099428A" w:rsidRDefault="00DC6E5A" w:rsidP="000336A9">
            <w:pPr>
              <w:suppressAutoHyphens/>
              <w:autoSpaceDE w:val="0"/>
              <w:autoSpaceDN w:val="0"/>
              <w:adjustRightInd w:val="0"/>
              <w:jc w:val="center"/>
              <w:textAlignment w:val="center"/>
              <w:rPr>
                <w:color w:val="000000"/>
                <w:sz w:val="20"/>
                <w:szCs w:val="20"/>
              </w:rPr>
            </w:pPr>
          </w:p>
        </w:tc>
      </w:tr>
      <w:tr w:rsidR="00DC6E5A" w:rsidRPr="0099428A" w:rsidTr="00DC6E5A">
        <w:trPr>
          <w:trHeight w:val="440"/>
          <w:jc w:val="center"/>
        </w:trPr>
        <w:tc>
          <w:tcPr>
            <w:tcW w:w="3686" w:type="dxa"/>
            <w:vMerge/>
            <w:shd w:val="clear" w:color="auto" w:fill="auto"/>
            <w:tcMar>
              <w:top w:w="90" w:type="dxa"/>
              <w:left w:w="90" w:type="dxa"/>
              <w:bottom w:w="90" w:type="dxa"/>
              <w:right w:w="90" w:type="dxa"/>
            </w:tcMar>
          </w:tcPr>
          <w:p w:rsidR="00DC6E5A" w:rsidRPr="0099428A" w:rsidRDefault="00DC6E5A" w:rsidP="000336A9">
            <w:pPr>
              <w:numPr>
                <w:ilvl w:val="0"/>
                <w:numId w:val="3"/>
              </w:numPr>
              <w:suppressAutoHyphens/>
              <w:autoSpaceDE w:val="0"/>
              <w:autoSpaceDN w:val="0"/>
              <w:adjustRightInd w:val="0"/>
              <w:spacing w:after="200" w:line="276" w:lineRule="auto"/>
              <w:textAlignment w:val="center"/>
              <w:rPr>
                <w:color w:val="000000"/>
                <w:sz w:val="20"/>
                <w:szCs w:val="20"/>
              </w:rPr>
            </w:pPr>
          </w:p>
        </w:tc>
        <w:tc>
          <w:tcPr>
            <w:tcW w:w="1165" w:type="dxa"/>
            <w:gridSpan w:val="3"/>
            <w:shd w:val="clear" w:color="auto" w:fill="auto"/>
            <w:tcMar>
              <w:top w:w="90" w:type="dxa"/>
              <w:left w:w="90" w:type="dxa"/>
              <w:bottom w:w="90" w:type="dxa"/>
              <w:right w:w="90" w:type="dxa"/>
            </w:tcMar>
            <w:vAlign w:val="center"/>
          </w:tcPr>
          <w:p w:rsidR="00DC6E5A" w:rsidRPr="0099428A" w:rsidRDefault="00DC6E5A" w:rsidP="000336A9">
            <w:pPr>
              <w:suppressAutoHyphens/>
              <w:autoSpaceDE w:val="0"/>
              <w:autoSpaceDN w:val="0"/>
              <w:adjustRightInd w:val="0"/>
              <w:jc w:val="center"/>
              <w:textAlignment w:val="center"/>
              <w:rPr>
                <w:color w:val="000000"/>
                <w:sz w:val="20"/>
                <w:szCs w:val="20"/>
              </w:rPr>
            </w:pPr>
            <w:r w:rsidRPr="0099428A">
              <w:rPr>
                <w:color w:val="000000"/>
                <w:sz w:val="20"/>
                <w:szCs w:val="20"/>
              </w:rPr>
              <w:t>State</w:t>
            </w:r>
          </w:p>
        </w:tc>
        <w:tc>
          <w:tcPr>
            <w:tcW w:w="1114" w:type="dxa"/>
            <w:shd w:val="clear" w:color="auto" w:fill="auto"/>
            <w:vAlign w:val="center"/>
          </w:tcPr>
          <w:p w:rsidR="00DC6E5A" w:rsidRPr="0099428A" w:rsidRDefault="00DC6E5A" w:rsidP="000336A9">
            <w:pPr>
              <w:suppressAutoHyphens/>
              <w:autoSpaceDE w:val="0"/>
              <w:autoSpaceDN w:val="0"/>
              <w:adjustRightInd w:val="0"/>
              <w:jc w:val="center"/>
              <w:textAlignment w:val="center"/>
              <w:rPr>
                <w:color w:val="000000"/>
                <w:sz w:val="20"/>
                <w:szCs w:val="20"/>
              </w:rPr>
            </w:pPr>
          </w:p>
        </w:tc>
        <w:tc>
          <w:tcPr>
            <w:tcW w:w="3060" w:type="dxa"/>
            <w:vMerge/>
            <w:shd w:val="clear" w:color="auto" w:fill="auto"/>
            <w:tcMar>
              <w:top w:w="90" w:type="dxa"/>
              <w:left w:w="90" w:type="dxa"/>
              <w:bottom w:w="90" w:type="dxa"/>
              <w:right w:w="90" w:type="dxa"/>
            </w:tcMar>
          </w:tcPr>
          <w:p w:rsidR="00DC6E5A" w:rsidRPr="0099428A" w:rsidRDefault="00DC6E5A" w:rsidP="000336A9">
            <w:pPr>
              <w:numPr>
                <w:ilvl w:val="0"/>
                <w:numId w:val="3"/>
              </w:numPr>
              <w:suppressAutoHyphens/>
              <w:autoSpaceDE w:val="0"/>
              <w:autoSpaceDN w:val="0"/>
              <w:adjustRightInd w:val="0"/>
              <w:spacing w:after="200" w:line="276" w:lineRule="auto"/>
              <w:textAlignment w:val="center"/>
              <w:rPr>
                <w:color w:val="000000"/>
                <w:sz w:val="20"/>
                <w:szCs w:val="20"/>
              </w:rPr>
            </w:pPr>
          </w:p>
        </w:tc>
        <w:tc>
          <w:tcPr>
            <w:tcW w:w="1534" w:type="dxa"/>
            <w:vMerge/>
            <w:shd w:val="clear" w:color="auto" w:fill="auto"/>
            <w:tcMar>
              <w:top w:w="90" w:type="dxa"/>
              <w:left w:w="90" w:type="dxa"/>
              <w:bottom w:w="90" w:type="dxa"/>
              <w:right w:w="90" w:type="dxa"/>
            </w:tcMar>
          </w:tcPr>
          <w:p w:rsidR="00DC6E5A" w:rsidRPr="0099428A" w:rsidRDefault="00DC6E5A" w:rsidP="000336A9">
            <w:pPr>
              <w:suppressAutoHyphens/>
              <w:autoSpaceDE w:val="0"/>
              <w:autoSpaceDN w:val="0"/>
              <w:adjustRightInd w:val="0"/>
              <w:jc w:val="center"/>
              <w:textAlignment w:val="center"/>
              <w:rPr>
                <w:color w:val="000000"/>
                <w:sz w:val="20"/>
                <w:szCs w:val="20"/>
              </w:rPr>
            </w:pPr>
          </w:p>
        </w:tc>
      </w:tr>
      <w:tr w:rsidR="00DC6E5A" w:rsidRPr="0099428A" w:rsidTr="00DC6E5A">
        <w:trPr>
          <w:trHeight w:val="440"/>
          <w:jc w:val="center"/>
        </w:trPr>
        <w:tc>
          <w:tcPr>
            <w:tcW w:w="3686" w:type="dxa"/>
            <w:vMerge/>
            <w:shd w:val="clear" w:color="auto" w:fill="auto"/>
            <w:tcMar>
              <w:top w:w="90" w:type="dxa"/>
              <w:left w:w="90" w:type="dxa"/>
              <w:bottom w:w="90" w:type="dxa"/>
              <w:right w:w="90" w:type="dxa"/>
            </w:tcMar>
          </w:tcPr>
          <w:p w:rsidR="00DC6E5A" w:rsidRPr="0099428A" w:rsidRDefault="00DC6E5A" w:rsidP="000336A9">
            <w:pPr>
              <w:numPr>
                <w:ilvl w:val="0"/>
                <w:numId w:val="3"/>
              </w:numPr>
              <w:suppressAutoHyphens/>
              <w:autoSpaceDE w:val="0"/>
              <w:autoSpaceDN w:val="0"/>
              <w:adjustRightInd w:val="0"/>
              <w:spacing w:after="200" w:line="276" w:lineRule="auto"/>
              <w:textAlignment w:val="center"/>
              <w:rPr>
                <w:color w:val="000000"/>
                <w:sz w:val="20"/>
                <w:szCs w:val="20"/>
              </w:rPr>
            </w:pPr>
          </w:p>
        </w:tc>
        <w:tc>
          <w:tcPr>
            <w:tcW w:w="1165" w:type="dxa"/>
            <w:gridSpan w:val="3"/>
            <w:shd w:val="clear" w:color="auto" w:fill="auto"/>
            <w:tcMar>
              <w:top w:w="90" w:type="dxa"/>
              <w:left w:w="90" w:type="dxa"/>
              <w:bottom w:w="90" w:type="dxa"/>
              <w:right w:w="90" w:type="dxa"/>
            </w:tcMar>
            <w:vAlign w:val="center"/>
          </w:tcPr>
          <w:p w:rsidR="00DC6E5A" w:rsidRPr="0099428A" w:rsidRDefault="00DC6E5A" w:rsidP="000336A9">
            <w:pPr>
              <w:suppressAutoHyphens/>
              <w:autoSpaceDE w:val="0"/>
              <w:autoSpaceDN w:val="0"/>
              <w:adjustRightInd w:val="0"/>
              <w:jc w:val="center"/>
              <w:textAlignment w:val="center"/>
              <w:rPr>
                <w:color w:val="000000"/>
                <w:sz w:val="20"/>
                <w:szCs w:val="20"/>
              </w:rPr>
            </w:pPr>
            <w:r w:rsidRPr="0099428A">
              <w:rPr>
                <w:color w:val="000000"/>
                <w:sz w:val="20"/>
                <w:szCs w:val="20"/>
              </w:rPr>
              <w:t>Voter</w:t>
            </w:r>
          </w:p>
        </w:tc>
        <w:tc>
          <w:tcPr>
            <w:tcW w:w="1114" w:type="dxa"/>
            <w:shd w:val="clear" w:color="auto" w:fill="auto"/>
            <w:vAlign w:val="center"/>
          </w:tcPr>
          <w:p w:rsidR="00DC6E5A" w:rsidRPr="0099428A" w:rsidRDefault="00DC6E5A" w:rsidP="000336A9">
            <w:pPr>
              <w:suppressAutoHyphens/>
              <w:autoSpaceDE w:val="0"/>
              <w:autoSpaceDN w:val="0"/>
              <w:adjustRightInd w:val="0"/>
              <w:jc w:val="center"/>
              <w:textAlignment w:val="center"/>
              <w:rPr>
                <w:color w:val="000000"/>
                <w:sz w:val="20"/>
                <w:szCs w:val="20"/>
              </w:rPr>
            </w:pPr>
          </w:p>
        </w:tc>
        <w:tc>
          <w:tcPr>
            <w:tcW w:w="3060" w:type="dxa"/>
            <w:vMerge/>
            <w:shd w:val="clear" w:color="auto" w:fill="auto"/>
            <w:tcMar>
              <w:top w:w="90" w:type="dxa"/>
              <w:left w:w="90" w:type="dxa"/>
              <w:bottom w:w="90" w:type="dxa"/>
              <w:right w:w="90" w:type="dxa"/>
            </w:tcMar>
          </w:tcPr>
          <w:p w:rsidR="00DC6E5A" w:rsidRPr="0099428A" w:rsidRDefault="00DC6E5A" w:rsidP="000336A9">
            <w:pPr>
              <w:numPr>
                <w:ilvl w:val="0"/>
                <w:numId w:val="3"/>
              </w:numPr>
              <w:suppressAutoHyphens/>
              <w:autoSpaceDE w:val="0"/>
              <w:autoSpaceDN w:val="0"/>
              <w:adjustRightInd w:val="0"/>
              <w:spacing w:after="200" w:line="276" w:lineRule="auto"/>
              <w:textAlignment w:val="center"/>
              <w:rPr>
                <w:color w:val="000000"/>
                <w:sz w:val="20"/>
                <w:szCs w:val="20"/>
              </w:rPr>
            </w:pPr>
          </w:p>
        </w:tc>
        <w:tc>
          <w:tcPr>
            <w:tcW w:w="1534" w:type="dxa"/>
            <w:vMerge/>
            <w:shd w:val="clear" w:color="auto" w:fill="auto"/>
            <w:tcMar>
              <w:top w:w="90" w:type="dxa"/>
              <w:left w:w="90" w:type="dxa"/>
              <w:bottom w:w="90" w:type="dxa"/>
              <w:right w:w="90" w:type="dxa"/>
            </w:tcMar>
          </w:tcPr>
          <w:p w:rsidR="00DC6E5A" w:rsidRPr="0099428A" w:rsidRDefault="00DC6E5A" w:rsidP="000336A9">
            <w:pPr>
              <w:suppressAutoHyphens/>
              <w:autoSpaceDE w:val="0"/>
              <w:autoSpaceDN w:val="0"/>
              <w:adjustRightInd w:val="0"/>
              <w:jc w:val="center"/>
              <w:textAlignment w:val="center"/>
              <w:rPr>
                <w:color w:val="000000"/>
                <w:sz w:val="20"/>
                <w:szCs w:val="20"/>
              </w:rPr>
            </w:pPr>
          </w:p>
        </w:tc>
      </w:tr>
      <w:tr w:rsidR="00DC6E5A" w:rsidRPr="0099428A" w:rsidTr="00DC6E5A">
        <w:trPr>
          <w:trHeight w:val="323"/>
          <w:jc w:val="center"/>
        </w:trPr>
        <w:tc>
          <w:tcPr>
            <w:tcW w:w="3686" w:type="dxa"/>
            <w:vMerge w:val="restart"/>
            <w:shd w:val="clear" w:color="auto" w:fill="auto"/>
            <w:tcMar>
              <w:top w:w="90" w:type="dxa"/>
              <w:left w:w="90" w:type="dxa"/>
              <w:bottom w:w="90" w:type="dxa"/>
              <w:right w:w="90" w:type="dxa"/>
            </w:tcMar>
          </w:tcPr>
          <w:p w:rsidR="00DC6E5A" w:rsidRPr="0099428A" w:rsidRDefault="00DC6E5A" w:rsidP="000336A9">
            <w:pPr>
              <w:numPr>
                <w:ilvl w:val="0"/>
                <w:numId w:val="3"/>
              </w:numPr>
              <w:suppressAutoHyphens/>
              <w:autoSpaceDE w:val="0"/>
              <w:autoSpaceDN w:val="0"/>
              <w:adjustRightInd w:val="0"/>
              <w:spacing w:after="200" w:line="276" w:lineRule="auto"/>
              <w:textAlignment w:val="center"/>
              <w:rPr>
                <w:color w:val="000000"/>
                <w:sz w:val="20"/>
                <w:szCs w:val="20"/>
              </w:rPr>
            </w:pPr>
            <w:r w:rsidRPr="0099428A">
              <w:rPr>
                <w:color w:val="000000"/>
                <w:sz w:val="20"/>
                <w:szCs w:val="20"/>
              </w:rPr>
              <w:t>Tie-in priorities to proximity to transit/employment, green building, surplus public land</w:t>
            </w:r>
          </w:p>
          <w:p w:rsidR="00DC6E5A" w:rsidRPr="0099428A" w:rsidRDefault="00DC6E5A" w:rsidP="000336A9">
            <w:pPr>
              <w:suppressAutoHyphens/>
              <w:autoSpaceDE w:val="0"/>
              <w:autoSpaceDN w:val="0"/>
              <w:adjustRightInd w:val="0"/>
              <w:textAlignment w:val="center"/>
              <w:rPr>
                <w:color w:val="000000"/>
                <w:sz w:val="20"/>
                <w:szCs w:val="20"/>
              </w:rPr>
            </w:pPr>
          </w:p>
        </w:tc>
        <w:tc>
          <w:tcPr>
            <w:tcW w:w="1165" w:type="dxa"/>
            <w:gridSpan w:val="3"/>
            <w:shd w:val="clear" w:color="auto" w:fill="auto"/>
            <w:tcMar>
              <w:top w:w="90" w:type="dxa"/>
              <w:left w:w="90" w:type="dxa"/>
              <w:bottom w:w="90" w:type="dxa"/>
              <w:right w:w="90" w:type="dxa"/>
            </w:tcMar>
            <w:vAlign w:val="center"/>
          </w:tcPr>
          <w:p w:rsidR="00DC6E5A" w:rsidRPr="0099428A" w:rsidRDefault="00DC6E5A" w:rsidP="000336A9">
            <w:pPr>
              <w:suppressAutoHyphens/>
              <w:autoSpaceDE w:val="0"/>
              <w:autoSpaceDN w:val="0"/>
              <w:adjustRightInd w:val="0"/>
              <w:jc w:val="center"/>
              <w:textAlignment w:val="center"/>
              <w:rPr>
                <w:color w:val="000000"/>
                <w:sz w:val="20"/>
                <w:szCs w:val="20"/>
              </w:rPr>
            </w:pPr>
            <w:r w:rsidRPr="0099428A">
              <w:rPr>
                <w:color w:val="000000"/>
                <w:sz w:val="20"/>
                <w:szCs w:val="20"/>
              </w:rPr>
              <w:t>Local</w:t>
            </w:r>
          </w:p>
        </w:tc>
        <w:tc>
          <w:tcPr>
            <w:tcW w:w="1114" w:type="dxa"/>
            <w:shd w:val="clear" w:color="auto" w:fill="auto"/>
            <w:vAlign w:val="center"/>
          </w:tcPr>
          <w:p w:rsidR="00DC6E5A" w:rsidRPr="0099428A" w:rsidRDefault="00DC6E5A" w:rsidP="000336A9">
            <w:pPr>
              <w:suppressAutoHyphens/>
              <w:autoSpaceDE w:val="0"/>
              <w:autoSpaceDN w:val="0"/>
              <w:adjustRightInd w:val="0"/>
              <w:jc w:val="center"/>
              <w:textAlignment w:val="center"/>
              <w:rPr>
                <w:color w:val="000000"/>
                <w:sz w:val="20"/>
                <w:szCs w:val="20"/>
              </w:rPr>
            </w:pPr>
            <w:r w:rsidRPr="0099428A">
              <w:rPr>
                <w:color w:val="000000"/>
                <w:sz w:val="20"/>
                <w:szCs w:val="20"/>
              </w:rPr>
              <w:t>X</w:t>
            </w:r>
          </w:p>
        </w:tc>
        <w:tc>
          <w:tcPr>
            <w:tcW w:w="3060" w:type="dxa"/>
            <w:vMerge w:val="restart"/>
            <w:shd w:val="clear" w:color="auto" w:fill="auto"/>
            <w:tcMar>
              <w:top w:w="90" w:type="dxa"/>
              <w:left w:w="90" w:type="dxa"/>
              <w:bottom w:w="90" w:type="dxa"/>
              <w:right w:w="90" w:type="dxa"/>
            </w:tcMar>
          </w:tcPr>
          <w:p w:rsidR="00DC6E5A" w:rsidRPr="0099428A" w:rsidRDefault="00DC6E5A" w:rsidP="000336A9">
            <w:pPr>
              <w:numPr>
                <w:ilvl w:val="0"/>
                <w:numId w:val="3"/>
              </w:numPr>
              <w:suppressAutoHyphens/>
              <w:autoSpaceDE w:val="0"/>
              <w:autoSpaceDN w:val="0"/>
              <w:adjustRightInd w:val="0"/>
              <w:spacing w:after="200" w:line="276" w:lineRule="auto"/>
              <w:textAlignment w:val="center"/>
              <w:rPr>
                <w:color w:val="000000"/>
                <w:sz w:val="20"/>
                <w:szCs w:val="20"/>
              </w:rPr>
            </w:pPr>
            <w:r w:rsidRPr="0099428A">
              <w:rPr>
                <w:color w:val="000000"/>
                <w:sz w:val="20"/>
                <w:szCs w:val="20"/>
              </w:rPr>
              <w:t>Priorities are included in adopted policies</w:t>
            </w:r>
            <w:r>
              <w:rPr>
                <w:color w:val="000000"/>
                <w:sz w:val="20"/>
                <w:szCs w:val="20"/>
              </w:rPr>
              <w:t>.</w:t>
            </w:r>
          </w:p>
        </w:tc>
        <w:tc>
          <w:tcPr>
            <w:tcW w:w="1534" w:type="dxa"/>
            <w:vMerge w:val="restart"/>
            <w:shd w:val="clear" w:color="auto" w:fill="auto"/>
            <w:tcMar>
              <w:top w:w="90" w:type="dxa"/>
              <w:left w:w="90" w:type="dxa"/>
              <w:bottom w:w="90" w:type="dxa"/>
              <w:right w:w="90" w:type="dxa"/>
            </w:tcMar>
          </w:tcPr>
          <w:p w:rsidR="00DC6E5A" w:rsidRPr="0099428A" w:rsidRDefault="00DC6E5A" w:rsidP="000336A9">
            <w:pPr>
              <w:spacing w:after="200" w:line="276" w:lineRule="auto"/>
              <w:rPr>
                <w:rFonts w:eastAsia="Calibri"/>
                <w:sz w:val="20"/>
                <w:szCs w:val="20"/>
              </w:rPr>
            </w:pPr>
          </w:p>
        </w:tc>
      </w:tr>
      <w:tr w:rsidR="00DC6E5A" w:rsidRPr="0099428A" w:rsidTr="00DC6E5A">
        <w:trPr>
          <w:trHeight w:val="548"/>
          <w:jc w:val="center"/>
        </w:trPr>
        <w:tc>
          <w:tcPr>
            <w:tcW w:w="3686" w:type="dxa"/>
            <w:vMerge/>
            <w:shd w:val="clear" w:color="auto" w:fill="auto"/>
            <w:tcMar>
              <w:top w:w="90" w:type="dxa"/>
              <w:left w:w="90" w:type="dxa"/>
              <w:bottom w:w="90" w:type="dxa"/>
              <w:right w:w="90" w:type="dxa"/>
            </w:tcMar>
          </w:tcPr>
          <w:p w:rsidR="00DC6E5A" w:rsidRPr="0099428A" w:rsidRDefault="00DC6E5A" w:rsidP="000336A9">
            <w:pPr>
              <w:numPr>
                <w:ilvl w:val="0"/>
                <w:numId w:val="3"/>
              </w:numPr>
              <w:suppressAutoHyphens/>
              <w:autoSpaceDE w:val="0"/>
              <w:autoSpaceDN w:val="0"/>
              <w:adjustRightInd w:val="0"/>
              <w:spacing w:after="200" w:line="276" w:lineRule="auto"/>
              <w:textAlignment w:val="center"/>
              <w:rPr>
                <w:color w:val="000000"/>
                <w:sz w:val="20"/>
                <w:szCs w:val="20"/>
              </w:rPr>
            </w:pPr>
          </w:p>
        </w:tc>
        <w:tc>
          <w:tcPr>
            <w:tcW w:w="1165" w:type="dxa"/>
            <w:gridSpan w:val="3"/>
            <w:shd w:val="clear" w:color="auto" w:fill="auto"/>
            <w:tcMar>
              <w:top w:w="90" w:type="dxa"/>
              <w:left w:w="90" w:type="dxa"/>
              <w:bottom w:w="90" w:type="dxa"/>
              <w:right w:w="90" w:type="dxa"/>
            </w:tcMar>
            <w:vAlign w:val="center"/>
          </w:tcPr>
          <w:p w:rsidR="00DC6E5A" w:rsidRPr="0099428A" w:rsidRDefault="00DC6E5A" w:rsidP="000336A9">
            <w:pPr>
              <w:suppressAutoHyphens/>
              <w:autoSpaceDE w:val="0"/>
              <w:autoSpaceDN w:val="0"/>
              <w:adjustRightInd w:val="0"/>
              <w:jc w:val="center"/>
              <w:textAlignment w:val="center"/>
              <w:rPr>
                <w:color w:val="000000"/>
                <w:sz w:val="20"/>
                <w:szCs w:val="20"/>
              </w:rPr>
            </w:pPr>
            <w:r w:rsidRPr="0099428A">
              <w:rPr>
                <w:color w:val="000000"/>
                <w:sz w:val="20"/>
                <w:szCs w:val="20"/>
              </w:rPr>
              <w:t>State</w:t>
            </w:r>
          </w:p>
        </w:tc>
        <w:tc>
          <w:tcPr>
            <w:tcW w:w="1114" w:type="dxa"/>
            <w:shd w:val="clear" w:color="auto" w:fill="auto"/>
            <w:vAlign w:val="center"/>
          </w:tcPr>
          <w:p w:rsidR="00DC6E5A" w:rsidRPr="0099428A" w:rsidRDefault="00DC6E5A" w:rsidP="000336A9">
            <w:pPr>
              <w:suppressAutoHyphens/>
              <w:autoSpaceDE w:val="0"/>
              <w:autoSpaceDN w:val="0"/>
              <w:adjustRightInd w:val="0"/>
              <w:jc w:val="center"/>
              <w:textAlignment w:val="center"/>
              <w:rPr>
                <w:color w:val="000000"/>
                <w:sz w:val="20"/>
                <w:szCs w:val="20"/>
              </w:rPr>
            </w:pPr>
          </w:p>
        </w:tc>
        <w:tc>
          <w:tcPr>
            <w:tcW w:w="3060" w:type="dxa"/>
            <w:vMerge/>
            <w:shd w:val="clear" w:color="auto" w:fill="auto"/>
            <w:tcMar>
              <w:top w:w="90" w:type="dxa"/>
              <w:left w:w="90" w:type="dxa"/>
              <w:bottom w:w="90" w:type="dxa"/>
              <w:right w:w="90" w:type="dxa"/>
            </w:tcMar>
          </w:tcPr>
          <w:p w:rsidR="00DC6E5A" w:rsidRPr="0099428A" w:rsidRDefault="00DC6E5A" w:rsidP="000336A9">
            <w:pPr>
              <w:numPr>
                <w:ilvl w:val="0"/>
                <w:numId w:val="3"/>
              </w:numPr>
              <w:suppressAutoHyphens/>
              <w:autoSpaceDE w:val="0"/>
              <w:autoSpaceDN w:val="0"/>
              <w:adjustRightInd w:val="0"/>
              <w:spacing w:after="200" w:line="276" w:lineRule="auto"/>
              <w:textAlignment w:val="center"/>
              <w:rPr>
                <w:color w:val="000000"/>
                <w:sz w:val="20"/>
                <w:szCs w:val="20"/>
              </w:rPr>
            </w:pPr>
          </w:p>
        </w:tc>
        <w:tc>
          <w:tcPr>
            <w:tcW w:w="1534" w:type="dxa"/>
            <w:vMerge/>
            <w:shd w:val="clear" w:color="auto" w:fill="auto"/>
            <w:tcMar>
              <w:top w:w="90" w:type="dxa"/>
              <w:left w:w="90" w:type="dxa"/>
              <w:bottom w:w="90" w:type="dxa"/>
              <w:right w:w="90" w:type="dxa"/>
            </w:tcMar>
          </w:tcPr>
          <w:p w:rsidR="00DC6E5A" w:rsidRPr="0099428A" w:rsidRDefault="00DC6E5A" w:rsidP="000336A9">
            <w:pPr>
              <w:spacing w:after="200" w:line="276" w:lineRule="auto"/>
              <w:rPr>
                <w:rFonts w:eastAsia="Calibri"/>
                <w:sz w:val="20"/>
                <w:szCs w:val="20"/>
              </w:rPr>
            </w:pPr>
          </w:p>
        </w:tc>
      </w:tr>
      <w:tr w:rsidR="00DC6E5A" w:rsidRPr="0099428A" w:rsidTr="00DC6E5A">
        <w:trPr>
          <w:trHeight w:val="440"/>
          <w:jc w:val="center"/>
        </w:trPr>
        <w:tc>
          <w:tcPr>
            <w:tcW w:w="3686" w:type="dxa"/>
            <w:vMerge/>
            <w:shd w:val="clear" w:color="auto" w:fill="auto"/>
            <w:tcMar>
              <w:top w:w="90" w:type="dxa"/>
              <w:left w:w="90" w:type="dxa"/>
              <w:bottom w:w="90" w:type="dxa"/>
              <w:right w:w="90" w:type="dxa"/>
            </w:tcMar>
          </w:tcPr>
          <w:p w:rsidR="00DC6E5A" w:rsidRPr="0099428A" w:rsidRDefault="00DC6E5A" w:rsidP="000336A9">
            <w:pPr>
              <w:numPr>
                <w:ilvl w:val="0"/>
                <w:numId w:val="3"/>
              </w:numPr>
              <w:suppressAutoHyphens/>
              <w:autoSpaceDE w:val="0"/>
              <w:autoSpaceDN w:val="0"/>
              <w:adjustRightInd w:val="0"/>
              <w:spacing w:after="200" w:line="276" w:lineRule="auto"/>
              <w:textAlignment w:val="center"/>
              <w:rPr>
                <w:color w:val="000000"/>
                <w:sz w:val="20"/>
                <w:szCs w:val="20"/>
              </w:rPr>
            </w:pPr>
          </w:p>
        </w:tc>
        <w:tc>
          <w:tcPr>
            <w:tcW w:w="1165" w:type="dxa"/>
            <w:gridSpan w:val="3"/>
            <w:shd w:val="clear" w:color="auto" w:fill="auto"/>
            <w:tcMar>
              <w:top w:w="90" w:type="dxa"/>
              <w:left w:w="90" w:type="dxa"/>
              <w:bottom w:w="90" w:type="dxa"/>
              <w:right w:w="90" w:type="dxa"/>
            </w:tcMar>
            <w:vAlign w:val="center"/>
          </w:tcPr>
          <w:p w:rsidR="00DC6E5A" w:rsidRPr="0099428A" w:rsidRDefault="00DC6E5A" w:rsidP="000336A9">
            <w:pPr>
              <w:suppressAutoHyphens/>
              <w:autoSpaceDE w:val="0"/>
              <w:autoSpaceDN w:val="0"/>
              <w:adjustRightInd w:val="0"/>
              <w:jc w:val="center"/>
              <w:textAlignment w:val="center"/>
              <w:rPr>
                <w:color w:val="000000"/>
                <w:sz w:val="20"/>
                <w:szCs w:val="20"/>
              </w:rPr>
            </w:pPr>
            <w:r w:rsidRPr="0099428A">
              <w:rPr>
                <w:color w:val="000000"/>
                <w:sz w:val="20"/>
                <w:szCs w:val="20"/>
              </w:rPr>
              <w:t>Voter</w:t>
            </w:r>
          </w:p>
        </w:tc>
        <w:tc>
          <w:tcPr>
            <w:tcW w:w="1114" w:type="dxa"/>
            <w:shd w:val="clear" w:color="auto" w:fill="auto"/>
            <w:vAlign w:val="center"/>
          </w:tcPr>
          <w:p w:rsidR="00DC6E5A" w:rsidRPr="0099428A" w:rsidRDefault="00DC6E5A" w:rsidP="000336A9">
            <w:pPr>
              <w:suppressAutoHyphens/>
              <w:autoSpaceDE w:val="0"/>
              <w:autoSpaceDN w:val="0"/>
              <w:adjustRightInd w:val="0"/>
              <w:jc w:val="center"/>
              <w:textAlignment w:val="center"/>
              <w:rPr>
                <w:color w:val="000000"/>
                <w:sz w:val="20"/>
                <w:szCs w:val="20"/>
              </w:rPr>
            </w:pPr>
          </w:p>
        </w:tc>
        <w:tc>
          <w:tcPr>
            <w:tcW w:w="3060" w:type="dxa"/>
            <w:vMerge/>
            <w:shd w:val="clear" w:color="auto" w:fill="auto"/>
            <w:tcMar>
              <w:top w:w="90" w:type="dxa"/>
              <w:left w:w="90" w:type="dxa"/>
              <w:bottom w:w="90" w:type="dxa"/>
              <w:right w:w="90" w:type="dxa"/>
            </w:tcMar>
          </w:tcPr>
          <w:p w:rsidR="00DC6E5A" w:rsidRPr="0099428A" w:rsidRDefault="00DC6E5A" w:rsidP="000336A9">
            <w:pPr>
              <w:numPr>
                <w:ilvl w:val="0"/>
                <w:numId w:val="3"/>
              </w:numPr>
              <w:suppressAutoHyphens/>
              <w:autoSpaceDE w:val="0"/>
              <w:autoSpaceDN w:val="0"/>
              <w:adjustRightInd w:val="0"/>
              <w:spacing w:after="200" w:line="276" w:lineRule="auto"/>
              <w:textAlignment w:val="center"/>
              <w:rPr>
                <w:color w:val="000000"/>
                <w:sz w:val="20"/>
                <w:szCs w:val="20"/>
              </w:rPr>
            </w:pPr>
          </w:p>
        </w:tc>
        <w:tc>
          <w:tcPr>
            <w:tcW w:w="1534" w:type="dxa"/>
            <w:vMerge/>
            <w:shd w:val="clear" w:color="auto" w:fill="auto"/>
            <w:tcMar>
              <w:top w:w="90" w:type="dxa"/>
              <w:left w:w="90" w:type="dxa"/>
              <w:bottom w:w="90" w:type="dxa"/>
              <w:right w:w="90" w:type="dxa"/>
            </w:tcMar>
          </w:tcPr>
          <w:p w:rsidR="00DC6E5A" w:rsidRPr="0099428A" w:rsidRDefault="00DC6E5A" w:rsidP="000336A9">
            <w:pPr>
              <w:spacing w:after="200" w:line="276" w:lineRule="auto"/>
              <w:rPr>
                <w:rFonts w:eastAsia="Calibri"/>
                <w:sz w:val="20"/>
                <w:szCs w:val="20"/>
              </w:rPr>
            </w:pPr>
          </w:p>
        </w:tc>
      </w:tr>
      <w:tr w:rsidR="00DC6E5A" w:rsidRPr="0099428A" w:rsidTr="00DC6E5A">
        <w:trPr>
          <w:trHeight w:val="386"/>
          <w:jc w:val="center"/>
        </w:trPr>
        <w:tc>
          <w:tcPr>
            <w:tcW w:w="3686" w:type="dxa"/>
            <w:vMerge w:val="restart"/>
            <w:shd w:val="clear" w:color="auto" w:fill="auto"/>
            <w:tcMar>
              <w:top w:w="90" w:type="dxa"/>
              <w:left w:w="90" w:type="dxa"/>
              <w:bottom w:w="90" w:type="dxa"/>
              <w:right w:w="90" w:type="dxa"/>
            </w:tcMar>
          </w:tcPr>
          <w:p w:rsidR="00DC6E5A" w:rsidRPr="0099428A" w:rsidRDefault="00DC6E5A" w:rsidP="000336A9">
            <w:pPr>
              <w:numPr>
                <w:ilvl w:val="0"/>
                <w:numId w:val="3"/>
              </w:numPr>
              <w:suppressAutoHyphens/>
              <w:autoSpaceDE w:val="0"/>
              <w:autoSpaceDN w:val="0"/>
              <w:adjustRightInd w:val="0"/>
              <w:spacing w:after="200" w:line="276" w:lineRule="auto"/>
              <w:textAlignment w:val="center"/>
              <w:rPr>
                <w:color w:val="000000"/>
                <w:sz w:val="20"/>
                <w:szCs w:val="20"/>
              </w:rPr>
            </w:pPr>
            <w:r w:rsidRPr="0099428A">
              <w:rPr>
                <w:color w:val="000000"/>
                <w:sz w:val="20"/>
                <w:szCs w:val="20"/>
              </w:rPr>
              <w:t xml:space="preserve">Investigate and design effective home ownership assistance programs </w:t>
            </w:r>
          </w:p>
          <w:p w:rsidR="00DC6E5A" w:rsidRPr="0099428A" w:rsidRDefault="00DC6E5A" w:rsidP="000336A9">
            <w:pPr>
              <w:suppressAutoHyphens/>
              <w:autoSpaceDE w:val="0"/>
              <w:autoSpaceDN w:val="0"/>
              <w:adjustRightInd w:val="0"/>
              <w:textAlignment w:val="center"/>
              <w:rPr>
                <w:color w:val="000000"/>
                <w:sz w:val="20"/>
                <w:szCs w:val="20"/>
              </w:rPr>
            </w:pPr>
          </w:p>
        </w:tc>
        <w:tc>
          <w:tcPr>
            <w:tcW w:w="1165" w:type="dxa"/>
            <w:gridSpan w:val="3"/>
            <w:tcBorders>
              <w:bottom w:val="single" w:sz="4" w:space="0" w:color="000000"/>
            </w:tcBorders>
            <w:shd w:val="clear" w:color="auto" w:fill="auto"/>
            <w:tcMar>
              <w:top w:w="90" w:type="dxa"/>
              <w:left w:w="90" w:type="dxa"/>
              <w:bottom w:w="90" w:type="dxa"/>
              <w:right w:w="90" w:type="dxa"/>
            </w:tcMar>
            <w:vAlign w:val="center"/>
          </w:tcPr>
          <w:p w:rsidR="00DC6E5A" w:rsidRPr="0099428A" w:rsidRDefault="00DC6E5A" w:rsidP="000336A9">
            <w:pPr>
              <w:suppressAutoHyphens/>
              <w:autoSpaceDE w:val="0"/>
              <w:autoSpaceDN w:val="0"/>
              <w:adjustRightInd w:val="0"/>
              <w:jc w:val="center"/>
              <w:textAlignment w:val="center"/>
              <w:rPr>
                <w:color w:val="000000"/>
                <w:sz w:val="20"/>
                <w:szCs w:val="20"/>
              </w:rPr>
            </w:pPr>
            <w:r w:rsidRPr="0099428A">
              <w:rPr>
                <w:color w:val="000000"/>
                <w:sz w:val="20"/>
                <w:szCs w:val="20"/>
              </w:rPr>
              <w:t>Local</w:t>
            </w:r>
          </w:p>
        </w:tc>
        <w:tc>
          <w:tcPr>
            <w:tcW w:w="1114" w:type="dxa"/>
            <w:tcBorders>
              <w:bottom w:val="single" w:sz="4" w:space="0" w:color="000000"/>
            </w:tcBorders>
            <w:shd w:val="clear" w:color="auto" w:fill="auto"/>
            <w:vAlign w:val="center"/>
          </w:tcPr>
          <w:p w:rsidR="00DC6E5A" w:rsidRPr="0099428A" w:rsidRDefault="00DC6E5A" w:rsidP="000336A9">
            <w:pPr>
              <w:suppressAutoHyphens/>
              <w:autoSpaceDE w:val="0"/>
              <w:autoSpaceDN w:val="0"/>
              <w:adjustRightInd w:val="0"/>
              <w:jc w:val="center"/>
              <w:textAlignment w:val="center"/>
              <w:rPr>
                <w:color w:val="000000"/>
                <w:sz w:val="20"/>
                <w:szCs w:val="20"/>
              </w:rPr>
            </w:pPr>
            <w:r w:rsidRPr="0099428A">
              <w:rPr>
                <w:color w:val="000000"/>
                <w:sz w:val="20"/>
                <w:szCs w:val="20"/>
              </w:rPr>
              <w:t>X</w:t>
            </w:r>
          </w:p>
        </w:tc>
        <w:tc>
          <w:tcPr>
            <w:tcW w:w="3060" w:type="dxa"/>
            <w:vMerge w:val="restart"/>
            <w:shd w:val="clear" w:color="auto" w:fill="auto"/>
            <w:tcMar>
              <w:top w:w="90" w:type="dxa"/>
              <w:left w:w="90" w:type="dxa"/>
              <w:bottom w:w="90" w:type="dxa"/>
              <w:right w:w="90" w:type="dxa"/>
            </w:tcMar>
          </w:tcPr>
          <w:p w:rsidR="00DC6E5A" w:rsidRPr="0099428A" w:rsidRDefault="00DC6E5A" w:rsidP="000336A9">
            <w:pPr>
              <w:numPr>
                <w:ilvl w:val="0"/>
                <w:numId w:val="3"/>
              </w:numPr>
              <w:suppressAutoHyphens/>
              <w:autoSpaceDE w:val="0"/>
              <w:autoSpaceDN w:val="0"/>
              <w:adjustRightInd w:val="0"/>
              <w:spacing w:after="200" w:line="276" w:lineRule="auto"/>
              <w:textAlignment w:val="center"/>
              <w:rPr>
                <w:color w:val="000000"/>
                <w:sz w:val="20"/>
                <w:szCs w:val="20"/>
              </w:rPr>
            </w:pPr>
            <w:r w:rsidRPr="0099428A">
              <w:rPr>
                <w:color w:val="000000"/>
                <w:sz w:val="20"/>
                <w:szCs w:val="20"/>
              </w:rPr>
              <w:t>Homeownership programs are established</w:t>
            </w:r>
            <w:r>
              <w:rPr>
                <w:color w:val="000000"/>
                <w:sz w:val="20"/>
                <w:szCs w:val="20"/>
              </w:rPr>
              <w:t>.</w:t>
            </w:r>
          </w:p>
          <w:p w:rsidR="00DC6E5A" w:rsidRPr="0099428A" w:rsidRDefault="00DC6E5A" w:rsidP="000336A9">
            <w:pPr>
              <w:suppressAutoHyphens/>
              <w:autoSpaceDE w:val="0"/>
              <w:autoSpaceDN w:val="0"/>
              <w:adjustRightInd w:val="0"/>
              <w:textAlignment w:val="center"/>
              <w:rPr>
                <w:color w:val="000000"/>
                <w:sz w:val="20"/>
                <w:szCs w:val="20"/>
              </w:rPr>
            </w:pPr>
          </w:p>
          <w:p w:rsidR="00DC6E5A" w:rsidRPr="0099428A" w:rsidRDefault="00DC6E5A" w:rsidP="000336A9">
            <w:pPr>
              <w:suppressAutoHyphens/>
              <w:autoSpaceDE w:val="0"/>
              <w:autoSpaceDN w:val="0"/>
              <w:adjustRightInd w:val="0"/>
              <w:textAlignment w:val="center"/>
              <w:rPr>
                <w:color w:val="000000"/>
                <w:sz w:val="20"/>
                <w:szCs w:val="20"/>
              </w:rPr>
            </w:pPr>
          </w:p>
        </w:tc>
        <w:tc>
          <w:tcPr>
            <w:tcW w:w="1534" w:type="dxa"/>
            <w:vMerge w:val="restart"/>
            <w:shd w:val="clear" w:color="auto" w:fill="auto"/>
            <w:tcMar>
              <w:top w:w="90" w:type="dxa"/>
              <w:left w:w="90" w:type="dxa"/>
              <w:bottom w:w="90" w:type="dxa"/>
              <w:right w:w="90" w:type="dxa"/>
            </w:tcMar>
          </w:tcPr>
          <w:p w:rsidR="00DC6E5A" w:rsidRPr="0099428A" w:rsidRDefault="00DC6E5A" w:rsidP="000336A9">
            <w:pPr>
              <w:spacing w:after="200" w:line="276" w:lineRule="auto"/>
              <w:rPr>
                <w:rFonts w:eastAsia="Calibri"/>
                <w:sz w:val="20"/>
                <w:szCs w:val="20"/>
              </w:rPr>
            </w:pPr>
          </w:p>
        </w:tc>
      </w:tr>
      <w:tr w:rsidR="00DC6E5A" w:rsidRPr="0099428A" w:rsidTr="00DC6E5A">
        <w:trPr>
          <w:trHeight w:val="350"/>
          <w:jc w:val="center"/>
        </w:trPr>
        <w:tc>
          <w:tcPr>
            <w:tcW w:w="3686" w:type="dxa"/>
            <w:vMerge/>
            <w:shd w:val="clear" w:color="auto" w:fill="auto"/>
            <w:tcMar>
              <w:top w:w="90" w:type="dxa"/>
              <w:left w:w="90" w:type="dxa"/>
              <w:bottom w:w="90" w:type="dxa"/>
              <w:right w:w="90" w:type="dxa"/>
            </w:tcMar>
          </w:tcPr>
          <w:p w:rsidR="00DC6E5A" w:rsidRPr="0099428A" w:rsidRDefault="00DC6E5A" w:rsidP="000336A9">
            <w:pPr>
              <w:numPr>
                <w:ilvl w:val="0"/>
                <w:numId w:val="3"/>
              </w:numPr>
              <w:suppressAutoHyphens/>
              <w:autoSpaceDE w:val="0"/>
              <w:autoSpaceDN w:val="0"/>
              <w:adjustRightInd w:val="0"/>
              <w:spacing w:after="200" w:line="276" w:lineRule="auto"/>
              <w:textAlignment w:val="center"/>
              <w:rPr>
                <w:color w:val="000000"/>
                <w:sz w:val="20"/>
                <w:szCs w:val="20"/>
              </w:rPr>
            </w:pPr>
          </w:p>
        </w:tc>
        <w:tc>
          <w:tcPr>
            <w:tcW w:w="1165" w:type="dxa"/>
            <w:gridSpan w:val="3"/>
            <w:tcBorders>
              <w:bottom w:val="single" w:sz="4" w:space="0" w:color="000000"/>
            </w:tcBorders>
            <w:shd w:val="clear" w:color="auto" w:fill="auto"/>
            <w:tcMar>
              <w:top w:w="90" w:type="dxa"/>
              <w:left w:w="90" w:type="dxa"/>
              <w:bottom w:w="90" w:type="dxa"/>
              <w:right w:w="90" w:type="dxa"/>
            </w:tcMar>
            <w:vAlign w:val="center"/>
          </w:tcPr>
          <w:p w:rsidR="00DC6E5A" w:rsidRPr="0099428A" w:rsidRDefault="00DC6E5A" w:rsidP="000336A9">
            <w:pPr>
              <w:suppressAutoHyphens/>
              <w:autoSpaceDE w:val="0"/>
              <w:autoSpaceDN w:val="0"/>
              <w:adjustRightInd w:val="0"/>
              <w:jc w:val="center"/>
              <w:textAlignment w:val="center"/>
              <w:rPr>
                <w:color w:val="000000"/>
                <w:sz w:val="20"/>
                <w:szCs w:val="20"/>
              </w:rPr>
            </w:pPr>
            <w:r w:rsidRPr="0099428A">
              <w:rPr>
                <w:color w:val="000000"/>
                <w:sz w:val="20"/>
                <w:szCs w:val="20"/>
              </w:rPr>
              <w:t>State</w:t>
            </w:r>
          </w:p>
        </w:tc>
        <w:tc>
          <w:tcPr>
            <w:tcW w:w="1114" w:type="dxa"/>
            <w:tcBorders>
              <w:bottom w:val="single" w:sz="4" w:space="0" w:color="000000"/>
            </w:tcBorders>
            <w:shd w:val="clear" w:color="auto" w:fill="auto"/>
            <w:vAlign w:val="center"/>
          </w:tcPr>
          <w:p w:rsidR="00DC6E5A" w:rsidRPr="0099428A" w:rsidRDefault="00DC6E5A" w:rsidP="000336A9">
            <w:pPr>
              <w:suppressAutoHyphens/>
              <w:autoSpaceDE w:val="0"/>
              <w:autoSpaceDN w:val="0"/>
              <w:adjustRightInd w:val="0"/>
              <w:jc w:val="center"/>
              <w:textAlignment w:val="center"/>
              <w:rPr>
                <w:color w:val="000000"/>
                <w:sz w:val="20"/>
                <w:szCs w:val="20"/>
              </w:rPr>
            </w:pPr>
          </w:p>
        </w:tc>
        <w:tc>
          <w:tcPr>
            <w:tcW w:w="3060" w:type="dxa"/>
            <w:vMerge/>
            <w:shd w:val="clear" w:color="auto" w:fill="auto"/>
            <w:tcMar>
              <w:top w:w="90" w:type="dxa"/>
              <w:left w:w="90" w:type="dxa"/>
              <w:bottom w:w="90" w:type="dxa"/>
              <w:right w:w="90" w:type="dxa"/>
            </w:tcMar>
          </w:tcPr>
          <w:p w:rsidR="00DC6E5A" w:rsidRPr="0099428A" w:rsidRDefault="00DC6E5A" w:rsidP="000336A9">
            <w:pPr>
              <w:numPr>
                <w:ilvl w:val="0"/>
                <w:numId w:val="3"/>
              </w:numPr>
              <w:suppressAutoHyphens/>
              <w:autoSpaceDE w:val="0"/>
              <w:autoSpaceDN w:val="0"/>
              <w:adjustRightInd w:val="0"/>
              <w:spacing w:after="200" w:line="276" w:lineRule="auto"/>
              <w:textAlignment w:val="center"/>
              <w:rPr>
                <w:color w:val="000000"/>
                <w:sz w:val="20"/>
                <w:szCs w:val="20"/>
              </w:rPr>
            </w:pPr>
          </w:p>
        </w:tc>
        <w:tc>
          <w:tcPr>
            <w:tcW w:w="1534" w:type="dxa"/>
            <w:vMerge/>
            <w:shd w:val="clear" w:color="auto" w:fill="auto"/>
            <w:tcMar>
              <w:top w:w="90" w:type="dxa"/>
              <w:left w:w="90" w:type="dxa"/>
              <w:bottom w:w="90" w:type="dxa"/>
              <w:right w:w="90" w:type="dxa"/>
            </w:tcMar>
          </w:tcPr>
          <w:p w:rsidR="00DC6E5A" w:rsidRPr="0099428A" w:rsidRDefault="00DC6E5A" w:rsidP="000336A9">
            <w:pPr>
              <w:spacing w:after="200" w:line="276" w:lineRule="auto"/>
              <w:rPr>
                <w:rFonts w:eastAsia="Calibri"/>
                <w:sz w:val="20"/>
                <w:szCs w:val="20"/>
              </w:rPr>
            </w:pPr>
          </w:p>
        </w:tc>
      </w:tr>
      <w:tr w:rsidR="00DC6E5A" w:rsidRPr="0099428A" w:rsidTr="00DC6E5A">
        <w:trPr>
          <w:trHeight w:val="377"/>
          <w:jc w:val="center"/>
        </w:trPr>
        <w:tc>
          <w:tcPr>
            <w:tcW w:w="3686" w:type="dxa"/>
            <w:vMerge/>
            <w:tcBorders>
              <w:bottom w:val="single" w:sz="4" w:space="0" w:color="000000"/>
            </w:tcBorders>
            <w:shd w:val="clear" w:color="auto" w:fill="auto"/>
            <w:tcMar>
              <w:top w:w="90" w:type="dxa"/>
              <w:left w:w="90" w:type="dxa"/>
              <w:bottom w:w="90" w:type="dxa"/>
              <w:right w:w="90" w:type="dxa"/>
            </w:tcMar>
          </w:tcPr>
          <w:p w:rsidR="00DC6E5A" w:rsidRPr="0099428A" w:rsidRDefault="00DC6E5A" w:rsidP="000336A9">
            <w:pPr>
              <w:numPr>
                <w:ilvl w:val="0"/>
                <w:numId w:val="3"/>
              </w:numPr>
              <w:suppressAutoHyphens/>
              <w:autoSpaceDE w:val="0"/>
              <w:autoSpaceDN w:val="0"/>
              <w:adjustRightInd w:val="0"/>
              <w:spacing w:after="200" w:line="276" w:lineRule="auto"/>
              <w:textAlignment w:val="center"/>
              <w:rPr>
                <w:color w:val="000000"/>
                <w:sz w:val="20"/>
                <w:szCs w:val="20"/>
              </w:rPr>
            </w:pPr>
          </w:p>
        </w:tc>
        <w:tc>
          <w:tcPr>
            <w:tcW w:w="1165" w:type="dxa"/>
            <w:gridSpan w:val="3"/>
            <w:tcBorders>
              <w:bottom w:val="single" w:sz="4" w:space="0" w:color="000000"/>
            </w:tcBorders>
            <w:shd w:val="clear" w:color="auto" w:fill="auto"/>
            <w:tcMar>
              <w:top w:w="90" w:type="dxa"/>
              <w:left w:w="90" w:type="dxa"/>
              <w:bottom w:w="90" w:type="dxa"/>
              <w:right w:w="90" w:type="dxa"/>
            </w:tcMar>
            <w:vAlign w:val="center"/>
          </w:tcPr>
          <w:p w:rsidR="00DC6E5A" w:rsidRPr="0099428A" w:rsidRDefault="00DC6E5A" w:rsidP="000336A9">
            <w:pPr>
              <w:suppressAutoHyphens/>
              <w:autoSpaceDE w:val="0"/>
              <w:autoSpaceDN w:val="0"/>
              <w:adjustRightInd w:val="0"/>
              <w:jc w:val="center"/>
              <w:textAlignment w:val="center"/>
              <w:rPr>
                <w:color w:val="000000"/>
                <w:sz w:val="20"/>
                <w:szCs w:val="20"/>
              </w:rPr>
            </w:pPr>
            <w:r w:rsidRPr="0099428A">
              <w:rPr>
                <w:color w:val="000000"/>
                <w:sz w:val="20"/>
                <w:szCs w:val="20"/>
              </w:rPr>
              <w:t>Voter</w:t>
            </w:r>
          </w:p>
        </w:tc>
        <w:tc>
          <w:tcPr>
            <w:tcW w:w="1114" w:type="dxa"/>
            <w:tcBorders>
              <w:bottom w:val="single" w:sz="4" w:space="0" w:color="000000"/>
            </w:tcBorders>
            <w:shd w:val="clear" w:color="auto" w:fill="auto"/>
            <w:vAlign w:val="center"/>
          </w:tcPr>
          <w:p w:rsidR="00DC6E5A" w:rsidRPr="0099428A" w:rsidRDefault="00DC6E5A" w:rsidP="000336A9">
            <w:pPr>
              <w:suppressAutoHyphens/>
              <w:autoSpaceDE w:val="0"/>
              <w:autoSpaceDN w:val="0"/>
              <w:adjustRightInd w:val="0"/>
              <w:jc w:val="center"/>
              <w:textAlignment w:val="center"/>
              <w:rPr>
                <w:color w:val="000000"/>
                <w:sz w:val="20"/>
                <w:szCs w:val="20"/>
              </w:rPr>
            </w:pPr>
          </w:p>
        </w:tc>
        <w:tc>
          <w:tcPr>
            <w:tcW w:w="3060" w:type="dxa"/>
            <w:vMerge/>
            <w:tcBorders>
              <w:bottom w:val="single" w:sz="4" w:space="0" w:color="000000"/>
            </w:tcBorders>
            <w:shd w:val="clear" w:color="auto" w:fill="auto"/>
            <w:tcMar>
              <w:top w:w="90" w:type="dxa"/>
              <w:left w:w="90" w:type="dxa"/>
              <w:bottom w:w="90" w:type="dxa"/>
              <w:right w:w="90" w:type="dxa"/>
            </w:tcMar>
          </w:tcPr>
          <w:p w:rsidR="00DC6E5A" w:rsidRPr="0099428A" w:rsidRDefault="00DC6E5A" w:rsidP="000336A9">
            <w:pPr>
              <w:numPr>
                <w:ilvl w:val="0"/>
                <w:numId w:val="3"/>
              </w:numPr>
              <w:suppressAutoHyphens/>
              <w:autoSpaceDE w:val="0"/>
              <w:autoSpaceDN w:val="0"/>
              <w:adjustRightInd w:val="0"/>
              <w:spacing w:after="200" w:line="276" w:lineRule="auto"/>
              <w:textAlignment w:val="center"/>
              <w:rPr>
                <w:color w:val="000000"/>
                <w:sz w:val="20"/>
                <w:szCs w:val="20"/>
              </w:rPr>
            </w:pPr>
          </w:p>
        </w:tc>
        <w:tc>
          <w:tcPr>
            <w:tcW w:w="1534" w:type="dxa"/>
            <w:vMerge/>
            <w:tcBorders>
              <w:bottom w:val="single" w:sz="4" w:space="0" w:color="000000"/>
            </w:tcBorders>
            <w:shd w:val="clear" w:color="auto" w:fill="auto"/>
            <w:tcMar>
              <w:top w:w="90" w:type="dxa"/>
              <w:left w:w="90" w:type="dxa"/>
              <w:bottom w:w="90" w:type="dxa"/>
              <w:right w:w="90" w:type="dxa"/>
            </w:tcMar>
          </w:tcPr>
          <w:p w:rsidR="00DC6E5A" w:rsidRPr="0099428A" w:rsidRDefault="00DC6E5A" w:rsidP="000336A9">
            <w:pPr>
              <w:spacing w:after="200" w:line="276" w:lineRule="auto"/>
              <w:rPr>
                <w:rFonts w:eastAsia="Calibri"/>
                <w:sz w:val="20"/>
                <w:szCs w:val="20"/>
              </w:rPr>
            </w:pPr>
          </w:p>
        </w:tc>
      </w:tr>
      <w:tr w:rsidR="00DC6E5A" w:rsidRPr="0099428A" w:rsidTr="00DC6E5A">
        <w:trPr>
          <w:trHeight w:val="475"/>
          <w:jc w:val="center"/>
        </w:trPr>
        <w:tc>
          <w:tcPr>
            <w:tcW w:w="10559" w:type="dxa"/>
            <w:gridSpan w:val="7"/>
            <w:shd w:val="clear" w:color="F37174" w:fill="8DB3E2" w:themeFill="text2" w:themeFillTint="66"/>
            <w:tcMar>
              <w:top w:w="0" w:type="dxa"/>
              <w:left w:w="0" w:type="dxa"/>
              <w:bottom w:w="0" w:type="dxa"/>
              <w:right w:w="0" w:type="dxa"/>
            </w:tcMar>
            <w:vAlign w:val="center"/>
          </w:tcPr>
          <w:p w:rsidR="00DC6E5A" w:rsidRPr="0099428A" w:rsidRDefault="00DC6E5A" w:rsidP="00586AD6">
            <w:pPr>
              <w:spacing w:after="200" w:line="276" w:lineRule="auto"/>
              <w:rPr>
                <w:rFonts w:eastAsia="Calibri"/>
                <w:b/>
                <w:bCs/>
                <w:sz w:val="20"/>
                <w:szCs w:val="20"/>
              </w:rPr>
            </w:pPr>
            <w:r w:rsidRPr="0099428A">
              <w:rPr>
                <w:rFonts w:eastAsia="Calibri"/>
                <w:b/>
                <w:bCs/>
                <w:sz w:val="20"/>
                <w:szCs w:val="20"/>
              </w:rPr>
              <w:t xml:space="preserve"> Action Step #4:  Target a Mix of Households Including Workforce, Special Needs and Seniors</w:t>
            </w:r>
          </w:p>
        </w:tc>
      </w:tr>
      <w:tr w:rsidR="00DC6E5A" w:rsidRPr="0099428A" w:rsidTr="00DC6E5A">
        <w:trPr>
          <w:trHeight w:val="503"/>
          <w:jc w:val="center"/>
        </w:trPr>
        <w:tc>
          <w:tcPr>
            <w:tcW w:w="3715" w:type="dxa"/>
            <w:gridSpan w:val="2"/>
            <w:shd w:val="clear" w:color="F37174" w:fill="8DB3E2" w:themeFill="text2" w:themeFillTint="66"/>
            <w:tcMar>
              <w:top w:w="0" w:type="dxa"/>
              <w:left w:w="0" w:type="dxa"/>
              <w:bottom w:w="0" w:type="dxa"/>
              <w:right w:w="0" w:type="dxa"/>
            </w:tcMar>
            <w:vAlign w:val="center"/>
          </w:tcPr>
          <w:p w:rsidR="00DC6E5A" w:rsidRPr="0099428A" w:rsidRDefault="00DC6E5A" w:rsidP="000336A9">
            <w:pPr>
              <w:suppressAutoHyphens/>
              <w:autoSpaceDE w:val="0"/>
              <w:autoSpaceDN w:val="0"/>
              <w:adjustRightInd w:val="0"/>
              <w:jc w:val="center"/>
              <w:textAlignment w:val="center"/>
              <w:rPr>
                <w:b/>
                <w:bCs/>
                <w:color w:val="000000"/>
                <w:sz w:val="20"/>
                <w:szCs w:val="20"/>
              </w:rPr>
            </w:pPr>
            <w:r w:rsidRPr="0099428A">
              <w:rPr>
                <w:b/>
                <w:bCs/>
                <w:color w:val="000000"/>
                <w:sz w:val="20"/>
                <w:szCs w:val="20"/>
              </w:rPr>
              <w:t>Tasks</w:t>
            </w:r>
          </w:p>
        </w:tc>
        <w:tc>
          <w:tcPr>
            <w:tcW w:w="2250" w:type="dxa"/>
            <w:gridSpan w:val="3"/>
            <w:shd w:val="clear" w:color="F37174" w:fill="8DB3E2" w:themeFill="text2" w:themeFillTint="66"/>
            <w:vAlign w:val="center"/>
          </w:tcPr>
          <w:p w:rsidR="00DC6E5A" w:rsidRPr="0099428A" w:rsidRDefault="00DC6E5A" w:rsidP="000336A9">
            <w:pPr>
              <w:suppressAutoHyphens/>
              <w:autoSpaceDE w:val="0"/>
              <w:autoSpaceDN w:val="0"/>
              <w:adjustRightInd w:val="0"/>
              <w:jc w:val="center"/>
              <w:textAlignment w:val="center"/>
              <w:rPr>
                <w:b/>
                <w:bCs/>
                <w:color w:val="000000"/>
                <w:sz w:val="20"/>
                <w:szCs w:val="20"/>
              </w:rPr>
            </w:pPr>
            <w:r w:rsidRPr="0099428A">
              <w:rPr>
                <w:b/>
                <w:bCs/>
                <w:color w:val="000000"/>
                <w:sz w:val="20"/>
                <w:szCs w:val="20"/>
              </w:rPr>
              <w:t>Required Approvals</w:t>
            </w:r>
          </w:p>
        </w:tc>
        <w:tc>
          <w:tcPr>
            <w:tcW w:w="3060" w:type="dxa"/>
            <w:shd w:val="clear" w:color="F37174" w:fill="8DB3E2" w:themeFill="text2" w:themeFillTint="66"/>
            <w:vAlign w:val="center"/>
          </w:tcPr>
          <w:p w:rsidR="00DC6E5A" w:rsidRPr="0099428A" w:rsidRDefault="00DC6E5A" w:rsidP="000336A9">
            <w:pPr>
              <w:suppressAutoHyphens/>
              <w:autoSpaceDE w:val="0"/>
              <w:autoSpaceDN w:val="0"/>
              <w:adjustRightInd w:val="0"/>
              <w:jc w:val="center"/>
              <w:textAlignment w:val="center"/>
              <w:rPr>
                <w:b/>
                <w:bCs/>
                <w:color w:val="000000"/>
                <w:sz w:val="20"/>
                <w:szCs w:val="20"/>
              </w:rPr>
            </w:pPr>
            <w:r w:rsidRPr="0099428A">
              <w:rPr>
                <w:b/>
                <w:bCs/>
                <w:color w:val="000000"/>
                <w:sz w:val="20"/>
                <w:szCs w:val="20"/>
              </w:rPr>
              <w:t>Measurable Outcome(s)</w:t>
            </w:r>
          </w:p>
        </w:tc>
        <w:tc>
          <w:tcPr>
            <w:tcW w:w="1534" w:type="dxa"/>
            <w:shd w:val="clear" w:color="F37174" w:fill="8DB3E2" w:themeFill="text2" w:themeFillTint="66"/>
            <w:vAlign w:val="center"/>
          </w:tcPr>
          <w:p w:rsidR="00DC6E5A" w:rsidRPr="0099428A" w:rsidRDefault="00DC6E5A" w:rsidP="000336A9">
            <w:pPr>
              <w:suppressAutoHyphens/>
              <w:autoSpaceDE w:val="0"/>
              <w:autoSpaceDN w:val="0"/>
              <w:adjustRightInd w:val="0"/>
              <w:jc w:val="center"/>
              <w:textAlignment w:val="center"/>
              <w:rPr>
                <w:b/>
                <w:bCs/>
                <w:color w:val="000000"/>
                <w:sz w:val="20"/>
                <w:szCs w:val="20"/>
                <w:u w:color="000000"/>
              </w:rPr>
            </w:pPr>
            <w:r w:rsidRPr="0099428A">
              <w:rPr>
                <w:b/>
                <w:bCs/>
                <w:color w:val="000000"/>
                <w:sz w:val="20"/>
                <w:szCs w:val="20"/>
                <w:u w:color="000000"/>
              </w:rPr>
              <w:t>Target Completion Date(s)</w:t>
            </w:r>
          </w:p>
        </w:tc>
      </w:tr>
      <w:tr w:rsidR="00DC6E5A" w:rsidRPr="0099428A" w:rsidTr="00DC6E5A">
        <w:trPr>
          <w:trHeight w:val="638"/>
          <w:jc w:val="center"/>
        </w:trPr>
        <w:tc>
          <w:tcPr>
            <w:tcW w:w="3715" w:type="dxa"/>
            <w:gridSpan w:val="2"/>
            <w:vMerge w:val="restart"/>
            <w:shd w:val="clear" w:color="auto" w:fill="auto"/>
            <w:tcMar>
              <w:top w:w="90" w:type="dxa"/>
              <w:left w:w="90" w:type="dxa"/>
              <w:bottom w:w="90" w:type="dxa"/>
              <w:right w:w="90" w:type="dxa"/>
            </w:tcMar>
          </w:tcPr>
          <w:p w:rsidR="00DC6E5A" w:rsidRPr="0099428A" w:rsidRDefault="00DC6E5A" w:rsidP="00586AD6">
            <w:pPr>
              <w:numPr>
                <w:ilvl w:val="0"/>
                <w:numId w:val="2"/>
              </w:numPr>
              <w:suppressAutoHyphens/>
              <w:autoSpaceDE w:val="0"/>
              <w:autoSpaceDN w:val="0"/>
              <w:adjustRightInd w:val="0"/>
              <w:spacing w:after="200" w:line="276" w:lineRule="auto"/>
              <w:textAlignment w:val="center"/>
              <w:rPr>
                <w:color w:val="000000"/>
                <w:sz w:val="20"/>
                <w:szCs w:val="20"/>
              </w:rPr>
            </w:pPr>
            <w:r>
              <w:rPr>
                <w:color w:val="000000"/>
                <w:sz w:val="20"/>
                <w:szCs w:val="20"/>
              </w:rPr>
              <w:t>Developments should include</w:t>
            </w:r>
            <w:r w:rsidRPr="0099428A">
              <w:rPr>
                <w:color w:val="000000"/>
                <w:sz w:val="20"/>
                <w:szCs w:val="20"/>
              </w:rPr>
              <w:t xml:space="preserve"> targeting Workforce, Large Families, </w:t>
            </w:r>
            <w:r w:rsidRPr="0099428A">
              <w:rPr>
                <w:sz w:val="20"/>
                <w:szCs w:val="20"/>
              </w:rPr>
              <w:t>Special Needs</w:t>
            </w:r>
            <w:r w:rsidRPr="0099428A">
              <w:rPr>
                <w:sz w:val="20"/>
                <w:vertAlign w:val="superscript"/>
              </w:rPr>
              <w:footnoteReference w:id="6"/>
            </w:r>
            <w:r w:rsidRPr="0099428A">
              <w:rPr>
                <w:sz w:val="20"/>
                <w:szCs w:val="20"/>
              </w:rPr>
              <w:t>, and Seniors</w:t>
            </w:r>
          </w:p>
        </w:tc>
        <w:tc>
          <w:tcPr>
            <w:tcW w:w="1125" w:type="dxa"/>
            <w:shd w:val="clear" w:color="auto" w:fill="auto"/>
            <w:vAlign w:val="center"/>
          </w:tcPr>
          <w:p w:rsidR="00DC6E5A" w:rsidRPr="0099428A" w:rsidRDefault="00DC6E5A" w:rsidP="000336A9">
            <w:pPr>
              <w:suppressAutoHyphens/>
              <w:autoSpaceDE w:val="0"/>
              <w:autoSpaceDN w:val="0"/>
              <w:adjustRightInd w:val="0"/>
              <w:jc w:val="center"/>
              <w:textAlignment w:val="center"/>
              <w:rPr>
                <w:color w:val="000000"/>
                <w:sz w:val="20"/>
                <w:szCs w:val="20"/>
              </w:rPr>
            </w:pPr>
            <w:r w:rsidRPr="0099428A">
              <w:rPr>
                <w:color w:val="000000"/>
                <w:sz w:val="20"/>
                <w:szCs w:val="20"/>
              </w:rPr>
              <w:t>Local</w:t>
            </w:r>
          </w:p>
        </w:tc>
        <w:tc>
          <w:tcPr>
            <w:tcW w:w="1125" w:type="dxa"/>
            <w:gridSpan w:val="2"/>
            <w:shd w:val="clear" w:color="auto" w:fill="auto"/>
            <w:vAlign w:val="center"/>
          </w:tcPr>
          <w:p w:rsidR="00DC6E5A" w:rsidRPr="0099428A" w:rsidRDefault="00DC6E5A" w:rsidP="000336A9">
            <w:pPr>
              <w:suppressAutoHyphens/>
              <w:autoSpaceDE w:val="0"/>
              <w:autoSpaceDN w:val="0"/>
              <w:adjustRightInd w:val="0"/>
              <w:jc w:val="center"/>
              <w:textAlignment w:val="center"/>
              <w:rPr>
                <w:color w:val="000000"/>
                <w:sz w:val="20"/>
                <w:szCs w:val="20"/>
              </w:rPr>
            </w:pPr>
            <w:r w:rsidRPr="0099428A">
              <w:rPr>
                <w:color w:val="000000"/>
                <w:sz w:val="20"/>
                <w:szCs w:val="20"/>
              </w:rPr>
              <w:t>X</w:t>
            </w:r>
          </w:p>
        </w:tc>
        <w:tc>
          <w:tcPr>
            <w:tcW w:w="3060" w:type="dxa"/>
            <w:vMerge w:val="restart"/>
            <w:shd w:val="clear" w:color="auto" w:fill="auto"/>
            <w:tcMar>
              <w:top w:w="90" w:type="dxa"/>
              <w:left w:w="90" w:type="dxa"/>
              <w:bottom w:w="90" w:type="dxa"/>
              <w:right w:w="90" w:type="dxa"/>
            </w:tcMar>
          </w:tcPr>
          <w:p w:rsidR="00DC6E5A" w:rsidRPr="0099428A" w:rsidRDefault="00DC6E5A" w:rsidP="000336A9">
            <w:pPr>
              <w:numPr>
                <w:ilvl w:val="0"/>
                <w:numId w:val="2"/>
              </w:numPr>
              <w:suppressAutoHyphens/>
              <w:autoSpaceDE w:val="0"/>
              <w:autoSpaceDN w:val="0"/>
              <w:adjustRightInd w:val="0"/>
              <w:spacing w:after="200" w:line="276" w:lineRule="auto"/>
              <w:textAlignment w:val="center"/>
              <w:rPr>
                <w:color w:val="000000"/>
                <w:sz w:val="20"/>
                <w:szCs w:val="20"/>
              </w:rPr>
            </w:pPr>
            <w:r w:rsidRPr="0099428A">
              <w:rPr>
                <w:color w:val="000000"/>
                <w:sz w:val="20"/>
                <w:szCs w:val="20"/>
              </w:rPr>
              <w:t>On a case-by-case basis, projects will be evaluated for their efforts to meet the needs of prioritized tenant populations</w:t>
            </w:r>
            <w:r>
              <w:rPr>
                <w:color w:val="000000"/>
                <w:sz w:val="20"/>
                <w:szCs w:val="20"/>
              </w:rPr>
              <w:t>.</w:t>
            </w:r>
          </w:p>
        </w:tc>
        <w:tc>
          <w:tcPr>
            <w:tcW w:w="1534" w:type="dxa"/>
            <w:vMerge w:val="restart"/>
            <w:shd w:val="clear" w:color="auto" w:fill="auto"/>
            <w:tcMar>
              <w:top w:w="90" w:type="dxa"/>
              <w:left w:w="90" w:type="dxa"/>
              <w:bottom w:w="90" w:type="dxa"/>
              <w:right w:w="90" w:type="dxa"/>
            </w:tcMar>
          </w:tcPr>
          <w:p w:rsidR="00DC6E5A" w:rsidRPr="0099428A" w:rsidRDefault="00DC6E5A" w:rsidP="000336A9">
            <w:pPr>
              <w:autoSpaceDE w:val="0"/>
              <w:autoSpaceDN w:val="0"/>
              <w:adjustRightInd w:val="0"/>
              <w:spacing w:line="288" w:lineRule="auto"/>
              <w:textAlignment w:val="center"/>
              <w:rPr>
                <w:color w:val="000000"/>
                <w:sz w:val="20"/>
                <w:szCs w:val="20"/>
              </w:rPr>
            </w:pPr>
          </w:p>
        </w:tc>
      </w:tr>
      <w:tr w:rsidR="00DC6E5A" w:rsidRPr="0099428A" w:rsidTr="00DC6E5A">
        <w:trPr>
          <w:trHeight w:val="593"/>
          <w:jc w:val="center"/>
        </w:trPr>
        <w:tc>
          <w:tcPr>
            <w:tcW w:w="3715" w:type="dxa"/>
            <w:gridSpan w:val="2"/>
            <w:vMerge/>
            <w:shd w:val="clear" w:color="auto" w:fill="auto"/>
            <w:tcMar>
              <w:top w:w="90" w:type="dxa"/>
              <w:left w:w="90" w:type="dxa"/>
              <w:bottom w:w="90" w:type="dxa"/>
              <w:right w:w="90" w:type="dxa"/>
            </w:tcMar>
          </w:tcPr>
          <w:p w:rsidR="00DC6E5A" w:rsidRPr="0099428A" w:rsidRDefault="00DC6E5A" w:rsidP="000336A9">
            <w:pPr>
              <w:suppressAutoHyphens/>
              <w:autoSpaceDE w:val="0"/>
              <w:autoSpaceDN w:val="0"/>
              <w:adjustRightInd w:val="0"/>
              <w:jc w:val="center"/>
              <w:textAlignment w:val="center"/>
              <w:rPr>
                <w:color w:val="000000"/>
                <w:sz w:val="20"/>
                <w:szCs w:val="20"/>
              </w:rPr>
            </w:pPr>
          </w:p>
        </w:tc>
        <w:tc>
          <w:tcPr>
            <w:tcW w:w="1125" w:type="dxa"/>
            <w:shd w:val="clear" w:color="auto" w:fill="auto"/>
            <w:vAlign w:val="center"/>
          </w:tcPr>
          <w:p w:rsidR="00DC6E5A" w:rsidRPr="0099428A" w:rsidRDefault="00DC6E5A" w:rsidP="000336A9">
            <w:pPr>
              <w:suppressAutoHyphens/>
              <w:autoSpaceDE w:val="0"/>
              <w:autoSpaceDN w:val="0"/>
              <w:adjustRightInd w:val="0"/>
              <w:jc w:val="center"/>
              <w:textAlignment w:val="center"/>
              <w:rPr>
                <w:color w:val="000000"/>
                <w:sz w:val="20"/>
                <w:szCs w:val="20"/>
              </w:rPr>
            </w:pPr>
            <w:r w:rsidRPr="0099428A">
              <w:rPr>
                <w:color w:val="000000"/>
                <w:sz w:val="20"/>
                <w:szCs w:val="20"/>
              </w:rPr>
              <w:t>State</w:t>
            </w:r>
          </w:p>
        </w:tc>
        <w:tc>
          <w:tcPr>
            <w:tcW w:w="1125" w:type="dxa"/>
            <w:gridSpan w:val="2"/>
            <w:shd w:val="clear" w:color="auto" w:fill="auto"/>
            <w:vAlign w:val="center"/>
          </w:tcPr>
          <w:p w:rsidR="00DC6E5A" w:rsidRPr="0099428A" w:rsidRDefault="00DC6E5A" w:rsidP="000336A9">
            <w:pPr>
              <w:suppressAutoHyphens/>
              <w:autoSpaceDE w:val="0"/>
              <w:autoSpaceDN w:val="0"/>
              <w:adjustRightInd w:val="0"/>
              <w:jc w:val="center"/>
              <w:textAlignment w:val="center"/>
              <w:rPr>
                <w:color w:val="000000"/>
                <w:sz w:val="20"/>
                <w:szCs w:val="20"/>
              </w:rPr>
            </w:pPr>
          </w:p>
        </w:tc>
        <w:tc>
          <w:tcPr>
            <w:tcW w:w="3060" w:type="dxa"/>
            <w:vMerge/>
            <w:shd w:val="clear" w:color="auto" w:fill="auto"/>
            <w:tcMar>
              <w:top w:w="90" w:type="dxa"/>
              <w:left w:w="90" w:type="dxa"/>
              <w:bottom w:w="90" w:type="dxa"/>
              <w:right w:w="90" w:type="dxa"/>
            </w:tcMar>
          </w:tcPr>
          <w:p w:rsidR="00DC6E5A" w:rsidRPr="0099428A" w:rsidRDefault="00DC6E5A" w:rsidP="000336A9">
            <w:pPr>
              <w:numPr>
                <w:ilvl w:val="0"/>
                <w:numId w:val="2"/>
              </w:numPr>
              <w:suppressAutoHyphens/>
              <w:autoSpaceDE w:val="0"/>
              <w:autoSpaceDN w:val="0"/>
              <w:adjustRightInd w:val="0"/>
              <w:spacing w:after="200" w:line="276" w:lineRule="auto"/>
              <w:textAlignment w:val="center"/>
              <w:rPr>
                <w:color w:val="000000"/>
                <w:sz w:val="20"/>
                <w:szCs w:val="20"/>
              </w:rPr>
            </w:pPr>
          </w:p>
        </w:tc>
        <w:tc>
          <w:tcPr>
            <w:tcW w:w="1534" w:type="dxa"/>
            <w:vMerge/>
            <w:shd w:val="clear" w:color="auto" w:fill="auto"/>
            <w:tcMar>
              <w:top w:w="90" w:type="dxa"/>
              <w:left w:w="90" w:type="dxa"/>
              <w:bottom w:w="90" w:type="dxa"/>
              <w:right w:w="90" w:type="dxa"/>
            </w:tcMar>
          </w:tcPr>
          <w:p w:rsidR="00DC6E5A" w:rsidRPr="0099428A" w:rsidRDefault="00DC6E5A" w:rsidP="000336A9">
            <w:pPr>
              <w:autoSpaceDE w:val="0"/>
              <w:autoSpaceDN w:val="0"/>
              <w:adjustRightInd w:val="0"/>
              <w:spacing w:line="288" w:lineRule="auto"/>
              <w:textAlignment w:val="center"/>
              <w:rPr>
                <w:color w:val="000000"/>
                <w:sz w:val="20"/>
                <w:szCs w:val="20"/>
              </w:rPr>
            </w:pPr>
          </w:p>
        </w:tc>
      </w:tr>
      <w:tr w:rsidR="00DC6E5A" w:rsidRPr="0099428A" w:rsidTr="00DC6E5A">
        <w:trPr>
          <w:trHeight w:val="728"/>
          <w:jc w:val="center"/>
        </w:trPr>
        <w:tc>
          <w:tcPr>
            <w:tcW w:w="3715" w:type="dxa"/>
            <w:gridSpan w:val="2"/>
            <w:vMerge/>
            <w:shd w:val="clear" w:color="auto" w:fill="auto"/>
            <w:tcMar>
              <w:top w:w="90" w:type="dxa"/>
              <w:left w:w="90" w:type="dxa"/>
              <w:bottom w:w="90" w:type="dxa"/>
              <w:right w:w="90" w:type="dxa"/>
            </w:tcMar>
          </w:tcPr>
          <w:p w:rsidR="00DC6E5A" w:rsidRPr="0099428A" w:rsidRDefault="00DC6E5A" w:rsidP="000336A9">
            <w:pPr>
              <w:suppressAutoHyphens/>
              <w:autoSpaceDE w:val="0"/>
              <w:autoSpaceDN w:val="0"/>
              <w:adjustRightInd w:val="0"/>
              <w:jc w:val="center"/>
              <w:textAlignment w:val="center"/>
              <w:rPr>
                <w:color w:val="000000"/>
                <w:sz w:val="20"/>
                <w:szCs w:val="20"/>
              </w:rPr>
            </w:pPr>
          </w:p>
        </w:tc>
        <w:tc>
          <w:tcPr>
            <w:tcW w:w="1125" w:type="dxa"/>
            <w:shd w:val="clear" w:color="auto" w:fill="auto"/>
            <w:vAlign w:val="center"/>
          </w:tcPr>
          <w:p w:rsidR="00DC6E5A" w:rsidRPr="0099428A" w:rsidRDefault="00DC6E5A" w:rsidP="000336A9">
            <w:pPr>
              <w:suppressAutoHyphens/>
              <w:autoSpaceDE w:val="0"/>
              <w:autoSpaceDN w:val="0"/>
              <w:adjustRightInd w:val="0"/>
              <w:jc w:val="center"/>
              <w:textAlignment w:val="center"/>
              <w:rPr>
                <w:color w:val="000000"/>
                <w:sz w:val="20"/>
                <w:szCs w:val="20"/>
              </w:rPr>
            </w:pPr>
            <w:r w:rsidRPr="0099428A">
              <w:rPr>
                <w:color w:val="000000"/>
                <w:sz w:val="20"/>
                <w:szCs w:val="20"/>
              </w:rPr>
              <w:t>Voter</w:t>
            </w:r>
          </w:p>
        </w:tc>
        <w:tc>
          <w:tcPr>
            <w:tcW w:w="1125" w:type="dxa"/>
            <w:gridSpan w:val="2"/>
            <w:shd w:val="clear" w:color="auto" w:fill="auto"/>
            <w:vAlign w:val="center"/>
          </w:tcPr>
          <w:p w:rsidR="00DC6E5A" w:rsidRPr="0099428A" w:rsidRDefault="00DC6E5A" w:rsidP="000336A9">
            <w:pPr>
              <w:suppressAutoHyphens/>
              <w:autoSpaceDE w:val="0"/>
              <w:autoSpaceDN w:val="0"/>
              <w:adjustRightInd w:val="0"/>
              <w:jc w:val="center"/>
              <w:textAlignment w:val="center"/>
              <w:rPr>
                <w:color w:val="000000"/>
                <w:sz w:val="20"/>
                <w:szCs w:val="20"/>
              </w:rPr>
            </w:pPr>
          </w:p>
        </w:tc>
        <w:tc>
          <w:tcPr>
            <w:tcW w:w="3060" w:type="dxa"/>
            <w:vMerge/>
            <w:shd w:val="clear" w:color="auto" w:fill="auto"/>
            <w:tcMar>
              <w:top w:w="90" w:type="dxa"/>
              <w:left w:w="90" w:type="dxa"/>
              <w:bottom w:w="90" w:type="dxa"/>
              <w:right w:w="90" w:type="dxa"/>
            </w:tcMar>
          </w:tcPr>
          <w:p w:rsidR="00DC6E5A" w:rsidRPr="0099428A" w:rsidRDefault="00DC6E5A" w:rsidP="000336A9">
            <w:pPr>
              <w:numPr>
                <w:ilvl w:val="0"/>
                <w:numId w:val="2"/>
              </w:numPr>
              <w:suppressAutoHyphens/>
              <w:autoSpaceDE w:val="0"/>
              <w:autoSpaceDN w:val="0"/>
              <w:adjustRightInd w:val="0"/>
              <w:spacing w:after="200" w:line="276" w:lineRule="auto"/>
              <w:textAlignment w:val="center"/>
              <w:rPr>
                <w:color w:val="000000"/>
                <w:sz w:val="20"/>
                <w:szCs w:val="20"/>
              </w:rPr>
            </w:pPr>
          </w:p>
        </w:tc>
        <w:tc>
          <w:tcPr>
            <w:tcW w:w="1534" w:type="dxa"/>
            <w:vMerge/>
            <w:shd w:val="clear" w:color="auto" w:fill="auto"/>
            <w:tcMar>
              <w:top w:w="90" w:type="dxa"/>
              <w:left w:w="90" w:type="dxa"/>
              <w:bottom w:w="90" w:type="dxa"/>
              <w:right w:w="90" w:type="dxa"/>
            </w:tcMar>
          </w:tcPr>
          <w:p w:rsidR="00DC6E5A" w:rsidRPr="0099428A" w:rsidRDefault="00DC6E5A" w:rsidP="000336A9">
            <w:pPr>
              <w:autoSpaceDE w:val="0"/>
              <w:autoSpaceDN w:val="0"/>
              <w:adjustRightInd w:val="0"/>
              <w:spacing w:line="288" w:lineRule="auto"/>
              <w:textAlignment w:val="center"/>
              <w:rPr>
                <w:color w:val="000000"/>
                <w:sz w:val="20"/>
                <w:szCs w:val="20"/>
              </w:rPr>
            </w:pPr>
          </w:p>
        </w:tc>
      </w:tr>
    </w:tbl>
    <w:p w:rsidR="002B2962" w:rsidRPr="0099428A" w:rsidRDefault="002B2962" w:rsidP="002B2962">
      <w:pPr>
        <w:autoSpaceDE w:val="0"/>
        <w:autoSpaceDN w:val="0"/>
        <w:adjustRightInd w:val="0"/>
        <w:textAlignment w:val="center"/>
        <w:rPr>
          <w:color w:val="000000"/>
          <w:sz w:val="18"/>
          <w:szCs w:val="18"/>
        </w:rPr>
      </w:pPr>
    </w:p>
    <w:p w:rsidR="002B2962" w:rsidRPr="0099428A" w:rsidRDefault="002B2962" w:rsidP="002B2962">
      <w:pPr>
        <w:autoSpaceDE w:val="0"/>
        <w:autoSpaceDN w:val="0"/>
        <w:adjustRightInd w:val="0"/>
        <w:textAlignment w:val="center"/>
        <w:rPr>
          <w:color w:val="000000"/>
          <w:sz w:val="18"/>
          <w:szCs w:val="18"/>
        </w:rPr>
      </w:pPr>
      <w:r w:rsidRPr="0099428A">
        <w:rPr>
          <w:color w:val="000000"/>
          <w:sz w:val="18"/>
          <w:szCs w:val="18"/>
        </w:rPr>
        <w:br w:type="page"/>
      </w:r>
    </w:p>
    <w:tbl>
      <w:tblPr>
        <w:tblW w:w="5598" w:type="pct"/>
        <w:jc w:val="center"/>
        <w:tblInd w:w="-1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3828"/>
        <w:gridCol w:w="1393"/>
        <w:gridCol w:w="1181"/>
        <w:gridCol w:w="2935"/>
        <w:gridCol w:w="1154"/>
      </w:tblGrid>
      <w:tr w:rsidR="00B70DA7" w:rsidRPr="0099428A" w:rsidTr="00DC6E5A">
        <w:trPr>
          <w:trHeight w:val="452"/>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FBD4B4" w:themeFill="accent6" w:themeFillTint="66"/>
            <w:tcMar>
              <w:top w:w="0" w:type="dxa"/>
              <w:left w:w="0" w:type="dxa"/>
              <w:bottom w:w="0" w:type="dxa"/>
              <w:right w:w="0" w:type="dxa"/>
            </w:tcMar>
            <w:vAlign w:val="center"/>
          </w:tcPr>
          <w:p w:rsidR="00B70DA7" w:rsidRPr="0099428A" w:rsidRDefault="00B70DA7" w:rsidP="000336A9">
            <w:pPr>
              <w:suppressAutoHyphens/>
              <w:autoSpaceDE w:val="0"/>
              <w:autoSpaceDN w:val="0"/>
              <w:adjustRightInd w:val="0"/>
              <w:jc w:val="center"/>
              <w:textAlignment w:val="center"/>
              <w:rPr>
                <w:b/>
                <w:bCs/>
                <w:color w:val="000000"/>
                <w:sz w:val="20"/>
                <w:szCs w:val="20"/>
              </w:rPr>
            </w:pPr>
            <w:r w:rsidRPr="0099428A">
              <w:rPr>
                <w:b/>
                <w:bCs/>
                <w:color w:val="000000"/>
                <w:sz w:val="20"/>
                <w:szCs w:val="20"/>
              </w:rPr>
              <w:t xml:space="preserve">STRATEGY # </w:t>
            </w:r>
            <w:r>
              <w:rPr>
                <w:b/>
                <w:bCs/>
                <w:color w:val="000000"/>
                <w:sz w:val="20"/>
                <w:szCs w:val="20"/>
              </w:rPr>
              <w:t>3</w:t>
            </w:r>
            <w:r w:rsidRPr="0099428A">
              <w:rPr>
                <w:b/>
                <w:bCs/>
                <w:color w:val="000000"/>
                <w:sz w:val="20"/>
                <w:szCs w:val="20"/>
              </w:rPr>
              <w:t>:</w:t>
            </w:r>
          </w:p>
          <w:p w:rsidR="00B70DA7" w:rsidRPr="0099428A" w:rsidRDefault="00B70DA7" w:rsidP="00580747">
            <w:pPr>
              <w:suppressAutoHyphens/>
              <w:autoSpaceDE w:val="0"/>
              <w:autoSpaceDN w:val="0"/>
              <w:adjustRightInd w:val="0"/>
              <w:jc w:val="center"/>
              <w:textAlignment w:val="center"/>
              <w:rPr>
                <w:b/>
                <w:bCs/>
                <w:color w:val="000000"/>
                <w:sz w:val="20"/>
                <w:szCs w:val="20"/>
              </w:rPr>
            </w:pPr>
            <w:r w:rsidRPr="0099428A">
              <w:rPr>
                <w:b/>
                <w:bCs/>
                <w:color w:val="000000"/>
                <w:sz w:val="20"/>
                <w:szCs w:val="20"/>
              </w:rPr>
              <w:t>MAXIMIZE FINANCING RESOURCES</w:t>
            </w:r>
          </w:p>
        </w:tc>
      </w:tr>
      <w:tr w:rsidR="00B70DA7" w:rsidRPr="0099428A" w:rsidTr="00B70DA7">
        <w:trPr>
          <w:trHeight w:val="60"/>
          <w:jc w:val="center"/>
        </w:trPr>
        <w:tc>
          <w:tcPr>
            <w:tcW w:w="5000" w:type="pct"/>
            <w:gridSpan w:val="5"/>
            <w:tcBorders>
              <w:top w:val="single" w:sz="4" w:space="0" w:color="auto"/>
            </w:tcBorders>
            <w:shd w:val="clear" w:color="auto" w:fill="FBD4B4" w:themeFill="accent6" w:themeFillTint="66"/>
            <w:tcMar>
              <w:top w:w="90" w:type="dxa"/>
              <w:left w:w="90" w:type="dxa"/>
              <w:bottom w:w="90" w:type="dxa"/>
              <w:right w:w="90" w:type="dxa"/>
            </w:tcMar>
            <w:vAlign w:val="center"/>
          </w:tcPr>
          <w:p w:rsidR="00B70DA7" w:rsidRPr="0099428A" w:rsidRDefault="00B70DA7" w:rsidP="00864D5C">
            <w:pPr>
              <w:suppressAutoHyphens/>
              <w:autoSpaceDE w:val="0"/>
              <w:autoSpaceDN w:val="0"/>
              <w:adjustRightInd w:val="0"/>
              <w:textAlignment w:val="center"/>
              <w:rPr>
                <w:color w:val="000000"/>
                <w:sz w:val="20"/>
                <w:szCs w:val="20"/>
              </w:rPr>
            </w:pPr>
            <w:r w:rsidRPr="0099428A">
              <w:rPr>
                <w:b/>
                <w:bCs/>
                <w:color w:val="000000"/>
                <w:sz w:val="20"/>
                <w:szCs w:val="20"/>
              </w:rPr>
              <w:t xml:space="preserve">Action Step #1:  </w:t>
            </w:r>
            <w:r>
              <w:rPr>
                <w:b/>
                <w:bCs/>
                <w:color w:val="000000"/>
                <w:sz w:val="20"/>
                <w:szCs w:val="20"/>
              </w:rPr>
              <w:t>Work with Development Community to Provide Additional</w:t>
            </w:r>
            <w:r w:rsidR="00864D5C">
              <w:rPr>
                <w:b/>
                <w:bCs/>
                <w:color w:val="000000"/>
                <w:sz w:val="20"/>
                <w:szCs w:val="20"/>
              </w:rPr>
              <w:t xml:space="preserve"> Funding for Affordable Housing and</w:t>
            </w:r>
            <w:r>
              <w:rPr>
                <w:b/>
                <w:bCs/>
                <w:color w:val="000000"/>
                <w:sz w:val="20"/>
                <w:szCs w:val="20"/>
              </w:rPr>
              <w:t xml:space="preserve"> Consider Adjusting </w:t>
            </w:r>
            <w:r w:rsidRPr="0099428A">
              <w:rPr>
                <w:b/>
                <w:bCs/>
                <w:color w:val="000000"/>
                <w:sz w:val="20"/>
                <w:szCs w:val="20"/>
              </w:rPr>
              <w:t>Development Impact Fees Throughout the County</w:t>
            </w:r>
          </w:p>
        </w:tc>
      </w:tr>
      <w:tr w:rsidR="00B70DA7" w:rsidRPr="0099428A" w:rsidTr="00B70DA7">
        <w:trPr>
          <w:trHeight w:val="60"/>
          <w:jc w:val="center"/>
        </w:trPr>
        <w:tc>
          <w:tcPr>
            <w:tcW w:w="1824" w:type="pct"/>
            <w:shd w:val="clear" w:color="auto" w:fill="FBD4B4" w:themeFill="accent6" w:themeFillTint="66"/>
            <w:tcMar>
              <w:top w:w="90" w:type="dxa"/>
              <w:left w:w="90" w:type="dxa"/>
              <w:bottom w:w="90" w:type="dxa"/>
              <w:right w:w="90" w:type="dxa"/>
            </w:tcMar>
            <w:vAlign w:val="center"/>
          </w:tcPr>
          <w:p w:rsidR="00B70DA7" w:rsidRPr="0099428A" w:rsidRDefault="00B70DA7" w:rsidP="000336A9">
            <w:pPr>
              <w:suppressAutoHyphens/>
              <w:autoSpaceDE w:val="0"/>
              <w:autoSpaceDN w:val="0"/>
              <w:adjustRightInd w:val="0"/>
              <w:jc w:val="center"/>
              <w:textAlignment w:val="center"/>
              <w:rPr>
                <w:b/>
                <w:bCs/>
                <w:color w:val="000000"/>
                <w:sz w:val="20"/>
                <w:szCs w:val="20"/>
              </w:rPr>
            </w:pPr>
            <w:r w:rsidRPr="0099428A">
              <w:rPr>
                <w:b/>
                <w:bCs/>
                <w:color w:val="000000"/>
                <w:sz w:val="20"/>
                <w:szCs w:val="20"/>
              </w:rPr>
              <w:t>Tasks</w:t>
            </w:r>
          </w:p>
        </w:tc>
        <w:tc>
          <w:tcPr>
            <w:tcW w:w="1227" w:type="pct"/>
            <w:gridSpan w:val="2"/>
            <w:shd w:val="clear" w:color="auto" w:fill="FBD4B4" w:themeFill="accent6" w:themeFillTint="66"/>
            <w:tcMar>
              <w:top w:w="90" w:type="dxa"/>
              <w:left w:w="90" w:type="dxa"/>
              <w:bottom w:w="90" w:type="dxa"/>
              <w:right w:w="90" w:type="dxa"/>
            </w:tcMar>
            <w:vAlign w:val="center"/>
          </w:tcPr>
          <w:p w:rsidR="00B70DA7" w:rsidRPr="0099428A" w:rsidRDefault="00B70DA7" w:rsidP="000336A9">
            <w:pPr>
              <w:suppressAutoHyphens/>
              <w:autoSpaceDE w:val="0"/>
              <w:autoSpaceDN w:val="0"/>
              <w:adjustRightInd w:val="0"/>
              <w:jc w:val="center"/>
              <w:textAlignment w:val="center"/>
              <w:rPr>
                <w:b/>
                <w:bCs/>
                <w:color w:val="000000"/>
                <w:sz w:val="20"/>
                <w:szCs w:val="20"/>
              </w:rPr>
            </w:pPr>
            <w:r w:rsidRPr="0099428A">
              <w:rPr>
                <w:b/>
                <w:bCs/>
                <w:color w:val="000000"/>
                <w:sz w:val="20"/>
                <w:szCs w:val="20"/>
              </w:rPr>
              <w:t>Required Approvals</w:t>
            </w:r>
          </w:p>
        </w:tc>
        <w:tc>
          <w:tcPr>
            <w:tcW w:w="1399" w:type="pct"/>
            <w:shd w:val="clear" w:color="auto" w:fill="FBD4B4" w:themeFill="accent6" w:themeFillTint="66"/>
            <w:tcMar>
              <w:top w:w="90" w:type="dxa"/>
              <w:left w:w="90" w:type="dxa"/>
              <w:bottom w:w="90" w:type="dxa"/>
              <w:right w:w="90" w:type="dxa"/>
            </w:tcMar>
            <w:vAlign w:val="center"/>
          </w:tcPr>
          <w:p w:rsidR="00B70DA7" w:rsidRPr="0099428A" w:rsidRDefault="00B70DA7" w:rsidP="000336A9">
            <w:pPr>
              <w:suppressAutoHyphens/>
              <w:autoSpaceDE w:val="0"/>
              <w:autoSpaceDN w:val="0"/>
              <w:adjustRightInd w:val="0"/>
              <w:jc w:val="center"/>
              <w:textAlignment w:val="center"/>
              <w:rPr>
                <w:b/>
                <w:bCs/>
                <w:color w:val="000000"/>
                <w:sz w:val="20"/>
                <w:szCs w:val="20"/>
              </w:rPr>
            </w:pPr>
            <w:r w:rsidRPr="0099428A">
              <w:rPr>
                <w:b/>
                <w:bCs/>
                <w:color w:val="000000"/>
                <w:sz w:val="20"/>
                <w:szCs w:val="20"/>
              </w:rPr>
              <w:t>Measurable Outcome(s)</w:t>
            </w:r>
          </w:p>
        </w:tc>
        <w:tc>
          <w:tcPr>
            <w:tcW w:w="550" w:type="pct"/>
            <w:shd w:val="clear" w:color="auto" w:fill="FBD4B4" w:themeFill="accent6" w:themeFillTint="66"/>
            <w:tcMar>
              <w:top w:w="90" w:type="dxa"/>
              <w:left w:w="90" w:type="dxa"/>
              <w:bottom w:w="90" w:type="dxa"/>
              <w:right w:w="90" w:type="dxa"/>
            </w:tcMar>
            <w:vAlign w:val="center"/>
          </w:tcPr>
          <w:p w:rsidR="00B70DA7" w:rsidRPr="0099428A" w:rsidRDefault="00B70DA7" w:rsidP="000336A9">
            <w:pPr>
              <w:suppressAutoHyphens/>
              <w:autoSpaceDE w:val="0"/>
              <w:autoSpaceDN w:val="0"/>
              <w:adjustRightInd w:val="0"/>
              <w:ind w:right="-90"/>
              <w:jc w:val="center"/>
              <w:textAlignment w:val="center"/>
              <w:rPr>
                <w:b/>
                <w:bCs/>
                <w:color w:val="000000"/>
                <w:sz w:val="20"/>
                <w:szCs w:val="20"/>
                <w:u w:color="000000"/>
              </w:rPr>
            </w:pPr>
            <w:r w:rsidRPr="0099428A">
              <w:rPr>
                <w:b/>
                <w:bCs/>
                <w:color w:val="000000"/>
                <w:sz w:val="20"/>
                <w:szCs w:val="20"/>
                <w:u w:color="000000"/>
              </w:rPr>
              <w:t>Target Completion Date(s)</w:t>
            </w:r>
          </w:p>
        </w:tc>
      </w:tr>
      <w:tr w:rsidR="00B70DA7" w:rsidRPr="0099428A" w:rsidTr="00B70DA7">
        <w:trPr>
          <w:trHeight w:val="1150"/>
          <w:jc w:val="center"/>
        </w:trPr>
        <w:tc>
          <w:tcPr>
            <w:tcW w:w="1824" w:type="pct"/>
            <w:vMerge w:val="restart"/>
            <w:shd w:val="clear" w:color="auto" w:fill="auto"/>
            <w:tcMar>
              <w:top w:w="90" w:type="dxa"/>
              <w:left w:w="90" w:type="dxa"/>
              <w:bottom w:w="90" w:type="dxa"/>
              <w:right w:w="90" w:type="dxa"/>
            </w:tcMar>
          </w:tcPr>
          <w:p w:rsidR="00B70DA7" w:rsidRDefault="00B70DA7" w:rsidP="00A34E2F">
            <w:pPr>
              <w:numPr>
                <w:ilvl w:val="0"/>
                <w:numId w:val="3"/>
              </w:numPr>
              <w:suppressAutoHyphens/>
              <w:autoSpaceDE w:val="0"/>
              <w:autoSpaceDN w:val="0"/>
              <w:adjustRightInd w:val="0"/>
              <w:spacing w:after="200" w:line="276" w:lineRule="auto"/>
              <w:textAlignment w:val="center"/>
              <w:rPr>
                <w:color w:val="000000"/>
                <w:sz w:val="20"/>
                <w:szCs w:val="20"/>
              </w:rPr>
            </w:pPr>
            <w:r>
              <w:rPr>
                <w:color w:val="000000"/>
                <w:sz w:val="20"/>
                <w:szCs w:val="20"/>
              </w:rPr>
              <w:t>Work with development community to develop source of additional funding for affordable housing</w:t>
            </w:r>
          </w:p>
          <w:p w:rsidR="00B70DA7" w:rsidRPr="0099428A" w:rsidRDefault="00B70DA7" w:rsidP="00A34E2F">
            <w:pPr>
              <w:numPr>
                <w:ilvl w:val="0"/>
                <w:numId w:val="3"/>
              </w:numPr>
              <w:suppressAutoHyphens/>
              <w:autoSpaceDE w:val="0"/>
              <w:autoSpaceDN w:val="0"/>
              <w:adjustRightInd w:val="0"/>
              <w:spacing w:after="200" w:line="276" w:lineRule="auto"/>
              <w:textAlignment w:val="center"/>
              <w:rPr>
                <w:color w:val="000000"/>
                <w:sz w:val="20"/>
                <w:szCs w:val="20"/>
              </w:rPr>
            </w:pPr>
            <w:r>
              <w:rPr>
                <w:color w:val="000000"/>
                <w:sz w:val="20"/>
                <w:szCs w:val="20"/>
              </w:rPr>
              <w:t xml:space="preserve">Consider adopting and/or adjusting </w:t>
            </w:r>
            <w:r w:rsidRPr="0099428A">
              <w:rPr>
                <w:color w:val="000000"/>
                <w:sz w:val="20"/>
                <w:szCs w:val="20"/>
              </w:rPr>
              <w:t>development impact fees across all jurisdictions</w:t>
            </w:r>
          </w:p>
        </w:tc>
        <w:tc>
          <w:tcPr>
            <w:tcW w:w="664" w:type="pct"/>
            <w:shd w:val="clear" w:color="auto" w:fill="auto"/>
            <w:tcMar>
              <w:top w:w="90" w:type="dxa"/>
              <w:left w:w="90" w:type="dxa"/>
              <w:bottom w:w="90" w:type="dxa"/>
              <w:right w:w="90" w:type="dxa"/>
            </w:tcMar>
            <w:vAlign w:val="center"/>
          </w:tcPr>
          <w:p w:rsidR="00B70DA7" w:rsidRPr="0099428A" w:rsidRDefault="00B70DA7" w:rsidP="000336A9">
            <w:pPr>
              <w:suppressAutoHyphens/>
              <w:autoSpaceDE w:val="0"/>
              <w:autoSpaceDN w:val="0"/>
              <w:adjustRightInd w:val="0"/>
              <w:jc w:val="center"/>
              <w:textAlignment w:val="center"/>
              <w:rPr>
                <w:color w:val="000000"/>
                <w:sz w:val="20"/>
                <w:szCs w:val="20"/>
              </w:rPr>
            </w:pPr>
            <w:r w:rsidRPr="0099428A">
              <w:rPr>
                <w:color w:val="000000"/>
                <w:sz w:val="20"/>
                <w:szCs w:val="20"/>
              </w:rPr>
              <w:t>Local</w:t>
            </w:r>
          </w:p>
        </w:tc>
        <w:tc>
          <w:tcPr>
            <w:tcW w:w="563" w:type="pct"/>
            <w:shd w:val="clear" w:color="auto" w:fill="auto"/>
            <w:vAlign w:val="center"/>
          </w:tcPr>
          <w:p w:rsidR="00B70DA7" w:rsidRPr="0099428A" w:rsidRDefault="00B70DA7" w:rsidP="000336A9">
            <w:pPr>
              <w:suppressAutoHyphens/>
              <w:autoSpaceDE w:val="0"/>
              <w:autoSpaceDN w:val="0"/>
              <w:adjustRightInd w:val="0"/>
              <w:jc w:val="center"/>
              <w:textAlignment w:val="center"/>
              <w:rPr>
                <w:color w:val="000000"/>
                <w:sz w:val="20"/>
                <w:szCs w:val="20"/>
              </w:rPr>
            </w:pPr>
            <w:r>
              <w:rPr>
                <w:color w:val="000000"/>
                <w:sz w:val="20"/>
                <w:szCs w:val="20"/>
              </w:rPr>
              <w:t>X</w:t>
            </w:r>
          </w:p>
        </w:tc>
        <w:tc>
          <w:tcPr>
            <w:tcW w:w="1399" w:type="pct"/>
            <w:vMerge w:val="restart"/>
            <w:shd w:val="clear" w:color="auto" w:fill="auto"/>
            <w:tcMar>
              <w:top w:w="90" w:type="dxa"/>
              <w:left w:w="90" w:type="dxa"/>
              <w:bottom w:w="90" w:type="dxa"/>
              <w:right w:w="90" w:type="dxa"/>
            </w:tcMar>
          </w:tcPr>
          <w:p w:rsidR="00B70DA7" w:rsidRPr="00542548" w:rsidRDefault="00B70DA7" w:rsidP="00542548">
            <w:pPr>
              <w:numPr>
                <w:ilvl w:val="0"/>
                <w:numId w:val="3"/>
              </w:numPr>
              <w:suppressAutoHyphens/>
              <w:autoSpaceDE w:val="0"/>
              <w:autoSpaceDN w:val="0"/>
              <w:adjustRightInd w:val="0"/>
              <w:textAlignment w:val="center"/>
              <w:rPr>
                <w:color w:val="000000"/>
                <w:sz w:val="20"/>
                <w:szCs w:val="20"/>
              </w:rPr>
            </w:pPr>
            <w:r>
              <w:rPr>
                <w:color w:val="000000"/>
                <w:sz w:val="20"/>
                <w:szCs w:val="20"/>
              </w:rPr>
              <w:t>Recommendation for additional revenues to fund affordable housing development</w:t>
            </w:r>
          </w:p>
          <w:p w:rsidR="00CB1F00" w:rsidRDefault="00B70DA7" w:rsidP="00542548">
            <w:pPr>
              <w:numPr>
                <w:ilvl w:val="0"/>
                <w:numId w:val="3"/>
              </w:numPr>
              <w:suppressAutoHyphens/>
              <w:autoSpaceDE w:val="0"/>
              <w:autoSpaceDN w:val="0"/>
              <w:adjustRightInd w:val="0"/>
              <w:textAlignment w:val="center"/>
              <w:rPr>
                <w:color w:val="000000"/>
                <w:sz w:val="20"/>
                <w:szCs w:val="20"/>
              </w:rPr>
            </w:pPr>
            <w:r w:rsidRPr="00542548">
              <w:rPr>
                <w:color w:val="000000"/>
                <w:sz w:val="20"/>
                <w:szCs w:val="20"/>
              </w:rPr>
              <w:t>Establish a commercial impact fee in other cities such as American Canyon.</w:t>
            </w:r>
          </w:p>
          <w:p w:rsidR="00B70DA7" w:rsidRPr="00542548" w:rsidRDefault="00CB1F00" w:rsidP="00542548">
            <w:pPr>
              <w:numPr>
                <w:ilvl w:val="0"/>
                <w:numId w:val="3"/>
              </w:numPr>
              <w:suppressAutoHyphens/>
              <w:autoSpaceDE w:val="0"/>
              <w:autoSpaceDN w:val="0"/>
              <w:adjustRightInd w:val="0"/>
              <w:textAlignment w:val="center"/>
              <w:rPr>
                <w:color w:val="000000"/>
                <w:sz w:val="20"/>
                <w:szCs w:val="20"/>
              </w:rPr>
            </w:pPr>
            <w:r w:rsidRPr="00162887">
              <w:rPr>
                <w:color w:val="000000"/>
                <w:sz w:val="20"/>
                <w:szCs w:val="20"/>
              </w:rPr>
              <w:t>Establish residential impact fee in other cities such as American Canyon.</w:t>
            </w:r>
          </w:p>
          <w:p w:rsidR="00B70DA7" w:rsidRDefault="00B70DA7" w:rsidP="00542548">
            <w:pPr>
              <w:numPr>
                <w:ilvl w:val="0"/>
                <w:numId w:val="3"/>
              </w:numPr>
              <w:suppressAutoHyphens/>
              <w:autoSpaceDE w:val="0"/>
              <w:autoSpaceDN w:val="0"/>
              <w:adjustRightInd w:val="0"/>
              <w:textAlignment w:val="center"/>
              <w:rPr>
                <w:color w:val="000000"/>
                <w:sz w:val="20"/>
                <w:szCs w:val="20"/>
              </w:rPr>
            </w:pPr>
            <w:r>
              <w:rPr>
                <w:color w:val="000000"/>
                <w:sz w:val="20"/>
                <w:szCs w:val="20"/>
              </w:rPr>
              <w:t xml:space="preserve">Review </w:t>
            </w:r>
            <w:r w:rsidRPr="00542548">
              <w:rPr>
                <w:color w:val="000000"/>
                <w:sz w:val="20"/>
                <w:szCs w:val="20"/>
              </w:rPr>
              <w:t xml:space="preserve"> the </w:t>
            </w:r>
            <w:r w:rsidR="00CB1F00">
              <w:rPr>
                <w:color w:val="000000"/>
                <w:sz w:val="20"/>
                <w:szCs w:val="20"/>
              </w:rPr>
              <w:t xml:space="preserve">City of Napa’s </w:t>
            </w:r>
            <w:r w:rsidRPr="00542548">
              <w:rPr>
                <w:color w:val="000000"/>
                <w:sz w:val="20"/>
                <w:szCs w:val="20"/>
              </w:rPr>
              <w:t>impact fee</w:t>
            </w:r>
            <w:r w:rsidR="00CB1F00">
              <w:rPr>
                <w:color w:val="000000"/>
                <w:sz w:val="20"/>
                <w:szCs w:val="20"/>
              </w:rPr>
              <w:t>s and the County’s commercial impact fees</w:t>
            </w:r>
            <w:r w:rsidRPr="00542548">
              <w:rPr>
                <w:color w:val="000000"/>
                <w:sz w:val="20"/>
                <w:szCs w:val="20"/>
              </w:rPr>
              <w:t xml:space="preserve"> </w:t>
            </w:r>
          </w:p>
          <w:p w:rsidR="00B70DA7" w:rsidRPr="00162887" w:rsidRDefault="00B70DA7" w:rsidP="00162887">
            <w:pPr>
              <w:pStyle w:val="ListParagraph"/>
              <w:numPr>
                <w:ilvl w:val="0"/>
                <w:numId w:val="3"/>
              </w:numPr>
              <w:rPr>
                <w:color w:val="000000"/>
                <w:sz w:val="20"/>
                <w:szCs w:val="20"/>
              </w:rPr>
            </w:pPr>
          </w:p>
        </w:tc>
        <w:tc>
          <w:tcPr>
            <w:tcW w:w="550" w:type="pct"/>
            <w:vMerge w:val="restart"/>
            <w:shd w:val="clear" w:color="auto" w:fill="auto"/>
            <w:tcMar>
              <w:top w:w="90" w:type="dxa"/>
              <w:left w:w="90" w:type="dxa"/>
              <w:bottom w:w="90" w:type="dxa"/>
              <w:right w:w="90" w:type="dxa"/>
            </w:tcMar>
          </w:tcPr>
          <w:p w:rsidR="00B70DA7" w:rsidRPr="0099428A" w:rsidRDefault="00B70DA7" w:rsidP="000336A9">
            <w:pPr>
              <w:suppressAutoHyphens/>
              <w:autoSpaceDE w:val="0"/>
              <w:autoSpaceDN w:val="0"/>
              <w:adjustRightInd w:val="0"/>
              <w:jc w:val="center"/>
              <w:textAlignment w:val="center"/>
              <w:rPr>
                <w:color w:val="000000"/>
                <w:sz w:val="20"/>
                <w:szCs w:val="20"/>
              </w:rPr>
            </w:pPr>
          </w:p>
        </w:tc>
      </w:tr>
      <w:tr w:rsidR="00B70DA7" w:rsidRPr="0099428A" w:rsidTr="00B70DA7">
        <w:trPr>
          <w:trHeight w:val="980"/>
          <w:jc w:val="center"/>
        </w:trPr>
        <w:tc>
          <w:tcPr>
            <w:tcW w:w="1824" w:type="pct"/>
            <w:vMerge/>
            <w:shd w:val="clear" w:color="auto" w:fill="auto"/>
            <w:tcMar>
              <w:top w:w="90" w:type="dxa"/>
              <w:left w:w="90" w:type="dxa"/>
              <w:bottom w:w="90" w:type="dxa"/>
              <w:right w:w="90" w:type="dxa"/>
            </w:tcMar>
          </w:tcPr>
          <w:p w:rsidR="00B70DA7" w:rsidRPr="0099428A" w:rsidRDefault="00B70DA7" w:rsidP="000336A9">
            <w:pPr>
              <w:numPr>
                <w:ilvl w:val="0"/>
                <w:numId w:val="3"/>
              </w:numPr>
              <w:suppressAutoHyphens/>
              <w:autoSpaceDE w:val="0"/>
              <w:autoSpaceDN w:val="0"/>
              <w:adjustRightInd w:val="0"/>
              <w:spacing w:after="200" w:line="276" w:lineRule="auto"/>
              <w:textAlignment w:val="center"/>
              <w:rPr>
                <w:color w:val="000000"/>
                <w:sz w:val="20"/>
                <w:szCs w:val="20"/>
              </w:rPr>
            </w:pPr>
          </w:p>
        </w:tc>
        <w:tc>
          <w:tcPr>
            <w:tcW w:w="664" w:type="pct"/>
            <w:shd w:val="clear" w:color="auto" w:fill="auto"/>
            <w:tcMar>
              <w:top w:w="90" w:type="dxa"/>
              <w:left w:w="90" w:type="dxa"/>
              <w:bottom w:w="90" w:type="dxa"/>
              <w:right w:w="90" w:type="dxa"/>
            </w:tcMar>
            <w:vAlign w:val="center"/>
          </w:tcPr>
          <w:p w:rsidR="00B70DA7" w:rsidRPr="0099428A" w:rsidRDefault="00B70DA7" w:rsidP="000336A9">
            <w:pPr>
              <w:suppressAutoHyphens/>
              <w:autoSpaceDE w:val="0"/>
              <w:autoSpaceDN w:val="0"/>
              <w:adjustRightInd w:val="0"/>
              <w:jc w:val="center"/>
              <w:textAlignment w:val="center"/>
              <w:rPr>
                <w:color w:val="000000"/>
                <w:sz w:val="20"/>
                <w:szCs w:val="20"/>
              </w:rPr>
            </w:pPr>
            <w:r w:rsidRPr="0099428A">
              <w:rPr>
                <w:color w:val="000000"/>
                <w:sz w:val="20"/>
                <w:szCs w:val="20"/>
              </w:rPr>
              <w:t>State</w:t>
            </w:r>
          </w:p>
        </w:tc>
        <w:tc>
          <w:tcPr>
            <w:tcW w:w="563" w:type="pct"/>
            <w:shd w:val="clear" w:color="auto" w:fill="auto"/>
            <w:vAlign w:val="center"/>
          </w:tcPr>
          <w:p w:rsidR="00B70DA7" w:rsidRPr="0099428A" w:rsidRDefault="00B70DA7" w:rsidP="000336A9">
            <w:pPr>
              <w:suppressAutoHyphens/>
              <w:autoSpaceDE w:val="0"/>
              <w:autoSpaceDN w:val="0"/>
              <w:adjustRightInd w:val="0"/>
              <w:jc w:val="center"/>
              <w:textAlignment w:val="center"/>
              <w:rPr>
                <w:color w:val="000000"/>
                <w:sz w:val="20"/>
                <w:szCs w:val="20"/>
              </w:rPr>
            </w:pPr>
          </w:p>
        </w:tc>
        <w:tc>
          <w:tcPr>
            <w:tcW w:w="1399" w:type="pct"/>
            <w:vMerge/>
            <w:shd w:val="clear" w:color="auto" w:fill="auto"/>
            <w:tcMar>
              <w:top w:w="90" w:type="dxa"/>
              <w:left w:w="90" w:type="dxa"/>
              <w:bottom w:w="90" w:type="dxa"/>
              <w:right w:w="90" w:type="dxa"/>
            </w:tcMar>
          </w:tcPr>
          <w:p w:rsidR="00B70DA7" w:rsidRPr="0099428A" w:rsidRDefault="00B70DA7" w:rsidP="000336A9">
            <w:pPr>
              <w:numPr>
                <w:ilvl w:val="0"/>
                <w:numId w:val="3"/>
              </w:numPr>
              <w:suppressAutoHyphens/>
              <w:autoSpaceDE w:val="0"/>
              <w:autoSpaceDN w:val="0"/>
              <w:adjustRightInd w:val="0"/>
              <w:spacing w:after="200" w:line="276" w:lineRule="auto"/>
              <w:textAlignment w:val="center"/>
              <w:rPr>
                <w:color w:val="000000"/>
                <w:sz w:val="20"/>
                <w:szCs w:val="20"/>
              </w:rPr>
            </w:pPr>
          </w:p>
        </w:tc>
        <w:tc>
          <w:tcPr>
            <w:tcW w:w="550" w:type="pct"/>
            <w:vMerge/>
            <w:shd w:val="clear" w:color="auto" w:fill="auto"/>
            <w:tcMar>
              <w:top w:w="90" w:type="dxa"/>
              <w:left w:w="90" w:type="dxa"/>
              <w:bottom w:w="90" w:type="dxa"/>
              <w:right w:w="90" w:type="dxa"/>
            </w:tcMar>
          </w:tcPr>
          <w:p w:rsidR="00B70DA7" w:rsidRPr="0099428A" w:rsidRDefault="00B70DA7" w:rsidP="000336A9">
            <w:pPr>
              <w:suppressAutoHyphens/>
              <w:autoSpaceDE w:val="0"/>
              <w:autoSpaceDN w:val="0"/>
              <w:adjustRightInd w:val="0"/>
              <w:jc w:val="center"/>
              <w:textAlignment w:val="center"/>
              <w:rPr>
                <w:color w:val="000000"/>
                <w:sz w:val="20"/>
                <w:szCs w:val="20"/>
              </w:rPr>
            </w:pPr>
          </w:p>
        </w:tc>
      </w:tr>
      <w:tr w:rsidR="00B70DA7" w:rsidRPr="0099428A" w:rsidTr="00B70DA7">
        <w:trPr>
          <w:trHeight w:val="890"/>
          <w:jc w:val="center"/>
        </w:trPr>
        <w:tc>
          <w:tcPr>
            <w:tcW w:w="1824" w:type="pct"/>
            <w:vMerge/>
            <w:shd w:val="clear" w:color="auto" w:fill="auto"/>
            <w:tcMar>
              <w:top w:w="90" w:type="dxa"/>
              <w:left w:w="90" w:type="dxa"/>
              <w:bottom w:w="90" w:type="dxa"/>
              <w:right w:w="90" w:type="dxa"/>
            </w:tcMar>
          </w:tcPr>
          <w:p w:rsidR="00B70DA7" w:rsidRPr="0099428A" w:rsidRDefault="00B70DA7" w:rsidP="000336A9">
            <w:pPr>
              <w:numPr>
                <w:ilvl w:val="0"/>
                <w:numId w:val="3"/>
              </w:numPr>
              <w:suppressAutoHyphens/>
              <w:autoSpaceDE w:val="0"/>
              <w:autoSpaceDN w:val="0"/>
              <w:adjustRightInd w:val="0"/>
              <w:spacing w:after="200" w:line="276" w:lineRule="auto"/>
              <w:textAlignment w:val="center"/>
              <w:rPr>
                <w:color w:val="000000"/>
                <w:sz w:val="20"/>
                <w:szCs w:val="20"/>
              </w:rPr>
            </w:pPr>
          </w:p>
        </w:tc>
        <w:tc>
          <w:tcPr>
            <w:tcW w:w="664" w:type="pct"/>
            <w:shd w:val="clear" w:color="auto" w:fill="auto"/>
            <w:tcMar>
              <w:top w:w="90" w:type="dxa"/>
              <w:left w:w="90" w:type="dxa"/>
              <w:bottom w:w="90" w:type="dxa"/>
              <w:right w:w="90" w:type="dxa"/>
            </w:tcMar>
            <w:vAlign w:val="center"/>
          </w:tcPr>
          <w:p w:rsidR="00B70DA7" w:rsidRPr="0099428A" w:rsidRDefault="00B70DA7" w:rsidP="000336A9">
            <w:pPr>
              <w:suppressAutoHyphens/>
              <w:autoSpaceDE w:val="0"/>
              <w:autoSpaceDN w:val="0"/>
              <w:adjustRightInd w:val="0"/>
              <w:jc w:val="center"/>
              <w:textAlignment w:val="center"/>
              <w:rPr>
                <w:color w:val="000000"/>
                <w:sz w:val="20"/>
                <w:szCs w:val="20"/>
              </w:rPr>
            </w:pPr>
            <w:r w:rsidRPr="0099428A">
              <w:rPr>
                <w:color w:val="000000"/>
                <w:sz w:val="20"/>
                <w:szCs w:val="20"/>
              </w:rPr>
              <w:t>Voter</w:t>
            </w:r>
          </w:p>
        </w:tc>
        <w:tc>
          <w:tcPr>
            <w:tcW w:w="563" w:type="pct"/>
            <w:shd w:val="clear" w:color="auto" w:fill="auto"/>
            <w:vAlign w:val="center"/>
          </w:tcPr>
          <w:p w:rsidR="00B70DA7" w:rsidRPr="0099428A" w:rsidRDefault="00B70DA7" w:rsidP="000336A9">
            <w:pPr>
              <w:suppressAutoHyphens/>
              <w:autoSpaceDE w:val="0"/>
              <w:autoSpaceDN w:val="0"/>
              <w:adjustRightInd w:val="0"/>
              <w:jc w:val="center"/>
              <w:textAlignment w:val="center"/>
              <w:rPr>
                <w:color w:val="000000"/>
                <w:sz w:val="20"/>
                <w:szCs w:val="20"/>
              </w:rPr>
            </w:pPr>
          </w:p>
        </w:tc>
        <w:tc>
          <w:tcPr>
            <w:tcW w:w="1399" w:type="pct"/>
            <w:vMerge/>
            <w:shd w:val="clear" w:color="auto" w:fill="auto"/>
            <w:tcMar>
              <w:top w:w="90" w:type="dxa"/>
              <w:left w:w="90" w:type="dxa"/>
              <w:bottom w:w="90" w:type="dxa"/>
              <w:right w:w="90" w:type="dxa"/>
            </w:tcMar>
          </w:tcPr>
          <w:p w:rsidR="00B70DA7" w:rsidRPr="0099428A" w:rsidRDefault="00B70DA7" w:rsidP="000336A9">
            <w:pPr>
              <w:numPr>
                <w:ilvl w:val="0"/>
                <w:numId w:val="3"/>
              </w:numPr>
              <w:suppressAutoHyphens/>
              <w:autoSpaceDE w:val="0"/>
              <w:autoSpaceDN w:val="0"/>
              <w:adjustRightInd w:val="0"/>
              <w:spacing w:after="200" w:line="276" w:lineRule="auto"/>
              <w:textAlignment w:val="center"/>
              <w:rPr>
                <w:color w:val="000000"/>
                <w:sz w:val="20"/>
                <w:szCs w:val="20"/>
              </w:rPr>
            </w:pPr>
          </w:p>
        </w:tc>
        <w:tc>
          <w:tcPr>
            <w:tcW w:w="550" w:type="pct"/>
            <w:vMerge/>
            <w:shd w:val="clear" w:color="auto" w:fill="auto"/>
            <w:tcMar>
              <w:top w:w="90" w:type="dxa"/>
              <w:left w:w="90" w:type="dxa"/>
              <w:bottom w:w="90" w:type="dxa"/>
              <w:right w:w="90" w:type="dxa"/>
            </w:tcMar>
          </w:tcPr>
          <w:p w:rsidR="00B70DA7" w:rsidRPr="0099428A" w:rsidRDefault="00B70DA7" w:rsidP="000336A9">
            <w:pPr>
              <w:suppressAutoHyphens/>
              <w:autoSpaceDE w:val="0"/>
              <w:autoSpaceDN w:val="0"/>
              <w:adjustRightInd w:val="0"/>
              <w:jc w:val="center"/>
              <w:textAlignment w:val="center"/>
              <w:rPr>
                <w:color w:val="000000"/>
                <w:sz w:val="20"/>
                <w:szCs w:val="20"/>
              </w:rPr>
            </w:pPr>
          </w:p>
        </w:tc>
      </w:tr>
      <w:tr w:rsidR="00B70DA7" w:rsidRPr="0099428A" w:rsidTr="00B70DA7">
        <w:trPr>
          <w:trHeight w:val="475"/>
          <w:jc w:val="center"/>
        </w:trPr>
        <w:tc>
          <w:tcPr>
            <w:tcW w:w="5000" w:type="pct"/>
            <w:gridSpan w:val="5"/>
            <w:shd w:val="clear" w:color="F37174" w:fill="FBD4B4" w:themeFill="accent6" w:themeFillTint="66"/>
            <w:tcMar>
              <w:top w:w="0" w:type="dxa"/>
              <w:left w:w="0" w:type="dxa"/>
              <w:bottom w:w="0" w:type="dxa"/>
              <w:right w:w="0" w:type="dxa"/>
            </w:tcMar>
            <w:vAlign w:val="center"/>
          </w:tcPr>
          <w:p w:rsidR="00B70DA7" w:rsidRPr="0099428A" w:rsidRDefault="00B70DA7" w:rsidP="00CB1F00">
            <w:pPr>
              <w:rPr>
                <w:b/>
                <w:bCs/>
                <w:sz w:val="20"/>
                <w:szCs w:val="20"/>
              </w:rPr>
            </w:pPr>
            <w:r w:rsidRPr="0099428A">
              <w:rPr>
                <w:b/>
                <w:bCs/>
                <w:sz w:val="20"/>
                <w:szCs w:val="20"/>
              </w:rPr>
              <w:t xml:space="preserve"> Action Step #2:  </w:t>
            </w:r>
            <w:r>
              <w:rPr>
                <w:b/>
                <w:bCs/>
                <w:sz w:val="20"/>
                <w:szCs w:val="20"/>
              </w:rPr>
              <w:t>Work with Wine Industry to Provide Additional Funding for Affordable Housing</w:t>
            </w:r>
            <w:r w:rsidR="00CB1F00">
              <w:rPr>
                <w:b/>
                <w:bCs/>
                <w:sz w:val="20"/>
                <w:szCs w:val="20"/>
              </w:rPr>
              <w:t xml:space="preserve"> and</w:t>
            </w:r>
            <w:r>
              <w:rPr>
                <w:b/>
                <w:bCs/>
                <w:sz w:val="20"/>
                <w:szCs w:val="20"/>
              </w:rPr>
              <w:t xml:space="preserve"> </w:t>
            </w:r>
            <w:r w:rsidR="00DC6E5A">
              <w:rPr>
                <w:b/>
                <w:bCs/>
                <w:sz w:val="20"/>
                <w:szCs w:val="20"/>
              </w:rPr>
              <w:t>C</w:t>
            </w:r>
            <w:r>
              <w:rPr>
                <w:b/>
                <w:bCs/>
                <w:sz w:val="20"/>
                <w:szCs w:val="20"/>
              </w:rPr>
              <w:t xml:space="preserve">onsider </w:t>
            </w:r>
            <w:r w:rsidR="00DC6E5A">
              <w:rPr>
                <w:b/>
                <w:bCs/>
                <w:sz w:val="20"/>
                <w:szCs w:val="20"/>
              </w:rPr>
              <w:t>I</w:t>
            </w:r>
            <w:r w:rsidRPr="0099428A">
              <w:rPr>
                <w:b/>
                <w:bCs/>
                <w:sz w:val="20"/>
                <w:szCs w:val="20"/>
              </w:rPr>
              <w:t>ncreas</w:t>
            </w:r>
            <w:r>
              <w:rPr>
                <w:b/>
                <w:bCs/>
                <w:sz w:val="20"/>
                <w:szCs w:val="20"/>
              </w:rPr>
              <w:t>ing</w:t>
            </w:r>
            <w:r w:rsidRPr="0099428A">
              <w:rPr>
                <w:b/>
                <w:bCs/>
                <w:sz w:val="20"/>
                <w:szCs w:val="20"/>
              </w:rPr>
              <w:t xml:space="preserve"> CSA 4 Assessment</w:t>
            </w:r>
            <w:r w:rsidRPr="0099428A">
              <w:rPr>
                <w:b/>
                <w:bCs/>
                <w:sz w:val="20"/>
                <w:szCs w:val="20"/>
                <w:vertAlign w:val="superscript"/>
              </w:rPr>
              <w:footnoteReference w:id="7"/>
            </w:r>
            <w:r w:rsidRPr="0099428A">
              <w:rPr>
                <w:b/>
                <w:bCs/>
                <w:sz w:val="20"/>
                <w:szCs w:val="20"/>
              </w:rPr>
              <w:t xml:space="preserve"> </w:t>
            </w:r>
          </w:p>
        </w:tc>
      </w:tr>
      <w:tr w:rsidR="00B70DA7" w:rsidRPr="0099428A" w:rsidTr="00B70DA7">
        <w:trPr>
          <w:trHeight w:val="503"/>
          <w:jc w:val="center"/>
        </w:trPr>
        <w:tc>
          <w:tcPr>
            <w:tcW w:w="1824" w:type="pct"/>
            <w:shd w:val="clear" w:color="F37174" w:fill="FBD4B4" w:themeFill="accent6" w:themeFillTint="66"/>
            <w:tcMar>
              <w:top w:w="0" w:type="dxa"/>
              <w:left w:w="0" w:type="dxa"/>
              <w:bottom w:w="0" w:type="dxa"/>
              <w:right w:w="0" w:type="dxa"/>
            </w:tcMar>
            <w:vAlign w:val="center"/>
          </w:tcPr>
          <w:p w:rsidR="00B70DA7" w:rsidRPr="0099428A" w:rsidRDefault="00B70DA7" w:rsidP="000336A9">
            <w:pPr>
              <w:suppressAutoHyphens/>
              <w:autoSpaceDE w:val="0"/>
              <w:autoSpaceDN w:val="0"/>
              <w:adjustRightInd w:val="0"/>
              <w:jc w:val="center"/>
              <w:textAlignment w:val="center"/>
              <w:rPr>
                <w:b/>
                <w:bCs/>
                <w:color w:val="000000"/>
                <w:sz w:val="20"/>
                <w:szCs w:val="20"/>
              </w:rPr>
            </w:pPr>
            <w:r w:rsidRPr="0099428A">
              <w:rPr>
                <w:b/>
                <w:bCs/>
                <w:color w:val="000000"/>
                <w:sz w:val="20"/>
                <w:szCs w:val="20"/>
              </w:rPr>
              <w:t>Tasks</w:t>
            </w:r>
          </w:p>
        </w:tc>
        <w:tc>
          <w:tcPr>
            <w:tcW w:w="1227" w:type="pct"/>
            <w:gridSpan w:val="2"/>
            <w:shd w:val="clear" w:color="F37174" w:fill="FBD4B4" w:themeFill="accent6" w:themeFillTint="66"/>
            <w:tcMar>
              <w:top w:w="0" w:type="dxa"/>
              <w:left w:w="0" w:type="dxa"/>
              <w:bottom w:w="0" w:type="dxa"/>
              <w:right w:w="0" w:type="dxa"/>
            </w:tcMar>
            <w:vAlign w:val="center"/>
          </w:tcPr>
          <w:p w:rsidR="00B70DA7" w:rsidRPr="0099428A" w:rsidRDefault="00B70DA7" w:rsidP="000336A9">
            <w:pPr>
              <w:suppressAutoHyphens/>
              <w:autoSpaceDE w:val="0"/>
              <w:autoSpaceDN w:val="0"/>
              <w:adjustRightInd w:val="0"/>
              <w:jc w:val="center"/>
              <w:textAlignment w:val="center"/>
              <w:rPr>
                <w:b/>
                <w:bCs/>
                <w:color w:val="000000"/>
                <w:sz w:val="20"/>
                <w:szCs w:val="20"/>
              </w:rPr>
            </w:pPr>
            <w:r w:rsidRPr="0099428A">
              <w:rPr>
                <w:b/>
                <w:bCs/>
                <w:color w:val="000000"/>
                <w:sz w:val="20"/>
                <w:szCs w:val="20"/>
              </w:rPr>
              <w:t>Required Approvals</w:t>
            </w:r>
          </w:p>
        </w:tc>
        <w:tc>
          <w:tcPr>
            <w:tcW w:w="1399" w:type="pct"/>
            <w:shd w:val="clear" w:color="F37174" w:fill="FBD4B4" w:themeFill="accent6" w:themeFillTint="66"/>
            <w:tcMar>
              <w:top w:w="0" w:type="dxa"/>
              <w:left w:w="0" w:type="dxa"/>
              <w:bottom w:w="0" w:type="dxa"/>
              <w:right w:w="0" w:type="dxa"/>
            </w:tcMar>
            <w:vAlign w:val="center"/>
          </w:tcPr>
          <w:p w:rsidR="00B70DA7" w:rsidRPr="0099428A" w:rsidRDefault="00B70DA7" w:rsidP="000336A9">
            <w:pPr>
              <w:suppressAutoHyphens/>
              <w:autoSpaceDE w:val="0"/>
              <w:autoSpaceDN w:val="0"/>
              <w:adjustRightInd w:val="0"/>
              <w:jc w:val="center"/>
              <w:textAlignment w:val="center"/>
              <w:rPr>
                <w:b/>
                <w:bCs/>
                <w:color w:val="000000"/>
                <w:sz w:val="20"/>
                <w:szCs w:val="20"/>
              </w:rPr>
            </w:pPr>
            <w:r w:rsidRPr="0099428A">
              <w:rPr>
                <w:b/>
                <w:bCs/>
                <w:color w:val="000000"/>
                <w:sz w:val="20"/>
                <w:szCs w:val="20"/>
              </w:rPr>
              <w:t>Measurable Outcome(s)</w:t>
            </w:r>
          </w:p>
        </w:tc>
        <w:tc>
          <w:tcPr>
            <w:tcW w:w="550" w:type="pct"/>
            <w:shd w:val="clear" w:color="F37174" w:fill="FBD4B4" w:themeFill="accent6" w:themeFillTint="66"/>
            <w:tcMar>
              <w:top w:w="0" w:type="dxa"/>
              <w:left w:w="0" w:type="dxa"/>
              <w:bottom w:w="0" w:type="dxa"/>
              <w:right w:w="0" w:type="dxa"/>
            </w:tcMar>
            <w:vAlign w:val="center"/>
          </w:tcPr>
          <w:p w:rsidR="00B70DA7" w:rsidRPr="0099428A" w:rsidRDefault="00B70DA7" w:rsidP="000336A9">
            <w:pPr>
              <w:suppressAutoHyphens/>
              <w:autoSpaceDE w:val="0"/>
              <w:autoSpaceDN w:val="0"/>
              <w:adjustRightInd w:val="0"/>
              <w:jc w:val="center"/>
              <w:textAlignment w:val="center"/>
              <w:rPr>
                <w:b/>
                <w:bCs/>
                <w:color w:val="000000"/>
                <w:sz w:val="20"/>
                <w:szCs w:val="20"/>
                <w:u w:color="000000"/>
              </w:rPr>
            </w:pPr>
            <w:r w:rsidRPr="0099428A">
              <w:rPr>
                <w:b/>
                <w:bCs/>
                <w:color w:val="000000"/>
                <w:sz w:val="20"/>
                <w:szCs w:val="20"/>
                <w:u w:color="000000"/>
              </w:rPr>
              <w:t>Target Completion Date(s)</w:t>
            </w:r>
          </w:p>
        </w:tc>
      </w:tr>
      <w:tr w:rsidR="00B70DA7" w:rsidRPr="0099428A" w:rsidTr="00B70DA7">
        <w:trPr>
          <w:trHeight w:val="620"/>
          <w:jc w:val="center"/>
        </w:trPr>
        <w:tc>
          <w:tcPr>
            <w:tcW w:w="1824" w:type="pct"/>
            <w:vMerge w:val="restart"/>
            <w:shd w:val="clear" w:color="auto" w:fill="auto"/>
            <w:tcMar>
              <w:top w:w="90" w:type="dxa"/>
              <w:left w:w="90" w:type="dxa"/>
              <w:bottom w:w="90" w:type="dxa"/>
              <w:right w:w="90" w:type="dxa"/>
            </w:tcMar>
          </w:tcPr>
          <w:p w:rsidR="00B70DA7" w:rsidRDefault="00B70DA7" w:rsidP="000336A9">
            <w:pPr>
              <w:numPr>
                <w:ilvl w:val="0"/>
                <w:numId w:val="2"/>
              </w:numPr>
              <w:suppressAutoHyphens/>
              <w:autoSpaceDE w:val="0"/>
              <w:autoSpaceDN w:val="0"/>
              <w:adjustRightInd w:val="0"/>
              <w:spacing w:after="200" w:line="276" w:lineRule="auto"/>
              <w:textAlignment w:val="center"/>
              <w:rPr>
                <w:color w:val="000000"/>
                <w:sz w:val="20"/>
                <w:szCs w:val="20"/>
              </w:rPr>
            </w:pPr>
            <w:r>
              <w:rPr>
                <w:color w:val="000000"/>
                <w:sz w:val="20"/>
                <w:szCs w:val="20"/>
              </w:rPr>
              <w:t>Work with wine industry to develop plan for increasing funding for affordable housing.</w:t>
            </w:r>
          </w:p>
          <w:p w:rsidR="00B70DA7" w:rsidRPr="0099428A" w:rsidRDefault="00B70DA7" w:rsidP="00DC6E5A">
            <w:pPr>
              <w:suppressAutoHyphens/>
              <w:autoSpaceDE w:val="0"/>
              <w:autoSpaceDN w:val="0"/>
              <w:adjustRightInd w:val="0"/>
              <w:spacing w:after="200" w:line="276" w:lineRule="auto"/>
              <w:ind w:left="360"/>
              <w:textAlignment w:val="center"/>
              <w:rPr>
                <w:color w:val="000000"/>
                <w:sz w:val="20"/>
                <w:szCs w:val="20"/>
              </w:rPr>
            </w:pPr>
          </w:p>
        </w:tc>
        <w:tc>
          <w:tcPr>
            <w:tcW w:w="664" w:type="pct"/>
            <w:shd w:val="clear" w:color="auto" w:fill="auto"/>
            <w:tcMar>
              <w:top w:w="90" w:type="dxa"/>
              <w:left w:w="90" w:type="dxa"/>
              <w:bottom w:w="90" w:type="dxa"/>
              <w:right w:w="90" w:type="dxa"/>
            </w:tcMar>
            <w:vAlign w:val="center"/>
          </w:tcPr>
          <w:p w:rsidR="00B70DA7" w:rsidRPr="0099428A" w:rsidRDefault="00B70DA7" w:rsidP="000336A9">
            <w:pPr>
              <w:suppressAutoHyphens/>
              <w:autoSpaceDE w:val="0"/>
              <w:autoSpaceDN w:val="0"/>
              <w:adjustRightInd w:val="0"/>
              <w:jc w:val="center"/>
              <w:textAlignment w:val="center"/>
              <w:rPr>
                <w:color w:val="000000"/>
                <w:sz w:val="20"/>
                <w:szCs w:val="20"/>
              </w:rPr>
            </w:pPr>
            <w:r w:rsidRPr="0099428A">
              <w:rPr>
                <w:color w:val="000000"/>
                <w:sz w:val="20"/>
                <w:szCs w:val="20"/>
              </w:rPr>
              <w:t>Local</w:t>
            </w:r>
          </w:p>
        </w:tc>
        <w:tc>
          <w:tcPr>
            <w:tcW w:w="563" w:type="pct"/>
            <w:shd w:val="clear" w:color="auto" w:fill="auto"/>
            <w:vAlign w:val="center"/>
          </w:tcPr>
          <w:p w:rsidR="00B70DA7" w:rsidRPr="0099428A" w:rsidRDefault="00B70DA7" w:rsidP="000336A9">
            <w:pPr>
              <w:suppressAutoHyphens/>
              <w:autoSpaceDE w:val="0"/>
              <w:autoSpaceDN w:val="0"/>
              <w:adjustRightInd w:val="0"/>
              <w:jc w:val="center"/>
              <w:textAlignment w:val="center"/>
              <w:rPr>
                <w:color w:val="000000"/>
                <w:sz w:val="20"/>
                <w:szCs w:val="20"/>
              </w:rPr>
            </w:pPr>
            <w:r>
              <w:rPr>
                <w:color w:val="000000"/>
                <w:sz w:val="20"/>
                <w:szCs w:val="20"/>
              </w:rPr>
              <w:t>X</w:t>
            </w:r>
          </w:p>
        </w:tc>
        <w:tc>
          <w:tcPr>
            <w:tcW w:w="1399" w:type="pct"/>
            <w:vMerge w:val="restart"/>
            <w:shd w:val="clear" w:color="auto" w:fill="auto"/>
            <w:tcMar>
              <w:top w:w="90" w:type="dxa"/>
              <w:left w:w="90" w:type="dxa"/>
              <w:bottom w:w="90" w:type="dxa"/>
              <w:right w:w="90" w:type="dxa"/>
            </w:tcMar>
          </w:tcPr>
          <w:p w:rsidR="00B70DA7" w:rsidRPr="0099428A" w:rsidRDefault="00B70DA7" w:rsidP="000917ED">
            <w:pPr>
              <w:numPr>
                <w:ilvl w:val="0"/>
                <w:numId w:val="2"/>
              </w:numPr>
              <w:suppressAutoHyphens/>
              <w:autoSpaceDE w:val="0"/>
              <w:autoSpaceDN w:val="0"/>
              <w:adjustRightInd w:val="0"/>
              <w:spacing w:after="200" w:line="276" w:lineRule="auto"/>
              <w:textAlignment w:val="center"/>
              <w:rPr>
                <w:color w:val="000000"/>
                <w:sz w:val="20"/>
                <w:szCs w:val="20"/>
              </w:rPr>
            </w:pPr>
            <w:r>
              <w:rPr>
                <w:color w:val="000000"/>
                <w:sz w:val="20"/>
                <w:szCs w:val="20"/>
              </w:rPr>
              <w:t>Recommendation for new revenues from wine industry to fund development of affordable housing</w:t>
            </w:r>
          </w:p>
        </w:tc>
        <w:tc>
          <w:tcPr>
            <w:tcW w:w="550" w:type="pct"/>
            <w:vMerge w:val="restart"/>
            <w:shd w:val="clear" w:color="auto" w:fill="auto"/>
            <w:tcMar>
              <w:top w:w="90" w:type="dxa"/>
              <w:left w:w="90" w:type="dxa"/>
              <w:bottom w:w="90" w:type="dxa"/>
              <w:right w:w="90" w:type="dxa"/>
            </w:tcMar>
          </w:tcPr>
          <w:p w:rsidR="00B70DA7" w:rsidRPr="0099428A" w:rsidRDefault="00B70DA7" w:rsidP="000336A9">
            <w:pPr>
              <w:autoSpaceDE w:val="0"/>
              <w:autoSpaceDN w:val="0"/>
              <w:adjustRightInd w:val="0"/>
              <w:spacing w:line="288" w:lineRule="auto"/>
              <w:textAlignment w:val="center"/>
              <w:rPr>
                <w:color w:val="000000"/>
                <w:sz w:val="20"/>
                <w:szCs w:val="20"/>
              </w:rPr>
            </w:pPr>
          </w:p>
        </w:tc>
      </w:tr>
      <w:tr w:rsidR="00B70DA7" w:rsidRPr="0099428A" w:rsidTr="00B70DA7">
        <w:trPr>
          <w:trHeight w:val="620"/>
          <w:jc w:val="center"/>
        </w:trPr>
        <w:tc>
          <w:tcPr>
            <w:tcW w:w="1824" w:type="pct"/>
            <w:vMerge/>
            <w:shd w:val="clear" w:color="auto" w:fill="auto"/>
            <w:tcMar>
              <w:top w:w="90" w:type="dxa"/>
              <w:left w:w="90" w:type="dxa"/>
              <w:bottom w:w="90" w:type="dxa"/>
              <w:right w:w="90" w:type="dxa"/>
            </w:tcMar>
          </w:tcPr>
          <w:p w:rsidR="00B70DA7" w:rsidRPr="0099428A" w:rsidRDefault="00B70DA7" w:rsidP="000336A9">
            <w:pPr>
              <w:numPr>
                <w:ilvl w:val="0"/>
                <w:numId w:val="2"/>
              </w:numPr>
              <w:suppressAutoHyphens/>
              <w:autoSpaceDE w:val="0"/>
              <w:autoSpaceDN w:val="0"/>
              <w:adjustRightInd w:val="0"/>
              <w:spacing w:after="200" w:line="276" w:lineRule="auto"/>
              <w:textAlignment w:val="center"/>
              <w:rPr>
                <w:color w:val="000000"/>
                <w:sz w:val="20"/>
                <w:szCs w:val="20"/>
              </w:rPr>
            </w:pPr>
          </w:p>
        </w:tc>
        <w:tc>
          <w:tcPr>
            <w:tcW w:w="664" w:type="pct"/>
            <w:shd w:val="clear" w:color="auto" w:fill="auto"/>
            <w:tcMar>
              <w:top w:w="90" w:type="dxa"/>
              <w:left w:w="90" w:type="dxa"/>
              <w:bottom w:w="90" w:type="dxa"/>
              <w:right w:w="90" w:type="dxa"/>
            </w:tcMar>
            <w:vAlign w:val="center"/>
          </w:tcPr>
          <w:p w:rsidR="00B70DA7" w:rsidRPr="0099428A" w:rsidRDefault="00B70DA7" w:rsidP="000336A9">
            <w:pPr>
              <w:suppressAutoHyphens/>
              <w:autoSpaceDE w:val="0"/>
              <w:autoSpaceDN w:val="0"/>
              <w:adjustRightInd w:val="0"/>
              <w:jc w:val="center"/>
              <w:textAlignment w:val="center"/>
              <w:rPr>
                <w:color w:val="000000"/>
                <w:sz w:val="20"/>
                <w:szCs w:val="20"/>
              </w:rPr>
            </w:pPr>
            <w:r w:rsidRPr="0099428A">
              <w:rPr>
                <w:color w:val="000000"/>
                <w:sz w:val="20"/>
                <w:szCs w:val="20"/>
              </w:rPr>
              <w:t>State</w:t>
            </w:r>
          </w:p>
        </w:tc>
        <w:tc>
          <w:tcPr>
            <w:tcW w:w="563" w:type="pct"/>
            <w:shd w:val="clear" w:color="auto" w:fill="auto"/>
            <w:vAlign w:val="center"/>
          </w:tcPr>
          <w:p w:rsidR="00B70DA7" w:rsidRPr="0099428A" w:rsidRDefault="00B70DA7" w:rsidP="000336A9">
            <w:pPr>
              <w:suppressAutoHyphens/>
              <w:autoSpaceDE w:val="0"/>
              <w:autoSpaceDN w:val="0"/>
              <w:adjustRightInd w:val="0"/>
              <w:jc w:val="center"/>
              <w:textAlignment w:val="center"/>
              <w:rPr>
                <w:color w:val="000000"/>
                <w:sz w:val="20"/>
                <w:szCs w:val="20"/>
              </w:rPr>
            </w:pPr>
            <w:r>
              <w:rPr>
                <w:color w:val="000000"/>
                <w:sz w:val="20"/>
                <w:szCs w:val="20"/>
              </w:rPr>
              <w:t>X</w:t>
            </w:r>
          </w:p>
        </w:tc>
        <w:tc>
          <w:tcPr>
            <w:tcW w:w="1399" w:type="pct"/>
            <w:vMerge/>
            <w:shd w:val="clear" w:color="auto" w:fill="auto"/>
            <w:tcMar>
              <w:top w:w="90" w:type="dxa"/>
              <w:left w:w="90" w:type="dxa"/>
              <w:bottom w:w="90" w:type="dxa"/>
              <w:right w:w="90" w:type="dxa"/>
            </w:tcMar>
          </w:tcPr>
          <w:p w:rsidR="00B70DA7" w:rsidRPr="0099428A" w:rsidRDefault="00B70DA7" w:rsidP="000336A9">
            <w:pPr>
              <w:numPr>
                <w:ilvl w:val="0"/>
                <w:numId w:val="2"/>
              </w:numPr>
              <w:suppressAutoHyphens/>
              <w:autoSpaceDE w:val="0"/>
              <w:autoSpaceDN w:val="0"/>
              <w:adjustRightInd w:val="0"/>
              <w:spacing w:after="200" w:line="276" w:lineRule="auto"/>
              <w:textAlignment w:val="center"/>
              <w:rPr>
                <w:color w:val="000000"/>
                <w:sz w:val="20"/>
                <w:szCs w:val="20"/>
              </w:rPr>
            </w:pPr>
          </w:p>
        </w:tc>
        <w:tc>
          <w:tcPr>
            <w:tcW w:w="550" w:type="pct"/>
            <w:vMerge/>
            <w:shd w:val="clear" w:color="auto" w:fill="auto"/>
            <w:tcMar>
              <w:top w:w="90" w:type="dxa"/>
              <w:left w:w="90" w:type="dxa"/>
              <w:bottom w:w="90" w:type="dxa"/>
              <w:right w:w="90" w:type="dxa"/>
            </w:tcMar>
          </w:tcPr>
          <w:p w:rsidR="00B70DA7" w:rsidRPr="0099428A" w:rsidRDefault="00B70DA7" w:rsidP="000336A9">
            <w:pPr>
              <w:autoSpaceDE w:val="0"/>
              <w:autoSpaceDN w:val="0"/>
              <w:adjustRightInd w:val="0"/>
              <w:spacing w:line="288" w:lineRule="auto"/>
              <w:textAlignment w:val="center"/>
              <w:rPr>
                <w:color w:val="000000"/>
                <w:sz w:val="20"/>
                <w:szCs w:val="20"/>
              </w:rPr>
            </w:pPr>
          </w:p>
        </w:tc>
      </w:tr>
      <w:tr w:rsidR="00B70DA7" w:rsidRPr="0099428A" w:rsidTr="00B70DA7">
        <w:trPr>
          <w:trHeight w:val="629"/>
          <w:jc w:val="center"/>
        </w:trPr>
        <w:tc>
          <w:tcPr>
            <w:tcW w:w="1824" w:type="pct"/>
            <w:vMerge/>
            <w:shd w:val="clear" w:color="auto" w:fill="auto"/>
            <w:tcMar>
              <w:top w:w="90" w:type="dxa"/>
              <w:left w:w="90" w:type="dxa"/>
              <w:bottom w:w="90" w:type="dxa"/>
              <w:right w:w="90" w:type="dxa"/>
            </w:tcMar>
          </w:tcPr>
          <w:p w:rsidR="00B70DA7" w:rsidRPr="0099428A" w:rsidRDefault="00B70DA7" w:rsidP="000336A9">
            <w:pPr>
              <w:numPr>
                <w:ilvl w:val="0"/>
                <w:numId w:val="2"/>
              </w:numPr>
              <w:suppressAutoHyphens/>
              <w:autoSpaceDE w:val="0"/>
              <w:autoSpaceDN w:val="0"/>
              <w:adjustRightInd w:val="0"/>
              <w:spacing w:after="200" w:line="276" w:lineRule="auto"/>
              <w:textAlignment w:val="center"/>
              <w:rPr>
                <w:color w:val="000000"/>
                <w:sz w:val="20"/>
                <w:szCs w:val="20"/>
              </w:rPr>
            </w:pPr>
          </w:p>
        </w:tc>
        <w:tc>
          <w:tcPr>
            <w:tcW w:w="664" w:type="pct"/>
            <w:shd w:val="clear" w:color="auto" w:fill="auto"/>
            <w:tcMar>
              <w:top w:w="90" w:type="dxa"/>
              <w:left w:w="90" w:type="dxa"/>
              <w:bottom w:w="90" w:type="dxa"/>
              <w:right w:w="90" w:type="dxa"/>
            </w:tcMar>
            <w:vAlign w:val="center"/>
          </w:tcPr>
          <w:p w:rsidR="00B70DA7" w:rsidRPr="0099428A" w:rsidRDefault="00B70DA7" w:rsidP="000336A9">
            <w:pPr>
              <w:suppressAutoHyphens/>
              <w:autoSpaceDE w:val="0"/>
              <w:autoSpaceDN w:val="0"/>
              <w:adjustRightInd w:val="0"/>
              <w:jc w:val="center"/>
              <w:textAlignment w:val="center"/>
              <w:rPr>
                <w:color w:val="000000"/>
                <w:sz w:val="20"/>
                <w:szCs w:val="20"/>
              </w:rPr>
            </w:pPr>
            <w:r w:rsidRPr="0099428A">
              <w:rPr>
                <w:color w:val="000000"/>
                <w:sz w:val="20"/>
                <w:szCs w:val="20"/>
              </w:rPr>
              <w:t>Voter</w:t>
            </w:r>
          </w:p>
        </w:tc>
        <w:tc>
          <w:tcPr>
            <w:tcW w:w="563" w:type="pct"/>
            <w:shd w:val="clear" w:color="auto" w:fill="auto"/>
            <w:vAlign w:val="center"/>
          </w:tcPr>
          <w:p w:rsidR="00B70DA7" w:rsidRPr="0099428A" w:rsidRDefault="00B70DA7" w:rsidP="000336A9">
            <w:pPr>
              <w:suppressAutoHyphens/>
              <w:autoSpaceDE w:val="0"/>
              <w:autoSpaceDN w:val="0"/>
              <w:adjustRightInd w:val="0"/>
              <w:jc w:val="center"/>
              <w:textAlignment w:val="center"/>
              <w:rPr>
                <w:color w:val="000000"/>
                <w:sz w:val="20"/>
                <w:szCs w:val="20"/>
              </w:rPr>
            </w:pPr>
          </w:p>
        </w:tc>
        <w:tc>
          <w:tcPr>
            <w:tcW w:w="1399" w:type="pct"/>
            <w:vMerge/>
            <w:shd w:val="clear" w:color="auto" w:fill="auto"/>
            <w:tcMar>
              <w:top w:w="90" w:type="dxa"/>
              <w:left w:w="90" w:type="dxa"/>
              <w:bottom w:w="90" w:type="dxa"/>
              <w:right w:w="90" w:type="dxa"/>
            </w:tcMar>
          </w:tcPr>
          <w:p w:rsidR="00B70DA7" w:rsidRPr="0099428A" w:rsidRDefault="00B70DA7" w:rsidP="000336A9">
            <w:pPr>
              <w:numPr>
                <w:ilvl w:val="0"/>
                <w:numId w:val="2"/>
              </w:numPr>
              <w:suppressAutoHyphens/>
              <w:autoSpaceDE w:val="0"/>
              <w:autoSpaceDN w:val="0"/>
              <w:adjustRightInd w:val="0"/>
              <w:spacing w:after="200" w:line="276" w:lineRule="auto"/>
              <w:textAlignment w:val="center"/>
              <w:rPr>
                <w:color w:val="000000"/>
                <w:sz w:val="20"/>
                <w:szCs w:val="20"/>
              </w:rPr>
            </w:pPr>
          </w:p>
        </w:tc>
        <w:tc>
          <w:tcPr>
            <w:tcW w:w="550" w:type="pct"/>
            <w:vMerge/>
            <w:shd w:val="clear" w:color="auto" w:fill="auto"/>
            <w:tcMar>
              <w:top w:w="90" w:type="dxa"/>
              <w:left w:w="90" w:type="dxa"/>
              <w:bottom w:w="90" w:type="dxa"/>
              <w:right w:w="90" w:type="dxa"/>
            </w:tcMar>
          </w:tcPr>
          <w:p w:rsidR="00B70DA7" w:rsidRPr="0099428A" w:rsidRDefault="00B70DA7" w:rsidP="000336A9">
            <w:pPr>
              <w:autoSpaceDE w:val="0"/>
              <w:autoSpaceDN w:val="0"/>
              <w:adjustRightInd w:val="0"/>
              <w:spacing w:line="288" w:lineRule="auto"/>
              <w:textAlignment w:val="center"/>
              <w:rPr>
                <w:color w:val="000000"/>
                <w:sz w:val="20"/>
                <w:szCs w:val="20"/>
              </w:rPr>
            </w:pPr>
          </w:p>
        </w:tc>
      </w:tr>
      <w:tr w:rsidR="00B70DA7" w:rsidRPr="0099428A" w:rsidTr="00B70DA7">
        <w:trPr>
          <w:trHeight w:val="665"/>
          <w:jc w:val="center"/>
        </w:trPr>
        <w:tc>
          <w:tcPr>
            <w:tcW w:w="1824" w:type="pct"/>
            <w:vMerge w:val="restart"/>
            <w:shd w:val="clear" w:color="auto" w:fill="auto"/>
            <w:tcMar>
              <w:top w:w="90" w:type="dxa"/>
              <w:left w:w="90" w:type="dxa"/>
              <w:bottom w:w="90" w:type="dxa"/>
              <w:right w:w="90" w:type="dxa"/>
            </w:tcMar>
          </w:tcPr>
          <w:p w:rsidR="00B70DA7" w:rsidRDefault="00B70DA7" w:rsidP="000336A9">
            <w:pPr>
              <w:numPr>
                <w:ilvl w:val="0"/>
                <w:numId w:val="2"/>
              </w:numPr>
              <w:suppressAutoHyphens/>
              <w:autoSpaceDE w:val="0"/>
              <w:autoSpaceDN w:val="0"/>
              <w:adjustRightInd w:val="0"/>
              <w:spacing w:after="200" w:line="276" w:lineRule="auto"/>
              <w:textAlignment w:val="center"/>
              <w:rPr>
                <w:color w:val="000000"/>
                <w:sz w:val="20"/>
                <w:szCs w:val="20"/>
              </w:rPr>
            </w:pPr>
            <w:r>
              <w:rPr>
                <w:color w:val="000000"/>
                <w:sz w:val="20"/>
                <w:szCs w:val="20"/>
              </w:rPr>
              <w:t xml:space="preserve">Consider  increasing CSA Assessment </w:t>
            </w:r>
            <w:r w:rsidRPr="0099428A">
              <w:rPr>
                <w:color w:val="000000"/>
                <w:sz w:val="20"/>
                <w:szCs w:val="20"/>
              </w:rPr>
              <w:t xml:space="preserve">Work with </w:t>
            </w:r>
            <w:r>
              <w:rPr>
                <w:color w:val="000000"/>
                <w:sz w:val="20"/>
                <w:szCs w:val="20"/>
              </w:rPr>
              <w:t xml:space="preserve">ratepayers and </w:t>
            </w:r>
            <w:r w:rsidRPr="0099428A">
              <w:rPr>
                <w:color w:val="000000"/>
                <w:sz w:val="20"/>
                <w:szCs w:val="20"/>
              </w:rPr>
              <w:t xml:space="preserve">the state legislature to adopt legislation that increases the CSA 4 assessment </w:t>
            </w:r>
          </w:p>
          <w:p w:rsidR="00B70DA7" w:rsidRPr="0099428A" w:rsidRDefault="00B70DA7" w:rsidP="000336A9">
            <w:pPr>
              <w:numPr>
                <w:ilvl w:val="0"/>
                <w:numId w:val="2"/>
              </w:numPr>
              <w:suppressAutoHyphens/>
              <w:autoSpaceDE w:val="0"/>
              <w:autoSpaceDN w:val="0"/>
              <w:adjustRightInd w:val="0"/>
              <w:spacing w:after="200" w:line="276" w:lineRule="auto"/>
              <w:textAlignment w:val="center"/>
              <w:rPr>
                <w:color w:val="000000"/>
                <w:sz w:val="20"/>
                <w:szCs w:val="20"/>
              </w:rPr>
            </w:pPr>
            <w:r w:rsidRPr="0099428A">
              <w:rPr>
                <w:color w:val="000000"/>
                <w:sz w:val="20"/>
                <w:szCs w:val="20"/>
              </w:rPr>
              <w:t>Conduct countywide vote to increase assessment if state legislation is successful</w:t>
            </w:r>
          </w:p>
        </w:tc>
        <w:tc>
          <w:tcPr>
            <w:tcW w:w="664" w:type="pct"/>
            <w:tcBorders>
              <w:bottom w:val="single" w:sz="4" w:space="0" w:color="000000"/>
            </w:tcBorders>
            <w:shd w:val="clear" w:color="auto" w:fill="auto"/>
            <w:tcMar>
              <w:top w:w="90" w:type="dxa"/>
              <w:left w:w="90" w:type="dxa"/>
              <w:bottom w:w="90" w:type="dxa"/>
              <w:right w:w="90" w:type="dxa"/>
            </w:tcMar>
            <w:vAlign w:val="center"/>
          </w:tcPr>
          <w:p w:rsidR="00B70DA7" w:rsidRPr="0099428A" w:rsidRDefault="00B70DA7" w:rsidP="000336A9">
            <w:pPr>
              <w:suppressAutoHyphens/>
              <w:autoSpaceDE w:val="0"/>
              <w:autoSpaceDN w:val="0"/>
              <w:adjustRightInd w:val="0"/>
              <w:jc w:val="center"/>
              <w:textAlignment w:val="center"/>
              <w:rPr>
                <w:color w:val="000000"/>
                <w:sz w:val="20"/>
                <w:szCs w:val="20"/>
              </w:rPr>
            </w:pPr>
            <w:r w:rsidRPr="0099428A">
              <w:rPr>
                <w:color w:val="000000"/>
                <w:sz w:val="20"/>
                <w:szCs w:val="20"/>
              </w:rPr>
              <w:t>Local</w:t>
            </w:r>
          </w:p>
        </w:tc>
        <w:tc>
          <w:tcPr>
            <w:tcW w:w="563" w:type="pct"/>
            <w:tcBorders>
              <w:bottom w:val="single" w:sz="4" w:space="0" w:color="000000"/>
            </w:tcBorders>
            <w:shd w:val="clear" w:color="auto" w:fill="auto"/>
            <w:vAlign w:val="center"/>
          </w:tcPr>
          <w:p w:rsidR="00B70DA7" w:rsidRPr="0099428A" w:rsidRDefault="00B70DA7" w:rsidP="000336A9">
            <w:pPr>
              <w:suppressAutoHyphens/>
              <w:autoSpaceDE w:val="0"/>
              <w:autoSpaceDN w:val="0"/>
              <w:adjustRightInd w:val="0"/>
              <w:jc w:val="center"/>
              <w:textAlignment w:val="center"/>
              <w:rPr>
                <w:color w:val="000000"/>
                <w:sz w:val="20"/>
                <w:szCs w:val="20"/>
              </w:rPr>
            </w:pPr>
            <w:r>
              <w:rPr>
                <w:color w:val="000000"/>
                <w:sz w:val="20"/>
                <w:szCs w:val="20"/>
              </w:rPr>
              <w:t>X</w:t>
            </w:r>
          </w:p>
        </w:tc>
        <w:tc>
          <w:tcPr>
            <w:tcW w:w="1399" w:type="pct"/>
            <w:vMerge w:val="restart"/>
            <w:shd w:val="clear" w:color="auto" w:fill="auto"/>
            <w:tcMar>
              <w:top w:w="90" w:type="dxa"/>
              <w:left w:w="90" w:type="dxa"/>
              <w:bottom w:w="90" w:type="dxa"/>
              <w:right w:w="90" w:type="dxa"/>
            </w:tcMar>
          </w:tcPr>
          <w:p w:rsidR="00B70DA7" w:rsidRDefault="00B70DA7" w:rsidP="000917ED">
            <w:pPr>
              <w:numPr>
                <w:ilvl w:val="0"/>
                <w:numId w:val="2"/>
              </w:numPr>
              <w:suppressAutoHyphens/>
              <w:autoSpaceDE w:val="0"/>
              <w:autoSpaceDN w:val="0"/>
              <w:adjustRightInd w:val="0"/>
              <w:spacing w:after="200" w:line="276" w:lineRule="auto"/>
              <w:textAlignment w:val="center"/>
              <w:rPr>
                <w:color w:val="000000"/>
                <w:sz w:val="20"/>
                <w:szCs w:val="20"/>
              </w:rPr>
            </w:pPr>
            <w:r>
              <w:rPr>
                <w:color w:val="000000"/>
                <w:sz w:val="20"/>
                <w:szCs w:val="20"/>
              </w:rPr>
              <w:t>Countywide vote authorized by change in State legislation to increase CSA 4 rate.</w:t>
            </w:r>
          </w:p>
          <w:p w:rsidR="00B70DA7" w:rsidRPr="0099428A" w:rsidRDefault="00B70DA7" w:rsidP="000917ED">
            <w:pPr>
              <w:numPr>
                <w:ilvl w:val="0"/>
                <w:numId w:val="2"/>
              </w:numPr>
              <w:suppressAutoHyphens/>
              <w:autoSpaceDE w:val="0"/>
              <w:autoSpaceDN w:val="0"/>
              <w:adjustRightInd w:val="0"/>
              <w:spacing w:after="200" w:line="276" w:lineRule="auto"/>
              <w:textAlignment w:val="center"/>
              <w:rPr>
                <w:color w:val="000000"/>
                <w:sz w:val="20"/>
                <w:szCs w:val="20"/>
              </w:rPr>
            </w:pPr>
            <w:r w:rsidRPr="0099428A">
              <w:rPr>
                <w:color w:val="000000"/>
                <w:sz w:val="20"/>
                <w:szCs w:val="20"/>
              </w:rPr>
              <w:t>Parcel owner approval authorizing an increase to the CSA 4 assessment</w:t>
            </w:r>
            <w:r>
              <w:rPr>
                <w:color w:val="000000"/>
                <w:sz w:val="20"/>
                <w:szCs w:val="20"/>
              </w:rPr>
              <w:t>.</w:t>
            </w:r>
            <w:r w:rsidRPr="0099428A">
              <w:rPr>
                <w:color w:val="000000"/>
                <w:sz w:val="20"/>
                <w:szCs w:val="20"/>
              </w:rPr>
              <w:t xml:space="preserve"> </w:t>
            </w:r>
          </w:p>
        </w:tc>
        <w:tc>
          <w:tcPr>
            <w:tcW w:w="550" w:type="pct"/>
            <w:vMerge w:val="restart"/>
            <w:shd w:val="clear" w:color="auto" w:fill="auto"/>
            <w:tcMar>
              <w:top w:w="90" w:type="dxa"/>
              <w:left w:w="90" w:type="dxa"/>
              <w:bottom w:w="90" w:type="dxa"/>
              <w:right w:w="90" w:type="dxa"/>
            </w:tcMar>
          </w:tcPr>
          <w:p w:rsidR="00B70DA7" w:rsidRPr="0099428A" w:rsidRDefault="00B70DA7" w:rsidP="000336A9">
            <w:pPr>
              <w:autoSpaceDE w:val="0"/>
              <w:autoSpaceDN w:val="0"/>
              <w:adjustRightInd w:val="0"/>
              <w:spacing w:line="288" w:lineRule="auto"/>
              <w:textAlignment w:val="center"/>
              <w:rPr>
                <w:color w:val="000000"/>
                <w:sz w:val="20"/>
                <w:szCs w:val="20"/>
              </w:rPr>
            </w:pPr>
          </w:p>
        </w:tc>
      </w:tr>
      <w:tr w:rsidR="00B70DA7" w:rsidRPr="0099428A" w:rsidTr="00B70DA7">
        <w:trPr>
          <w:trHeight w:val="683"/>
          <w:jc w:val="center"/>
        </w:trPr>
        <w:tc>
          <w:tcPr>
            <w:tcW w:w="1824" w:type="pct"/>
            <w:vMerge/>
            <w:shd w:val="clear" w:color="auto" w:fill="auto"/>
            <w:tcMar>
              <w:top w:w="90" w:type="dxa"/>
              <w:left w:w="90" w:type="dxa"/>
              <w:bottom w:w="90" w:type="dxa"/>
              <w:right w:w="90" w:type="dxa"/>
            </w:tcMar>
          </w:tcPr>
          <w:p w:rsidR="00B70DA7" w:rsidRPr="0099428A" w:rsidRDefault="00B70DA7" w:rsidP="000336A9">
            <w:pPr>
              <w:numPr>
                <w:ilvl w:val="0"/>
                <w:numId w:val="2"/>
              </w:numPr>
              <w:suppressAutoHyphens/>
              <w:autoSpaceDE w:val="0"/>
              <w:autoSpaceDN w:val="0"/>
              <w:adjustRightInd w:val="0"/>
              <w:spacing w:after="200" w:line="276" w:lineRule="auto"/>
              <w:textAlignment w:val="center"/>
              <w:rPr>
                <w:color w:val="000000"/>
                <w:sz w:val="20"/>
                <w:szCs w:val="20"/>
              </w:rPr>
            </w:pPr>
          </w:p>
        </w:tc>
        <w:tc>
          <w:tcPr>
            <w:tcW w:w="664" w:type="pct"/>
            <w:tcBorders>
              <w:bottom w:val="single" w:sz="4" w:space="0" w:color="000000"/>
            </w:tcBorders>
            <w:shd w:val="clear" w:color="auto" w:fill="auto"/>
            <w:tcMar>
              <w:top w:w="90" w:type="dxa"/>
              <w:left w:w="90" w:type="dxa"/>
              <w:bottom w:w="90" w:type="dxa"/>
              <w:right w:w="90" w:type="dxa"/>
            </w:tcMar>
            <w:vAlign w:val="center"/>
          </w:tcPr>
          <w:p w:rsidR="00B70DA7" w:rsidRPr="0099428A" w:rsidRDefault="00B70DA7" w:rsidP="000336A9">
            <w:pPr>
              <w:suppressAutoHyphens/>
              <w:autoSpaceDE w:val="0"/>
              <w:autoSpaceDN w:val="0"/>
              <w:adjustRightInd w:val="0"/>
              <w:jc w:val="center"/>
              <w:textAlignment w:val="center"/>
              <w:rPr>
                <w:color w:val="000000"/>
                <w:sz w:val="20"/>
                <w:szCs w:val="20"/>
              </w:rPr>
            </w:pPr>
            <w:r w:rsidRPr="0099428A">
              <w:rPr>
                <w:color w:val="000000"/>
                <w:sz w:val="20"/>
                <w:szCs w:val="20"/>
              </w:rPr>
              <w:t>State</w:t>
            </w:r>
          </w:p>
        </w:tc>
        <w:tc>
          <w:tcPr>
            <w:tcW w:w="563" w:type="pct"/>
            <w:tcBorders>
              <w:bottom w:val="single" w:sz="4" w:space="0" w:color="000000"/>
            </w:tcBorders>
            <w:shd w:val="clear" w:color="auto" w:fill="auto"/>
            <w:vAlign w:val="center"/>
          </w:tcPr>
          <w:p w:rsidR="00B70DA7" w:rsidRPr="0099428A" w:rsidRDefault="00B70DA7" w:rsidP="000336A9">
            <w:pPr>
              <w:suppressAutoHyphens/>
              <w:autoSpaceDE w:val="0"/>
              <w:autoSpaceDN w:val="0"/>
              <w:adjustRightInd w:val="0"/>
              <w:jc w:val="center"/>
              <w:textAlignment w:val="center"/>
              <w:rPr>
                <w:color w:val="000000"/>
                <w:sz w:val="20"/>
                <w:szCs w:val="20"/>
              </w:rPr>
            </w:pPr>
          </w:p>
        </w:tc>
        <w:tc>
          <w:tcPr>
            <w:tcW w:w="1399" w:type="pct"/>
            <w:vMerge/>
            <w:shd w:val="clear" w:color="auto" w:fill="auto"/>
            <w:tcMar>
              <w:top w:w="90" w:type="dxa"/>
              <w:left w:w="90" w:type="dxa"/>
              <w:bottom w:w="90" w:type="dxa"/>
              <w:right w:w="90" w:type="dxa"/>
            </w:tcMar>
          </w:tcPr>
          <w:p w:rsidR="00B70DA7" w:rsidRPr="0099428A" w:rsidRDefault="00B70DA7" w:rsidP="000336A9">
            <w:pPr>
              <w:numPr>
                <w:ilvl w:val="0"/>
                <w:numId w:val="2"/>
              </w:numPr>
              <w:suppressAutoHyphens/>
              <w:autoSpaceDE w:val="0"/>
              <w:autoSpaceDN w:val="0"/>
              <w:adjustRightInd w:val="0"/>
              <w:spacing w:after="200" w:line="276" w:lineRule="auto"/>
              <w:textAlignment w:val="center"/>
              <w:rPr>
                <w:color w:val="000000"/>
                <w:sz w:val="20"/>
                <w:szCs w:val="20"/>
              </w:rPr>
            </w:pPr>
          </w:p>
        </w:tc>
        <w:tc>
          <w:tcPr>
            <w:tcW w:w="550" w:type="pct"/>
            <w:vMerge/>
            <w:shd w:val="clear" w:color="auto" w:fill="auto"/>
            <w:tcMar>
              <w:top w:w="90" w:type="dxa"/>
              <w:left w:w="90" w:type="dxa"/>
              <w:bottom w:w="90" w:type="dxa"/>
              <w:right w:w="90" w:type="dxa"/>
            </w:tcMar>
          </w:tcPr>
          <w:p w:rsidR="00B70DA7" w:rsidRPr="0099428A" w:rsidRDefault="00B70DA7" w:rsidP="000336A9">
            <w:pPr>
              <w:autoSpaceDE w:val="0"/>
              <w:autoSpaceDN w:val="0"/>
              <w:adjustRightInd w:val="0"/>
              <w:spacing w:line="288" w:lineRule="auto"/>
              <w:textAlignment w:val="center"/>
              <w:rPr>
                <w:color w:val="000000"/>
                <w:sz w:val="20"/>
                <w:szCs w:val="20"/>
              </w:rPr>
            </w:pPr>
          </w:p>
        </w:tc>
      </w:tr>
      <w:tr w:rsidR="00B70DA7" w:rsidRPr="0099428A" w:rsidTr="00B70DA7">
        <w:trPr>
          <w:trHeight w:val="629"/>
          <w:jc w:val="center"/>
        </w:trPr>
        <w:tc>
          <w:tcPr>
            <w:tcW w:w="1824" w:type="pct"/>
            <w:vMerge/>
            <w:tcBorders>
              <w:bottom w:val="single" w:sz="4" w:space="0" w:color="000000"/>
            </w:tcBorders>
            <w:shd w:val="clear" w:color="auto" w:fill="auto"/>
            <w:tcMar>
              <w:top w:w="90" w:type="dxa"/>
              <w:left w:w="90" w:type="dxa"/>
              <w:bottom w:w="90" w:type="dxa"/>
              <w:right w:w="90" w:type="dxa"/>
            </w:tcMar>
          </w:tcPr>
          <w:p w:rsidR="00B70DA7" w:rsidRPr="0099428A" w:rsidRDefault="00B70DA7" w:rsidP="000336A9">
            <w:pPr>
              <w:numPr>
                <w:ilvl w:val="0"/>
                <w:numId w:val="2"/>
              </w:numPr>
              <w:suppressAutoHyphens/>
              <w:autoSpaceDE w:val="0"/>
              <w:autoSpaceDN w:val="0"/>
              <w:adjustRightInd w:val="0"/>
              <w:spacing w:after="200" w:line="276" w:lineRule="auto"/>
              <w:textAlignment w:val="center"/>
              <w:rPr>
                <w:color w:val="000000"/>
                <w:sz w:val="20"/>
                <w:szCs w:val="20"/>
              </w:rPr>
            </w:pPr>
          </w:p>
        </w:tc>
        <w:tc>
          <w:tcPr>
            <w:tcW w:w="664" w:type="pct"/>
            <w:tcBorders>
              <w:bottom w:val="single" w:sz="4" w:space="0" w:color="000000"/>
            </w:tcBorders>
            <w:shd w:val="clear" w:color="auto" w:fill="auto"/>
            <w:tcMar>
              <w:top w:w="90" w:type="dxa"/>
              <w:left w:w="90" w:type="dxa"/>
              <w:bottom w:w="90" w:type="dxa"/>
              <w:right w:w="90" w:type="dxa"/>
            </w:tcMar>
            <w:vAlign w:val="center"/>
          </w:tcPr>
          <w:p w:rsidR="00B70DA7" w:rsidRPr="0099428A" w:rsidRDefault="00B70DA7" w:rsidP="000336A9">
            <w:pPr>
              <w:suppressAutoHyphens/>
              <w:autoSpaceDE w:val="0"/>
              <w:autoSpaceDN w:val="0"/>
              <w:adjustRightInd w:val="0"/>
              <w:jc w:val="center"/>
              <w:textAlignment w:val="center"/>
              <w:rPr>
                <w:color w:val="000000"/>
                <w:sz w:val="20"/>
                <w:szCs w:val="20"/>
              </w:rPr>
            </w:pPr>
            <w:r w:rsidRPr="0099428A">
              <w:rPr>
                <w:color w:val="000000"/>
                <w:sz w:val="20"/>
                <w:szCs w:val="20"/>
              </w:rPr>
              <w:t>Voter</w:t>
            </w:r>
          </w:p>
        </w:tc>
        <w:tc>
          <w:tcPr>
            <w:tcW w:w="563" w:type="pct"/>
            <w:tcBorders>
              <w:bottom w:val="single" w:sz="4" w:space="0" w:color="000000"/>
            </w:tcBorders>
            <w:shd w:val="clear" w:color="auto" w:fill="auto"/>
            <w:vAlign w:val="center"/>
          </w:tcPr>
          <w:p w:rsidR="00B70DA7" w:rsidRPr="0099428A" w:rsidRDefault="00B70DA7" w:rsidP="000336A9">
            <w:pPr>
              <w:suppressAutoHyphens/>
              <w:autoSpaceDE w:val="0"/>
              <w:autoSpaceDN w:val="0"/>
              <w:adjustRightInd w:val="0"/>
              <w:jc w:val="center"/>
              <w:textAlignment w:val="center"/>
              <w:rPr>
                <w:color w:val="000000"/>
                <w:sz w:val="20"/>
                <w:szCs w:val="20"/>
              </w:rPr>
            </w:pPr>
            <w:r>
              <w:rPr>
                <w:color w:val="000000"/>
                <w:sz w:val="20"/>
                <w:szCs w:val="20"/>
              </w:rPr>
              <w:t>X</w:t>
            </w:r>
          </w:p>
        </w:tc>
        <w:tc>
          <w:tcPr>
            <w:tcW w:w="1399" w:type="pct"/>
            <w:vMerge/>
            <w:tcBorders>
              <w:bottom w:val="single" w:sz="4" w:space="0" w:color="000000"/>
            </w:tcBorders>
            <w:shd w:val="clear" w:color="auto" w:fill="auto"/>
            <w:tcMar>
              <w:top w:w="90" w:type="dxa"/>
              <w:left w:w="90" w:type="dxa"/>
              <w:bottom w:w="90" w:type="dxa"/>
              <w:right w:w="90" w:type="dxa"/>
            </w:tcMar>
          </w:tcPr>
          <w:p w:rsidR="00B70DA7" w:rsidRPr="0099428A" w:rsidRDefault="00B70DA7" w:rsidP="000336A9">
            <w:pPr>
              <w:numPr>
                <w:ilvl w:val="0"/>
                <w:numId w:val="2"/>
              </w:numPr>
              <w:suppressAutoHyphens/>
              <w:autoSpaceDE w:val="0"/>
              <w:autoSpaceDN w:val="0"/>
              <w:adjustRightInd w:val="0"/>
              <w:spacing w:after="200" w:line="276" w:lineRule="auto"/>
              <w:textAlignment w:val="center"/>
              <w:rPr>
                <w:color w:val="000000"/>
                <w:sz w:val="20"/>
                <w:szCs w:val="20"/>
              </w:rPr>
            </w:pPr>
          </w:p>
        </w:tc>
        <w:tc>
          <w:tcPr>
            <w:tcW w:w="550" w:type="pct"/>
            <w:vMerge/>
            <w:tcBorders>
              <w:bottom w:val="single" w:sz="4" w:space="0" w:color="000000"/>
            </w:tcBorders>
            <w:shd w:val="clear" w:color="auto" w:fill="auto"/>
            <w:tcMar>
              <w:top w:w="90" w:type="dxa"/>
              <w:left w:w="90" w:type="dxa"/>
              <w:bottom w:w="90" w:type="dxa"/>
              <w:right w:w="90" w:type="dxa"/>
            </w:tcMar>
          </w:tcPr>
          <w:p w:rsidR="00B70DA7" w:rsidRPr="0099428A" w:rsidRDefault="00B70DA7" w:rsidP="000336A9">
            <w:pPr>
              <w:autoSpaceDE w:val="0"/>
              <w:autoSpaceDN w:val="0"/>
              <w:adjustRightInd w:val="0"/>
              <w:spacing w:line="288" w:lineRule="auto"/>
              <w:textAlignment w:val="center"/>
              <w:rPr>
                <w:color w:val="000000"/>
                <w:sz w:val="20"/>
                <w:szCs w:val="20"/>
              </w:rPr>
            </w:pPr>
          </w:p>
        </w:tc>
      </w:tr>
    </w:tbl>
    <w:p w:rsidR="00471515" w:rsidRDefault="00471515" w:rsidP="002B2962">
      <w:pPr>
        <w:spacing w:after="200" w:line="276" w:lineRule="auto"/>
        <w:rPr>
          <w:rFonts w:eastAsia="Calibri"/>
          <w:sz w:val="22"/>
          <w:szCs w:val="22"/>
        </w:rPr>
      </w:pPr>
    </w:p>
    <w:p w:rsidR="009272E3" w:rsidRDefault="009272E3" w:rsidP="002B2962">
      <w:pPr>
        <w:spacing w:after="200" w:line="276" w:lineRule="auto"/>
        <w:rPr>
          <w:rFonts w:eastAsia="Calibri"/>
          <w:sz w:val="22"/>
          <w:szCs w:val="22"/>
        </w:rPr>
      </w:pPr>
    </w:p>
    <w:tbl>
      <w:tblPr>
        <w:tblW w:w="5598" w:type="pct"/>
        <w:jc w:val="center"/>
        <w:tblInd w:w="-1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3828"/>
        <w:gridCol w:w="1393"/>
        <w:gridCol w:w="1181"/>
        <w:gridCol w:w="2935"/>
        <w:gridCol w:w="1154"/>
      </w:tblGrid>
      <w:tr w:rsidR="00B70DA7" w:rsidRPr="009272E3" w:rsidTr="007D6AE0">
        <w:trPr>
          <w:trHeight w:val="452"/>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FBD4B4" w:themeFill="accent6" w:themeFillTint="66"/>
            <w:tcMar>
              <w:top w:w="0" w:type="dxa"/>
              <w:left w:w="0" w:type="dxa"/>
              <w:bottom w:w="0" w:type="dxa"/>
              <w:right w:w="0" w:type="dxa"/>
            </w:tcMar>
            <w:vAlign w:val="center"/>
          </w:tcPr>
          <w:p w:rsidR="00B70DA7" w:rsidRPr="009272E3" w:rsidRDefault="00B70DA7" w:rsidP="009272E3">
            <w:pPr>
              <w:suppressAutoHyphens/>
              <w:autoSpaceDE w:val="0"/>
              <w:autoSpaceDN w:val="0"/>
              <w:adjustRightInd w:val="0"/>
              <w:jc w:val="center"/>
              <w:textAlignment w:val="center"/>
              <w:rPr>
                <w:b/>
                <w:bCs/>
                <w:color w:val="000000"/>
                <w:sz w:val="20"/>
                <w:szCs w:val="20"/>
              </w:rPr>
            </w:pPr>
            <w:r w:rsidRPr="009272E3">
              <w:rPr>
                <w:b/>
                <w:bCs/>
                <w:color w:val="000000"/>
                <w:sz w:val="20"/>
                <w:szCs w:val="20"/>
              </w:rPr>
              <w:t>STRATEGY # 3:</w:t>
            </w:r>
          </w:p>
          <w:p w:rsidR="00B70DA7" w:rsidRPr="009272E3" w:rsidRDefault="00B70DA7" w:rsidP="009272E3">
            <w:pPr>
              <w:suppressAutoHyphens/>
              <w:autoSpaceDE w:val="0"/>
              <w:autoSpaceDN w:val="0"/>
              <w:adjustRightInd w:val="0"/>
              <w:jc w:val="center"/>
              <w:textAlignment w:val="center"/>
              <w:rPr>
                <w:b/>
                <w:bCs/>
                <w:color w:val="000000"/>
                <w:sz w:val="20"/>
                <w:szCs w:val="20"/>
              </w:rPr>
            </w:pPr>
            <w:r w:rsidRPr="009272E3">
              <w:rPr>
                <w:b/>
                <w:bCs/>
                <w:color w:val="000000"/>
                <w:sz w:val="20"/>
                <w:szCs w:val="20"/>
              </w:rPr>
              <w:t>MAXIMIZE FINANCING RESOURCES</w:t>
            </w:r>
          </w:p>
        </w:tc>
      </w:tr>
      <w:tr w:rsidR="00B70DA7" w:rsidRPr="009272E3" w:rsidTr="007D6AE0">
        <w:trPr>
          <w:trHeight w:val="60"/>
          <w:jc w:val="center"/>
        </w:trPr>
        <w:tc>
          <w:tcPr>
            <w:tcW w:w="5000" w:type="pct"/>
            <w:gridSpan w:val="5"/>
            <w:tcBorders>
              <w:top w:val="single" w:sz="4" w:space="0" w:color="auto"/>
            </w:tcBorders>
            <w:shd w:val="clear" w:color="auto" w:fill="FBD4B4" w:themeFill="accent6" w:themeFillTint="66"/>
            <w:tcMar>
              <w:top w:w="90" w:type="dxa"/>
              <w:left w:w="90" w:type="dxa"/>
              <w:bottom w:w="90" w:type="dxa"/>
              <w:right w:w="90" w:type="dxa"/>
            </w:tcMar>
            <w:vAlign w:val="center"/>
          </w:tcPr>
          <w:p w:rsidR="00B70DA7" w:rsidRPr="009272E3" w:rsidRDefault="00B70DA7" w:rsidP="00DC6E5A">
            <w:pPr>
              <w:suppressAutoHyphens/>
              <w:autoSpaceDE w:val="0"/>
              <w:autoSpaceDN w:val="0"/>
              <w:adjustRightInd w:val="0"/>
              <w:textAlignment w:val="center"/>
              <w:rPr>
                <w:color w:val="000000"/>
                <w:sz w:val="20"/>
                <w:szCs w:val="20"/>
              </w:rPr>
            </w:pPr>
            <w:r w:rsidRPr="009272E3">
              <w:rPr>
                <w:b/>
                <w:bCs/>
                <w:color w:val="000000"/>
                <w:sz w:val="20"/>
                <w:szCs w:val="20"/>
              </w:rPr>
              <w:t>Action Step #3:  Work with Hospitality Industry to Develop Source of Funding for Affordable Housing; Consider Increasing Transient Occupancy Tax (TOT)</w:t>
            </w:r>
          </w:p>
        </w:tc>
      </w:tr>
      <w:tr w:rsidR="00B70DA7" w:rsidRPr="009272E3" w:rsidTr="007D6AE0">
        <w:trPr>
          <w:trHeight w:val="60"/>
          <w:jc w:val="center"/>
        </w:trPr>
        <w:tc>
          <w:tcPr>
            <w:tcW w:w="1824" w:type="pct"/>
            <w:shd w:val="clear" w:color="auto" w:fill="FBD4B4" w:themeFill="accent6" w:themeFillTint="66"/>
            <w:tcMar>
              <w:top w:w="90" w:type="dxa"/>
              <w:left w:w="90" w:type="dxa"/>
              <w:bottom w:w="90" w:type="dxa"/>
              <w:right w:w="90" w:type="dxa"/>
            </w:tcMar>
            <w:vAlign w:val="center"/>
          </w:tcPr>
          <w:p w:rsidR="00B70DA7" w:rsidRPr="009272E3" w:rsidRDefault="00B70DA7" w:rsidP="009272E3">
            <w:pPr>
              <w:suppressAutoHyphens/>
              <w:autoSpaceDE w:val="0"/>
              <w:autoSpaceDN w:val="0"/>
              <w:adjustRightInd w:val="0"/>
              <w:jc w:val="center"/>
              <w:textAlignment w:val="center"/>
              <w:rPr>
                <w:b/>
                <w:bCs/>
                <w:color w:val="000000"/>
                <w:sz w:val="20"/>
                <w:szCs w:val="20"/>
              </w:rPr>
            </w:pPr>
            <w:r w:rsidRPr="009272E3">
              <w:rPr>
                <w:b/>
                <w:bCs/>
                <w:color w:val="000000"/>
                <w:sz w:val="20"/>
                <w:szCs w:val="20"/>
              </w:rPr>
              <w:t>Tasks</w:t>
            </w:r>
          </w:p>
        </w:tc>
        <w:tc>
          <w:tcPr>
            <w:tcW w:w="1227" w:type="pct"/>
            <w:gridSpan w:val="2"/>
            <w:shd w:val="clear" w:color="auto" w:fill="FBD4B4" w:themeFill="accent6" w:themeFillTint="66"/>
            <w:tcMar>
              <w:top w:w="90" w:type="dxa"/>
              <w:left w:w="90" w:type="dxa"/>
              <w:bottom w:w="90" w:type="dxa"/>
              <w:right w:w="90" w:type="dxa"/>
            </w:tcMar>
            <w:vAlign w:val="center"/>
          </w:tcPr>
          <w:p w:rsidR="00B70DA7" w:rsidRPr="009272E3" w:rsidRDefault="00B70DA7" w:rsidP="009272E3">
            <w:pPr>
              <w:suppressAutoHyphens/>
              <w:autoSpaceDE w:val="0"/>
              <w:autoSpaceDN w:val="0"/>
              <w:adjustRightInd w:val="0"/>
              <w:jc w:val="center"/>
              <w:textAlignment w:val="center"/>
              <w:rPr>
                <w:b/>
                <w:bCs/>
                <w:color w:val="000000"/>
                <w:sz w:val="20"/>
                <w:szCs w:val="20"/>
              </w:rPr>
            </w:pPr>
            <w:r w:rsidRPr="009272E3">
              <w:rPr>
                <w:b/>
                <w:bCs/>
                <w:color w:val="000000"/>
                <w:sz w:val="20"/>
                <w:szCs w:val="20"/>
              </w:rPr>
              <w:t>Required Approvals</w:t>
            </w:r>
          </w:p>
        </w:tc>
        <w:tc>
          <w:tcPr>
            <w:tcW w:w="1399" w:type="pct"/>
            <w:shd w:val="clear" w:color="auto" w:fill="FBD4B4" w:themeFill="accent6" w:themeFillTint="66"/>
            <w:tcMar>
              <w:top w:w="90" w:type="dxa"/>
              <w:left w:w="90" w:type="dxa"/>
              <w:bottom w:w="90" w:type="dxa"/>
              <w:right w:w="90" w:type="dxa"/>
            </w:tcMar>
            <w:vAlign w:val="center"/>
          </w:tcPr>
          <w:p w:rsidR="00B70DA7" w:rsidRPr="009272E3" w:rsidRDefault="00B70DA7" w:rsidP="009272E3">
            <w:pPr>
              <w:suppressAutoHyphens/>
              <w:autoSpaceDE w:val="0"/>
              <w:autoSpaceDN w:val="0"/>
              <w:adjustRightInd w:val="0"/>
              <w:jc w:val="center"/>
              <w:textAlignment w:val="center"/>
              <w:rPr>
                <w:b/>
                <w:bCs/>
                <w:color w:val="000000"/>
                <w:sz w:val="20"/>
                <w:szCs w:val="20"/>
              </w:rPr>
            </w:pPr>
            <w:r w:rsidRPr="009272E3">
              <w:rPr>
                <w:b/>
                <w:bCs/>
                <w:color w:val="000000"/>
                <w:sz w:val="20"/>
                <w:szCs w:val="20"/>
              </w:rPr>
              <w:t>Measurable Outcome(s)</w:t>
            </w:r>
          </w:p>
        </w:tc>
        <w:tc>
          <w:tcPr>
            <w:tcW w:w="550" w:type="pct"/>
            <w:shd w:val="clear" w:color="auto" w:fill="FBD4B4" w:themeFill="accent6" w:themeFillTint="66"/>
            <w:tcMar>
              <w:top w:w="90" w:type="dxa"/>
              <w:left w:w="90" w:type="dxa"/>
              <w:bottom w:w="90" w:type="dxa"/>
              <w:right w:w="90" w:type="dxa"/>
            </w:tcMar>
            <w:vAlign w:val="center"/>
          </w:tcPr>
          <w:p w:rsidR="00B70DA7" w:rsidRPr="009272E3" w:rsidRDefault="00B70DA7" w:rsidP="009272E3">
            <w:pPr>
              <w:suppressAutoHyphens/>
              <w:autoSpaceDE w:val="0"/>
              <w:autoSpaceDN w:val="0"/>
              <w:adjustRightInd w:val="0"/>
              <w:ind w:right="-90"/>
              <w:jc w:val="center"/>
              <w:textAlignment w:val="center"/>
              <w:rPr>
                <w:b/>
                <w:bCs/>
                <w:color w:val="000000"/>
                <w:sz w:val="20"/>
                <w:szCs w:val="20"/>
                <w:u w:color="000000"/>
              </w:rPr>
            </w:pPr>
            <w:r w:rsidRPr="009272E3">
              <w:rPr>
                <w:b/>
                <w:bCs/>
                <w:color w:val="000000"/>
                <w:sz w:val="20"/>
                <w:szCs w:val="20"/>
                <w:u w:color="000000"/>
              </w:rPr>
              <w:t>Target Completion Date(s)</w:t>
            </w:r>
          </w:p>
        </w:tc>
      </w:tr>
      <w:tr w:rsidR="00B70DA7" w:rsidRPr="009272E3" w:rsidTr="007D6AE0">
        <w:trPr>
          <w:trHeight w:val="1150"/>
          <w:jc w:val="center"/>
        </w:trPr>
        <w:tc>
          <w:tcPr>
            <w:tcW w:w="1824" w:type="pct"/>
            <w:vMerge w:val="restart"/>
            <w:shd w:val="clear" w:color="auto" w:fill="auto"/>
            <w:tcMar>
              <w:top w:w="90" w:type="dxa"/>
              <w:left w:w="90" w:type="dxa"/>
              <w:bottom w:w="90" w:type="dxa"/>
              <w:right w:w="90" w:type="dxa"/>
            </w:tcMar>
          </w:tcPr>
          <w:p w:rsidR="00B70DA7" w:rsidRPr="009272E3" w:rsidRDefault="00B70DA7" w:rsidP="009272E3">
            <w:pPr>
              <w:pStyle w:val="ListParagraph"/>
              <w:numPr>
                <w:ilvl w:val="0"/>
                <w:numId w:val="3"/>
              </w:numPr>
              <w:rPr>
                <w:color w:val="000000"/>
                <w:sz w:val="20"/>
                <w:szCs w:val="20"/>
              </w:rPr>
            </w:pPr>
            <w:r w:rsidRPr="009272E3">
              <w:rPr>
                <w:color w:val="000000"/>
                <w:sz w:val="20"/>
                <w:szCs w:val="20"/>
              </w:rPr>
              <w:t>Work with hospitality industry to develop source of funding for affordable housing.</w:t>
            </w:r>
          </w:p>
          <w:p w:rsidR="00B70DA7" w:rsidRPr="009272E3" w:rsidRDefault="00B70DA7" w:rsidP="00AD606D">
            <w:pPr>
              <w:pStyle w:val="ListParagraph"/>
              <w:ind w:left="360"/>
              <w:rPr>
                <w:color w:val="000000"/>
                <w:sz w:val="20"/>
                <w:szCs w:val="20"/>
              </w:rPr>
            </w:pPr>
          </w:p>
        </w:tc>
        <w:tc>
          <w:tcPr>
            <w:tcW w:w="664" w:type="pct"/>
            <w:shd w:val="clear" w:color="auto" w:fill="auto"/>
            <w:tcMar>
              <w:top w:w="90" w:type="dxa"/>
              <w:left w:w="90" w:type="dxa"/>
              <w:bottom w:w="90" w:type="dxa"/>
              <w:right w:w="90" w:type="dxa"/>
            </w:tcMar>
            <w:vAlign w:val="center"/>
          </w:tcPr>
          <w:p w:rsidR="00B70DA7" w:rsidRPr="009272E3" w:rsidRDefault="00B70DA7" w:rsidP="009272E3">
            <w:pPr>
              <w:suppressAutoHyphens/>
              <w:autoSpaceDE w:val="0"/>
              <w:autoSpaceDN w:val="0"/>
              <w:adjustRightInd w:val="0"/>
              <w:jc w:val="center"/>
              <w:textAlignment w:val="center"/>
              <w:rPr>
                <w:color w:val="000000"/>
                <w:sz w:val="20"/>
                <w:szCs w:val="20"/>
              </w:rPr>
            </w:pPr>
            <w:r w:rsidRPr="009272E3">
              <w:rPr>
                <w:color w:val="000000"/>
                <w:sz w:val="20"/>
                <w:szCs w:val="20"/>
              </w:rPr>
              <w:t>Local</w:t>
            </w:r>
          </w:p>
        </w:tc>
        <w:tc>
          <w:tcPr>
            <w:tcW w:w="563" w:type="pct"/>
            <w:shd w:val="clear" w:color="auto" w:fill="auto"/>
            <w:vAlign w:val="center"/>
          </w:tcPr>
          <w:p w:rsidR="00B70DA7" w:rsidRPr="009272E3" w:rsidRDefault="00B70DA7" w:rsidP="009272E3">
            <w:pPr>
              <w:suppressAutoHyphens/>
              <w:autoSpaceDE w:val="0"/>
              <w:autoSpaceDN w:val="0"/>
              <w:adjustRightInd w:val="0"/>
              <w:jc w:val="center"/>
              <w:textAlignment w:val="center"/>
              <w:rPr>
                <w:color w:val="000000"/>
                <w:sz w:val="20"/>
                <w:szCs w:val="20"/>
              </w:rPr>
            </w:pPr>
            <w:r w:rsidRPr="009272E3">
              <w:rPr>
                <w:color w:val="000000"/>
                <w:sz w:val="20"/>
                <w:szCs w:val="20"/>
              </w:rPr>
              <w:t>X</w:t>
            </w:r>
          </w:p>
        </w:tc>
        <w:tc>
          <w:tcPr>
            <w:tcW w:w="1399" w:type="pct"/>
            <w:vMerge w:val="restart"/>
            <w:shd w:val="clear" w:color="auto" w:fill="auto"/>
            <w:tcMar>
              <w:top w:w="90" w:type="dxa"/>
              <w:left w:w="90" w:type="dxa"/>
              <w:bottom w:w="90" w:type="dxa"/>
              <w:right w:w="90" w:type="dxa"/>
            </w:tcMar>
          </w:tcPr>
          <w:p w:rsidR="00B70DA7" w:rsidRPr="009272E3" w:rsidRDefault="00B70DA7" w:rsidP="009272E3">
            <w:pPr>
              <w:numPr>
                <w:ilvl w:val="0"/>
                <w:numId w:val="3"/>
              </w:numPr>
              <w:suppressAutoHyphens/>
              <w:autoSpaceDE w:val="0"/>
              <w:autoSpaceDN w:val="0"/>
              <w:adjustRightInd w:val="0"/>
              <w:textAlignment w:val="center"/>
              <w:rPr>
                <w:color w:val="000000"/>
                <w:sz w:val="20"/>
                <w:szCs w:val="20"/>
              </w:rPr>
            </w:pPr>
            <w:r w:rsidRPr="009272E3">
              <w:rPr>
                <w:color w:val="000000"/>
                <w:sz w:val="20"/>
                <w:szCs w:val="20"/>
              </w:rPr>
              <w:t xml:space="preserve">Recommendation for new source of funding for affordable housing development </w:t>
            </w:r>
          </w:p>
          <w:p w:rsidR="00B70DA7" w:rsidRPr="009272E3" w:rsidRDefault="00B70DA7" w:rsidP="00AD606D">
            <w:pPr>
              <w:suppressAutoHyphens/>
              <w:autoSpaceDE w:val="0"/>
              <w:autoSpaceDN w:val="0"/>
              <w:adjustRightInd w:val="0"/>
              <w:spacing w:after="200" w:line="264" w:lineRule="auto"/>
              <w:textAlignment w:val="center"/>
              <w:rPr>
                <w:color w:val="000000"/>
                <w:sz w:val="20"/>
                <w:szCs w:val="20"/>
              </w:rPr>
            </w:pPr>
          </w:p>
        </w:tc>
        <w:tc>
          <w:tcPr>
            <w:tcW w:w="550" w:type="pct"/>
            <w:vMerge w:val="restart"/>
            <w:shd w:val="clear" w:color="auto" w:fill="auto"/>
            <w:tcMar>
              <w:top w:w="90" w:type="dxa"/>
              <w:left w:w="90" w:type="dxa"/>
              <w:bottom w:w="90" w:type="dxa"/>
              <w:right w:w="90" w:type="dxa"/>
            </w:tcMar>
          </w:tcPr>
          <w:p w:rsidR="00B70DA7" w:rsidRPr="009272E3" w:rsidRDefault="00B70DA7" w:rsidP="009272E3">
            <w:pPr>
              <w:suppressAutoHyphens/>
              <w:autoSpaceDE w:val="0"/>
              <w:autoSpaceDN w:val="0"/>
              <w:adjustRightInd w:val="0"/>
              <w:jc w:val="center"/>
              <w:textAlignment w:val="center"/>
              <w:rPr>
                <w:color w:val="000000"/>
                <w:sz w:val="20"/>
                <w:szCs w:val="20"/>
              </w:rPr>
            </w:pPr>
          </w:p>
        </w:tc>
      </w:tr>
      <w:tr w:rsidR="00B70DA7" w:rsidRPr="009272E3" w:rsidTr="000C35C0">
        <w:trPr>
          <w:trHeight w:val="701"/>
          <w:jc w:val="center"/>
        </w:trPr>
        <w:tc>
          <w:tcPr>
            <w:tcW w:w="1824" w:type="pct"/>
            <w:vMerge/>
            <w:shd w:val="clear" w:color="auto" w:fill="auto"/>
            <w:tcMar>
              <w:top w:w="90" w:type="dxa"/>
              <w:left w:w="90" w:type="dxa"/>
              <w:bottom w:w="90" w:type="dxa"/>
              <w:right w:w="90" w:type="dxa"/>
            </w:tcMar>
          </w:tcPr>
          <w:p w:rsidR="00B70DA7" w:rsidRPr="009272E3" w:rsidRDefault="00B70DA7" w:rsidP="009272E3">
            <w:pPr>
              <w:numPr>
                <w:ilvl w:val="0"/>
                <w:numId w:val="3"/>
              </w:numPr>
              <w:suppressAutoHyphens/>
              <w:autoSpaceDE w:val="0"/>
              <w:autoSpaceDN w:val="0"/>
              <w:adjustRightInd w:val="0"/>
              <w:spacing w:after="200" w:line="276" w:lineRule="auto"/>
              <w:textAlignment w:val="center"/>
              <w:rPr>
                <w:color w:val="000000"/>
                <w:sz w:val="20"/>
                <w:szCs w:val="20"/>
              </w:rPr>
            </w:pPr>
          </w:p>
        </w:tc>
        <w:tc>
          <w:tcPr>
            <w:tcW w:w="664" w:type="pct"/>
            <w:shd w:val="clear" w:color="auto" w:fill="auto"/>
            <w:tcMar>
              <w:top w:w="90" w:type="dxa"/>
              <w:left w:w="90" w:type="dxa"/>
              <w:bottom w:w="90" w:type="dxa"/>
              <w:right w:w="90" w:type="dxa"/>
            </w:tcMar>
            <w:vAlign w:val="center"/>
          </w:tcPr>
          <w:p w:rsidR="00B70DA7" w:rsidRPr="009272E3" w:rsidRDefault="00B70DA7" w:rsidP="009272E3">
            <w:pPr>
              <w:suppressAutoHyphens/>
              <w:autoSpaceDE w:val="0"/>
              <w:autoSpaceDN w:val="0"/>
              <w:adjustRightInd w:val="0"/>
              <w:jc w:val="center"/>
              <w:textAlignment w:val="center"/>
              <w:rPr>
                <w:color w:val="000000"/>
                <w:sz w:val="20"/>
                <w:szCs w:val="20"/>
              </w:rPr>
            </w:pPr>
            <w:r w:rsidRPr="009272E3">
              <w:rPr>
                <w:color w:val="000000"/>
                <w:sz w:val="20"/>
                <w:szCs w:val="20"/>
              </w:rPr>
              <w:t>State</w:t>
            </w:r>
          </w:p>
        </w:tc>
        <w:tc>
          <w:tcPr>
            <w:tcW w:w="563" w:type="pct"/>
            <w:shd w:val="clear" w:color="auto" w:fill="auto"/>
            <w:vAlign w:val="center"/>
          </w:tcPr>
          <w:p w:rsidR="00B70DA7" w:rsidRPr="009272E3" w:rsidRDefault="00B70DA7" w:rsidP="009272E3">
            <w:pPr>
              <w:suppressAutoHyphens/>
              <w:autoSpaceDE w:val="0"/>
              <w:autoSpaceDN w:val="0"/>
              <w:adjustRightInd w:val="0"/>
              <w:jc w:val="center"/>
              <w:textAlignment w:val="center"/>
              <w:rPr>
                <w:color w:val="000000"/>
                <w:sz w:val="20"/>
                <w:szCs w:val="20"/>
              </w:rPr>
            </w:pPr>
          </w:p>
        </w:tc>
        <w:tc>
          <w:tcPr>
            <w:tcW w:w="1399" w:type="pct"/>
            <w:vMerge/>
            <w:shd w:val="clear" w:color="auto" w:fill="auto"/>
            <w:tcMar>
              <w:top w:w="90" w:type="dxa"/>
              <w:left w:w="90" w:type="dxa"/>
              <w:bottom w:w="90" w:type="dxa"/>
              <w:right w:w="90" w:type="dxa"/>
            </w:tcMar>
          </w:tcPr>
          <w:p w:rsidR="00B70DA7" w:rsidRPr="009272E3" w:rsidRDefault="00B70DA7" w:rsidP="009272E3">
            <w:pPr>
              <w:numPr>
                <w:ilvl w:val="0"/>
                <w:numId w:val="3"/>
              </w:numPr>
              <w:suppressAutoHyphens/>
              <w:autoSpaceDE w:val="0"/>
              <w:autoSpaceDN w:val="0"/>
              <w:adjustRightInd w:val="0"/>
              <w:spacing w:after="200" w:line="276" w:lineRule="auto"/>
              <w:textAlignment w:val="center"/>
              <w:rPr>
                <w:color w:val="000000"/>
                <w:sz w:val="20"/>
                <w:szCs w:val="20"/>
              </w:rPr>
            </w:pPr>
          </w:p>
        </w:tc>
        <w:tc>
          <w:tcPr>
            <w:tcW w:w="550" w:type="pct"/>
            <w:vMerge/>
            <w:shd w:val="clear" w:color="auto" w:fill="auto"/>
            <w:tcMar>
              <w:top w:w="90" w:type="dxa"/>
              <w:left w:w="90" w:type="dxa"/>
              <w:bottom w:w="90" w:type="dxa"/>
              <w:right w:w="90" w:type="dxa"/>
            </w:tcMar>
          </w:tcPr>
          <w:p w:rsidR="00B70DA7" w:rsidRPr="009272E3" w:rsidRDefault="00B70DA7" w:rsidP="009272E3">
            <w:pPr>
              <w:suppressAutoHyphens/>
              <w:autoSpaceDE w:val="0"/>
              <w:autoSpaceDN w:val="0"/>
              <w:adjustRightInd w:val="0"/>
              <w:jc w:val="center"/>
              <w:textAlignment w:val="center"/>
              <w:rPr>
                <w:color w:val="000000"/>
                <w:sz w:val="20"/>
                <w:szCs w:val="20"/>
              </w:rPr>
            </w:pPr>
          </w:p>
        </w:tc>
      </w:tr>
      <w:tr w:rsidR="00B70DA7" w:rsidRPr="009272E3" w:rsidTr="000C35C0">
        <w:trPr>
          <w:trHeight w:val="611"/>
          <w:jc w:val="center"/>
        </w:trPr>
        <w:tc>
          <w:tcPr>
            <w:tcW w:w="1824" w:type="pct"/>
            <w:vMerge/>
            <w:shd w:val="clear" w:color="auto" w:fill="auto"/>
            <w:tcMar>
              <w:top w:w="90" w:type="dxa"/>
              <w:left w:w="90" w:type="dxa"/>
              <w:bottom w:w="90" w:type="dxa"/>
              <w:right w:w="90" w:type="dxa"/>
            </w:tcMar>
          </w:tcPr>
          <w:p w:rsidR="00B70DA7" w:rsidRPr="009272E3" w:rsidRDefault="00B70DA7" w:rsidP="009272E3">
            <w:pPr>
              <w:numPr>
                <w:ilvl w:val="0"/>
                <w:numId w:val="3"/>
              </w:numPr>
              <w:suppressAutoHyphens/>
              <w:autoSpaceDE w:val="0"/>
              <w:autoSpaceDN w:val="0"/>
              <w:adjustRightInd w:val="0"/>
              <w:spacing w:after="200" w:line="276" w:lineRule="auto"/>
              <w:textAlignment w:val="center"/>
              <w:rPr>
                <w:color w:val="000000"/>
                <w:sz w:val="20"/>
                <w:szCs w:val="20"/>
              </w:rPr>
            </w:pPr>
          </w:p>
        </w:tc>
        <w:tc>
          <w:tcPr>
            <w:tcW w:w="664" w:type="pct"/>
            <w:shd w:val="clear" w:color="auto" w:fill="auto"/>
            <w:tcMar>
              <w:top w:w="90" w:type="dxa"/>
              <w:left w:w="90" w:type="dxa"/>
              <w:bottom w:w="90" w:type="dxa"/>
              <w:right w:w="90" w:type="dxa"/>
            </w:tcMar>
            <w:vAlign w:val="center"/>
          </w:tcPr>
          <w:p w:rsidR="00B70DA7" w:rsidRPr="009272E3" w:rsidRDefault="00B70DA7" w:rsidP="009272E3">
            <w:pPr>
              <w:suppressAutoHyphens/>
              <w:autoSpaceDE w:val="0"/>
              <w:autoSpaceDN w:val="0"/>
              <w:adjustRightInd w:val="0"/>
              <w:jc w:val="center"/>
              <w:textAlignment w:val="center"/>
              <w:rPr>
                <w:color w:val="000000"/>
                <w:sz w:val="20"/>
                <w:szCs w:val="20"/>
              </w:rPr>
            </w:pPr>
            <w:r w:rsidRPr="009272E3">
              <w:rPr>
                <w:color w:val="000000"/>
                <w:sz w:val="20"/>
                <w:szCs w:val="20"/>
              </w:rPr>
              <w:t>Voter</w:t>
            </w:r>
          </w:p>
        </w:tc>
        <w:tc>
          <w:tcPr>
            <w:tcW w:w="563" w:type="pct"/>
            <w:shd w:val="clear" w:color="auto" w:fill="auto"/>
            <w:vAlign w:val="center"/>
          </w:tcPr>
          <w:p w:rsidR="00B70DA7" w:rsidRPr="009272E3" w:rsidRDefault="00B70DA7" w:rsidP="009272E3">
            <w:pPr>
              <w:suppressAutoHyphens/>
              <w:autoSpaceDE w:val="0"/>
              <w:autoSpaceDN w:val="0"/>
              <w:adjustRightInd w:val="0"/>
              <w:jc w:val="center"/>
              <w:textAlignment w:val="center"/>
              <w:rPr>
                <w:color w:val="000000"/>
                <w:sz w:val="20"/>
                <w:szCs w:val="20"/>
              </w:rPr>
            </w:pPr>
          </w:p>
        </w:tc>
        <w:tc>
          <w:tcPr>
            <w:tcW w:w="1399" w:type="pct"/>
            <w:vMerge/>
            <w:shd w:val="clear" w:color="auto" w:fill="auto"/>
            <w:tcMar>
              <w:top w:w="90" w:type="dxa"/>
              <w:left w:w="90" w:type="dxa"/>
              <w:bottom w:w="90" w:type="dxa"/>
              <w:right w:w="90" w:type="dxa"/>
            </w:tcMar>
          </w:tcPr>
          <w:p w:rsidR="00B70DA7" w:rsidRPr="009272E3" w:rsidRDefault="00B70DA7" w:rsidP="009272E3">
            <w:pPr>
              <w:numPr>
                <w:ilvl w:val="0"/>
                <w:numId w:val="3"/>
              </w:numPr>
              <w:suppressAutoHyphens/>
              <w:autoSpaceDE w:val="0"/>
              <w:autoSpaceDN w:val="0"/>
              <w:adjustRightInd w:val="0"/>
              <w:spacing w:after="200" w:line="276" w:lineRule="auto"/>
              <w:textAlignment w:val="center"/>
              <w:rPr>
                <w:color w:val="000000"/>
                <w:sz w:val="20"/>
                <w:szCs w:val="20"/>
              </w:rPr>
            </w:pPr>
          </w:p>
        </w:tc>
        <w:tc>
          <w:tcPr>
            <w:tcW w:w="550" w:type="pct"/>
            <w:vMerge/>
            <w:shd w:val="clear" w:color="auto" w:fill="auto"/>
            <w:tcMar>
              <w:top w:w="90" w:type="dxa"/>
              <w:left w:w="90" w:type="dxa"/>
              <w:bottom w:w="90" w:type="dxa"/>
              <w:right w:w="90" w:type="dxa"/>
            </w:tcMar>
          </w:tcPr>
          <w:p w:rsidR="00B70DA7" w:rsidRPr="009272E3" w:rsidRDefault="00B70DA7" w:rsidP="009272E3">
            <w:pPr>
              <w:suppressAutoHyphens/>
              <w:autoSpaceDE w:val="0"/>
              <w:autoSpaceDN w:val="0"/>
              <w:adjustRightInd w:val="0"/>
              <w:jc w:val="center"/>
              <w:textAlignment w:val="center"/>
              <w:rPr>
                <w:color w:val="000000"/>
                <w:sz w:val="20"/>
                <w:szCs w:val="20"/>
              </w:rPr>
            </w:pPr>
          </w:p>
        </w:tc>
      </w:tr>
      <w:tr w:rsidR="00D80BA4" w:rsidRPr="009272E3" w:rsidTr="00AB1CCF">
        <w:trPr>
          <w:trHeight w:val="1150"/>
          <w:jc w:val="center"/>
        </w:trPr>
        <w:tc>
          <w:tcPr>
            <w:tcW w:w="1824" w:type="pct"/>
            <w:vMerge w:val="restart"/>
            <w:shd w:val="clear" w:color="auto" w:fill="auto"/>
            <w:tcMar>
              <w:top w:w="90" w:type="dxa"/>
              <w:left w:w="90" w:type="dxa"/>
              <w:bottom w:w="90" w:type="dxa"/>
              <w:right w:w="90" w:type="dxa"/>
            </w:tcMar>
          </w:tcPr>
          <w:p w:rsidR="00D80BA4" w:rsidRPr="009272E3" w:rsidRDefault="00D80BA4" w:rsidP="00D80BA4">
            <w:pPr>
              <w:pStyle w:val="ListParagraph"/>
              <w:numPr>
                <w:ilvl w:val="0"/>
                <w:numId w:val="3"/>
              </w:numPr>
              <w:rPr>
                <w:color w:val="000000"/>
                <w:sz w:val="20"/>
                <w:szCs w:val="20"/>
              </w:rPr>
            </w:pPr>
            <w:r w:rsidRPr="009272E3">
              <w:rPr>
                <w:color w:val="000000"/>
                <w:sz w:val="20"/>
                <w:szCs w:val="20"/>
              </w:rPr>
              <w:t>Consider increasing TOT from 12% to 13%</w:t>
            </w:r>
          </w:p>
        </w:tc>
        <w:tc>
          <w:tcPr>
            <w:tcW w:w="664" w:type="pct"/>
            <w:shd w:val="clear" w:color="auto" w:fill="auto"/>
            <w:tcMar>
              <w:top w:w="90" w:type="dxa"/>
              <w:left w:w="90" w:type="dxa"/>
              <w:bottom w:w="90" w:type="dxa"/>
              <w:right w:w="90" w:type="dxa"/>
            </w:tcMar>
            <w:vAlign w:val="center"/>
          </w:tcPr>
          <w:p w:rsidR="00D80BA4" w:rsidRPr="009272E3" w:rsidRDefault="00D80BA4" w:rsidP="00AB1CCF">
            <w:pPr>
              <w:suppressAutoHyphens/>
              <w:autoSpaceDE w:val="0"/>
              <w:autoSpaceDN w:val="0"/>
              <w:adjustRightInd w:val="0"/>
              <w:jc w:val="center"/>
              <w:textAlignment w:val="center"/>
              <w:rPr>
                <w:color w:val="000000"/>
                <w:sz w:val="20"/>
                <w:szCs w:val="20"/>
              </w:rPr>
            </w:pPr>
            <w:r w:rsidRPr="009272E3">
              <w:rPr>
                <w:color w:val="000000"/>
                <w:sz w:val="20"/>
                <w:szCs w:val="20"/>
              </w:rPr>
              <w:t>Local</w:t>
            </w:r>
          </w:p>
        </w:tc>
        <w:tc>
          <w:tcPr>
            <w:tcW w:w="563" w:type="pct"/>
            <w:shd w:val="clear" w:color="auto" w:fill="auto"/>
            <w:vAlign w:val="center"/>
          </w:tcPr>
          <w:p w:rsidR="00D80BA4" w:rsidRPr="009272E3" w:rsidRDefault="00D80BA4" w:rsidP="00AB1CCF">
            <w:pPr>
              <w:suppressAutoHyphens/>
              <w:autoSpaceDE w:val="0"/>
              <w:autoSpaceDN w:val="0"/>
              <w:adjustRightInd w:val="0"/>
              <w:jc w:val="center"/>
              <w:textAlignment w:val="center"/>
              <w:rPr>
                <w:color w:val="000000"/>
                <w:sz w:val="20"/>
                <w:szCs w:val="20"/>
              </w:rPr>
            </w:pPr>
            <w:r w:rsidRPr="009272E3">
              <w:rPr>
                <w:color w:val="000000"/>
                <w:sz w:val="20"/>
                <w:szCs w:val="20"/>
              </w:rPr>
              <w:t>X</w:t>
            </w:r>
          </w:p>
        </w:tc>
        <w:tc>
          <w:tcPr>
            <w:tcW w:w="1399" w:type="pct"/>
            <w:vMerge w:val="restart"/>
            <w:shd w:val="clear" w:color="auto" w:fill="auto"/>
            <w:tcMar>
              <w:top w:w="90" w:type="dxa"/>
              <w:left w:w="90" w:type="dxa"/>
              <w:bottom w:w="90" w:type="dxa"/>
              <w:right w:w="90" w:type="dxa"/>
            </w:tcMar>
          </w:tcPr>
          <w:p w:rsidR="00D80BA4" w:rsidRPr="009272E3" w:rsidRDefault="00D80BA4" w:rsidP="00D80BA4">
            <w:pPr>
              <w:numPr>
                <w:ilvl w:val="0"/>
                <w:numId w:val="3"/>
              </w:numPr>
              <w:suppressAutoHyphens/>
              <w:autoSpaceDE w:val="0"/>
              <w:autoSpaceDN w:val="0"/>
              <w:adjustRightInd w:val="0"/>
              <w:textAlignment w:val="center"/>
              <w:rPr>
                <w:color w:val="000000"/>
                <w:sz w:val="20"/>
                <w:szCs w:val="20"/>
              </w:rPr>
            </w:pPr>
            <w:r w:rsidRPr="009272E3">
              <w:rPr>
                <w:color w:val="000000"/>
                <w:sz w:val="20"/>
                <w:szCs w:val="20"/>
              </w:rPr>
              <w:t xml:space="preserve">Increased TOT revenue will be directed into a countywide regional pool for affordable housing development. </w:t>
            </w:r>
          </w:p>
          <w:p w:rsidR="00D80BA4" w:rsidRPr="009272E3" w:rsidRDefault="00D80BA4" w:rsidP="00AD606D">
            <w:pPr>
              <w:suppressAutoHyphens/>
              <w:autoSpaceDE w:val="0"/>
              <w:autoSpaceDN w:val="0"/>
              <w:adjustRightInd w:val="0"/>
              <w:spacing w:after="200" w:line="264" w:lineRule="auto"/>
              <w:ind w:left="360"/>
              <w:textAlignment w:val="center"/>
              <w:rPr>
                <w:color w:val="000000"/>
                <w:sz w:val="20"/>
                <w:szCs w:val="20"/>
              </w:rPr>
            </w:pPr>
          </w:p>
        </w:tc>
        <w:tc>
          <w:tcPr>
            <w:tcW w:w="550" w:type="pct"/>
            <w:vMerge w:val="restart"/>
            <w:shd w:val="clear" w:color="auto" w:fill="auto"/>
            <w:tcMar>
              <w:top w:w="90" w:type="dxa"/>
              <w:left w:w="90" w:type="dxa"/>
              <w:bottom w:w="90" w:type="dxa"/>
              <w:right w:w="90" w:type="dxa"/>
            </w:tcMar>
          </w:tcPr>
          <w:p w:rsidR="00D80BA4" w:rsidRPr="009272E3" w:rsidRDefault="00D80BA4" w:rsidP="00AB1CCF">
            <w:pPr>
              <w:suppressAutoHyphens/>
              <w:autoSpaceDE w:val="0"/>
              <w:autoSpaceDN w:val="0"/>
              <w:adjustRightInd w:val="0"/>
              <w:jc w:val="center"/>
              <w:textAlignment w:val="center"/>
              <w:rPr>
                <w:color w:val="000000"/>
                <w:sz w:val="20"/>
                <w:szCs w:val="20"/>
              </w:rPr>
            </w:pPr>
          </w:p>
        </w:tc>
      </w:tr>
      <w:tr w:rsidR="00D80BA4" w:rsidRPr="009272E3" w:rsidTr="00AB1CCF">
        <w:trPr>
          <w:trHeight w:val="980"/>
          <w:jc w:val="center"/>
        </w:trPr>
        <w:tc>
          <w:tcPr>
            <w:tcW w:w="1824" w:type="pct"/>
            <w:vMerge/>
            <w:shd w:val="clear" w:color="auto" w:fill="auto"/>
            <w:tcMar>
              <w:top w:w="90" w:type="dxa"/>
              <w:left w:w="90" w:type="dxa"/>
              <w:bottom w:w="90" w:type="dxa"/>
              <w:right w:w="90" w:type="dxa"/>
            </w:tcMar>
          </w:tcPr>
          <w:p w:rsidR="00D80BA4" w:rsidRPr="009272E3" w:rsidRDefault="00D80BA4" w:rsidP="00D80BA4">
            <w:pPr>
              <w:numPr>
                <w:ilvl w:val="0"/>
                <w:numId w:val="3"/>
              </w:numPr>
              <w:suppressAutoHyphens/>
              <w:autoSpaceDE w:val="0"/>
              <w:autoSpaceDN w:val="0"/>
              <w:adjustRightInd w:val="0"/>
              <w:spacing w:after="200" w:line="276" w:lineRule="auto"/>
              <w:textAlignment w:val="center"/>
              <w:rPr>
                <w:color w:val="000000"/>
                <w:sz w:val="20"/>
                <w:szCs w:val="20"/>
              </w:rPr>
            </w:pPr>
          </w:p>
        </w:tc>
        <w:tc>
          <w:tcPr>
            <w:tcW w:w="664" w:type="pct"/>
            <w:shd w:val="clear" w:color="auto" w:fill="auto"/>
            <w:tcMar>
              <w:top w:w="90" w:type="dxa"/>
              <w:left w:w="90" w:type="dxa"/>
              <w:bottom w:w="90" w:type="dxa"/>
              <w:right w:w="90" w:type="dxa"/>
            </w:tcMar>
            <w:vAlign w:val="center"/>
          </w:tcPr>
          <w:p w:rsidR="00D80BA4" w:rsidRPr="009272E3" w:rsidRDefault="00D80BA4" w:rsidP="00AB1CCF">
            <w:pPr>
              <w:suppressAutoHyphens/>
              <w:autoSpaceDE w:val="0"/>
              <w:autoSpaceDN w:val="0"/>
              <w:adjustRightInd w:val="0"/>
              <w:jc w:val="center"/>
              <w:textAlignment w:val="center"/>
              <w:rPr>
                <w:color w:val="000000"/>
                <w:sz w:val="20"/>
                <w:szCs w:val="20"/>
              </w:rPr>
            </w:pPr>
            <w:r w:rsidRPr="009272E3">
              <w:rPr>
                <w:color w:val="000000"/>
                <w:sz w:val="20"/>
                <w:szCs w:val="20"/>
              </w:rPr>
              <w:t>State</w:t>
            </w:r>
          </w:p>
        </w:tc>
        <w:tc>
          <w:tcPr>
            <w:tcW w:w="563" w:type="pct"/>
            <w:shd w:val="clear" w:color="auto" w:fill="auto"/>
            <w:vAlign w:val="center"/>
          </w:tcPr>
          <w:p w:rsidR="00D80BA4" w:rsidRPr="009272E3" w:rsidRDefault="00D80BA4" w:rsidP="00AB1CCF">
            <w:pPr>
              <w:suppressAutoHyphens/>
              <w:autoSpaceDE w:val="0"/>
              <w:autoSpaceDN w:val="0"/>
              <w:adjustRightInd w:val="0"/>
              <w:jc w:val="center"/>
              <w:textAlignment w:val="center"/>
              <w:rPr>
                <w:color w:val="000000"/>
                <w:sz w:val="20"/>
                <w:szCs w:val="20"/>
              </w:rPr>
            </w:pPr>
          </w:p>
        </w:tc>
        <w:tc>
          <w:tcPr>
            <w:tcW w:w="1399" w:type="pct"/>
            <w:vMerge/>
            <w:shd w:val="clear" w:color="auto" w:fill="auto"/>
            <w:tcMar>
              <w:top w:w="90" w:type="dxa"/>
              <w:left w:w="90" w:type="dxa"/>
              <w:bottom w:w="90" w:type="dxa"/>
              <w:right w:w="90" w:type="dxa"/>
            </w:tcMar>
          </w:tcPr>
          <w:p w:rsidR="00D80BA4" w:rsidRPr="009272E3" w:rsidRDefault="00D80BA4" w:rsidP="00D80BA4">
            <w:pPr>
              <w:numPr>
                <w:ilvl w:val="0"/>
                <w:numId w:val="3"/>
              </w:numPr>
              <w:suppressAutoHyphens/>
              <w:autoSpaceDE w:val="0"/>
              <w:autoSpaceDN w:val="0"/>
              <w:adjustRightInd w:val="0"/>
              <w:spacing w:after="200" w:line="276" w:lineRule="auto"/>
              <w:textAlignment w:val="center"/>
              <w:rPr>
                <w:color w:val="000000"/>
                <w:sz w:val="20"/>
                <w:szCs w:val="20"/>
              </w:rPr>
            </w:pPr>
          </w:p>
        </w:tc>
        <w:tc>
          <w:tcPr>
            <w:tcW w:w="550" w:type="pct"/>
            <w:vMerge/>
            <w:shd w:val="clear" w:color="auto" w:fill="auto"/>
            <w:tcMar>
              <w:top w:w="90" w:type="dxa"/>
              <w:left w:w="90" w:type="dxa"/>
              <w:bottom w:w="90" w:type="dxa"/>
              <w:right w:w="90" w:type="dxa"/>
            </w:tcMar>
          </w:tcPr>
          <w:p w:rsidR="00D80BA4" w:rsidRPr="009272E3" w:rsidRDefault="00D80BA4" w:rsidP="00AB1CCF">
            <w:pPr>
              <w:suppressAutoHyphens/>
              <w:autoSpaceDE w:val="0"/>
              <w:autoSpaceDN w:val="0"/>
              <w:adjustRightInd w:val="0"/>
              <w:jc w:val="center"/>
              <w:textAlignment w:val="center"/>
              <w:rPr>
                <w:color w:val="000000"/>
                <w:sz w:val="20"/>
                <w:szCs w:val="20"/>
              </w:rPr>
            </w:pPr>
          </w:p>
        </w:tc>
      </w:tr>
      <w:tr w:rsidR="00D80BA4" w:rsidRPr="009272E3" w:rsidTr="00AB1CCF">
        <w:trPr>
          <w:trHeight w:val="890"/>
          <w:jc w:val="center"/>
        </w:trPr>
        <w:tc>
          <w:tcPr>
            <w:tcW w:w="1824" w:type="pct"/>
            <w:vMerge/>
            <w:shd w:val="clear" w:color="auto" w:fill="auto"/>
            <w:tcMar>
              <w:top w:w="90" w:type="dxa"/>
              <w:left w:w="90" w:type="dxa"/>
              <w:bottom w:w="90" w:type="dxa"/>
              <w:right w:w="90" w:type="dxa"/>
            </w:tcMar>
          </w:tcPr>
          <w:p w:rsidR="00D80BA4" w:rsidRPr="009272E3" w:rsidRDefault="00D80BA4" w:rsidP="00D80BA4">
            <w:pPr>
              <w:numPr>
                <w:ilvl w:val="0"/>
                <w:numId w:val="3"/>
              </w:numPr>
              <w:suppressAutoHyphens/>
              <w:autoSpaceDE w:val="0"/>
              <w:autoSpaceDN w:val="0"/>
              <w:adjustRightInd w:val="0"/>
              <w:spacing w:after="200" w:line="276" w:lineRule="auto"/>
              <w:textAlignment w:val="center"/>
              <w:rPr>
                <w:color w:val="000000"/>
                <w:sz w:val="20"/>
                <w:szCs w:val="20"/>
              </w:rPr>
            </w:pPr>
          </w:p>
        </w:tc>
        <w:tc>
          <w:tcPr>
            <w:tcW w:w="664" w:type="pct"/>
            <w:shd w:val="clear" w:color="auto" w:fill="auto"/>
            <w:tcMar>
              <w:top w:w="90" w:type="dxa"/>
              <w:left w:w="90" w:type="dxa"/>
              <w:bottom w:w="90" w:type="dxa"/>
              <w:right w:w="90" w:type="dxa"/>
            </w:tcMar>
            <w:vAlign w:val="center"/>
          </w:tcPr>
          <w:p w:rsidR="00D80BA4" w:rsidRPr="009272E3" w:rsidRDefault="00D80BA4" w:rsidP="00AB1CCF">
            <w:pPr>
              <w:suppressAutoHyphens/>
              <w:autoSpaceDE w:val="0"/>
              <w:autoSpaceDN w:val="0"/>
              <w:adjustRightInd w:val="0"/>
              <w:jc w:val="center"/>
              <w:textAlignment w:val="center"/>
              <w:rPr>
                <w:color w:val="000000"/>
                <w:sz w:val="20"/>
                <w:szCs w:val="20"/>
              </w:rPr>
            </w:pPr>
            <w:r w:rsidRPr="009272E3">
              <w:rPr>
                <w:color w:val="000000"/>
                <w:sz w:val="20"/>
                <w:szCs w:val="20"/>
              </w:rPr>
              <w:t>Voter</w:t>
            </w:r>
          </w:p>
        </w:tc>
        <w:tc>
          <w:tcPr>
            <w:tcW w:w="563" w:type="pct"/>
            <w:shd w:val="clear" w:color="auto" w:fill="auto"/>
            <w:vAlign w:val="center"/>
          </w:tcPr>
          <w:p w:rsidR="00D80BA4" w:rsidRPr="009272E3" w:rsidRDefault="00AD606D" w:rsidP="00AB1CCF">
            <w:pPr>
              <w:suppressAutoHyphens/>
              <w:autoSpaceDE w:val="0"/>
              <w:autoSpaceDN w:val="0"/>
              <w:adjustRightInd w:val="0"/>
              <w:jc w:val="center"/>
              <w:textAlignment w:val="center"/>
              <w:rPr>
                <w:color w:val="000000"/>
                <w:sz w:val="20"/>
                <w:szCs w:val="20"/>
              </w:rPr>
            </w:pPr>
            <w:r>
              <w:rPr>
                <w:color w:val="000000"/>
                <w:sz w:val="20"/>
                <w:szCs w:val="20"/>
              </w:rPr>
              <w:t>X</w:t>
            </w:r>
          </w:p>
        </w:tc>
        <w:tc>
          <w:tcPr>
            <w:tcW w:w="1399" w:type="pct"/>
            <w:vMerge/>
            <w:shd w:val="clear" w:color="auto" w:fill="auto"/>
            <w:tcMar>
              <w:top w:w="90" w:type="dxa"/>
              <w:left w:w="90" w:type="dxa"/>
              <w:bottom w:w="90" w:type="dxa"/>
              <w:right w:w="90" w:type="dxa"/>
            </w:tcMar>
          </w:tcPr>
          <w:p w:rsidR="00D80BA4" w:rsidRPr="009272E3" w:rsidRDefault="00D80BA4" w:rsidP="00D80BA4">
            <w:pPr>
              <w:numPr>
                <w:ilvl w:val="0"/>
                <w:numId w:val="3"/>
              </w:numPr>
              <w:suppressAutoHyphens/>
              <w:autoSpaceDE w:val="0"/>
              <w:autoSpaceDN w:val="0"/>
              <w:adjustRightInd w:val="0"/>
              <w:spacing w:after="200" w:line="276" w:lineRule="auto"/>
              <w:textAlignment w:val="center"/>
              <w:rPr>
                <w:color w:val="000000"/>
                <w:sz w:val="20"/>
                <w:szCs w:val="20"/>
              </w:rPr>
            </w:pPr>
          </w:p>
        </w:tc>
        <w:tc>
          <w:tcPr>
            <w:tcW w:w="550" w:type="pct"/>
            <w:vMerge/>
            <w:shd w:val="clear" w:color="auto" w:fill="auto"/>
            <w:tcMar>
              <w:top w:w="90" w:type="dxa"/>
              <w:left w:w="90" w:type="dxa"/>
              <w:bottom w:w="90" w:type="dxa"/>
              <w:right w:w="90" w:type="dxa"/>
            </w:tcMar>
          </w:tcPr>
          <w:p w:rsidR="00D80BA4" w:rsidRPr="009272E3" w:rsidRDefault="00D80BA4" w:rsidP="00AB1CCF">
            <w:pPr>
              <w:suppressAutoHyphens/>
              <w:autoSpaceDE w:val="0"/>
              <w:autoSpaceDN w:val="0"/>
              <w:adjustRightInd w:val="0"/>
              <w:jc w:val="center"/>
              <w:textAlignment w:val="center"/>
              <w:rPr>
                <w:color w:val="000000"/>
                <w:sz w:val="20"/>
                <w:szCs w:val="20"/>
              </w:rPr>
            </w:pPr>
          </w:p>
        </w:tc>
      </w:tr>
      <w:tr w:rsidR="00D80BA4" w:rsidRPr="009272E3" w:rsidTr="00AB1CCF">
        <w:trPr>
          <w:trHeight w:val="475"/>
          <w:jc w:val="center"/>
        </w:trPr>
        <w:tc>
          <w:tcPr>
            <w:tcW w:w="5000" w:type="pct"/>
            <w:gridSpan w:val="5"/>
            <w:shd w:val="clear" w:color="F37174" w:fill="FBD4B4" w:themeFill="accent6" w:themeFillTint="66"/>
            <w:tcMar>
              <w:top w:w="0" w:type="dxa"/>
              <w:left w:w="0" w:type="dxa"/>
              <w:bottom w:w="0" w:type="dxa"/>
              <w:right w:w="0" w:type="dxa"/>
            </w:tcMar>
            <w:vAlign w:val="center"/>
          </w:tcPr>
          <w:p w:rsidR="00D80BA4" w:rsidRPr="009272E3" w:rsidRDefault="00D80BA4" w:rsidP="00AB1CCF">
            <w:pPr>
              <w:rPr>
                <w:b/>
                <w:bCs/>
                <w:sz w:val="20"/>
                <w:szCs w:val="20"/>
              </w:rPr>
            </w:pPr>
            <w:r w:rsidRPr="009272E3">
              <w:rPr>
                <w:b/>
                <w:bCs/>
                <w:sz w:val="20"/>
                <w:szCs w:val="20"/>
              </w:rPr>
              <w:t xml:space="preserve"> </w:t>
            </w:r>
            <w:r>
              <w:rPr>
                <w:b/>
                <w:bCs/>
                <w:color w:val="000000"/>
                <w:sz w:val="20"/>
                <w:szCs w:val="20"/>
              </w:rPr>
              <w:t xml:space="preserve">Action Step #4:  New </w:t>
            </w:r>
            <w:r w:rsidRPr="0099428A">
              <w:rPr>
                <w:b/>
                <w:bCs/>
                <w:color w:val="000000"/>
                <w:sz w:val="20"/>
                <w:szCs w:val="20"/>
              </w:rPr>
              <w:t>Revenues to a Countywide Regional Pool for Affordable Housing</w:t>
            </w:r>
          </w:p>
        </w:tc>
      </w:tr>
      <w:tr w:rsidR="00B70DA7" w:rsidRPr="009272E3" w:rsidTr="007D6AE0">
        <w:trPr>
          <w:trHeight w:val="503"/>
          <w:jc w:val="center"/>
        </w:trPr>
        <w:tc>
          <w:tcPr>
            <w:tcW w:w="1824" w:type="pct"/>
            <w:shd w:val="clear" w:color="F37174" w:fill="FBD4B4" w:themeFill="accent6" w:themeFillTint="66"/>
            <w:tcMar>
              <w:top w:w="0" w:type="dxa"/>
              <w:left w:w="0" w:type="dxa"/>
              <w:bottom w:w="0" w:type="dxa"/>
              <w:right w:w="0" w:type="dxa"/>
            </w:tcMar>
            <w:vAlign w:val="center"/>
          </w:tcPr>
          <w:p w:rsidR="00B70DA7" w:rsidRPr="009272E3" w:rsidRDefault="00B70DA7" w:rsidP="009272E3">
            <w:pPr>
              <w:suppressAutoHyphens/>
              <w:autoSpaceDE w:val="0"/>
              <w:autoSpaceDN w:val="0"/>
              <w:adjustRightInd w:val="0"/>
              <w:jc w:val="center"/>
              <w:textAlignment w:val="center"/>
              <w:rPr>
                <w:b/>
                <w:bCs/>
                <w:color w:val="000000"/>
                <w:sz w:val="20"/>
                <w:szCs w:val="20"/>
              </w:rPr>
            </w:pPr>
            <w:r w:rsidRPr="009272E3">
              <w:rPr>
                <w:b/>
                <w:bCs/>
                <w:color w:val="000000"/>
                <w:sz w:val="20"/>
                <w:szCs w:val="20"/>
              </w:rPr>
              <w:t>Tasks</w:t>
            </w:r>
          </w:p>
        </w:tc>
        <w:tc>
          <w:tcPr>
            <w:tcW w:w="1227" w:type="pct"/>
            <w:gridSpan w:val="2"/>
            <w:shd w:val="clear" w:color="F37174" w:fill="FBD4B4" w:themeFill="accent6" w:themeFillTint="66"/>
            <w:tcMar>
              <w:top w:w="0" w:type="dxa"/>
              <w:left w:w="0" w:type="dxa"/>
              <w:bottom w:w="0" w:type="dxa"/>
              <w:right w:w="0" w:type="dxa"/>
            </w:tcMar>
            <w:vAlign w:val="center"/>
          </w:tcPr>
          <w:p w:rsidR="00B70DA7" w:rsidRPr="009272E3" w:rsidRDefault="00B70DA7" w:rsidP="009272E3">
            <w:pPr>
              <w:suppressAutoHyphens/>
              <w:autoSpaceDE w:val="0"/>
              <w:autoSpaceDN w:val="0"/>
              <w:adjustRightInd w:val="0"/>
              <w:jc w:val="center"/>
              <w:textAlignment w:val="center"/>
              <w:rPr>
                <w:b/>
                <w:bCs/>
                <w:color w:val="000000"/>
                <w:sz w:val="20"/>
                <w:szCs w:val="20"/>
              </w:rPr>
            </w:pPr>
            <w:r w:rsidRPr="009272E3">
              <w:rPr>
                <w:b/>
                <w:bCs/>
                <w:color w:val="000000"/>
                <w:sz w:val="20"/>
                <w:szCs w:val="20"/>
              </w:rPr>
              <w:t>Required Approvals</w:t>
            </w:r>
          </w:p>
        </w:tc>
        <w:tc>
          <w:tcPr>
            <w:tcW w:w="1399" w:type="pct"/>
            <w:shd w:val="clear" w:color="F37174" w:fill="FBD4B4" w:themeFill="accent6" w:themeFillTint="66"/>
            <w:tcMar>
              <w:top w:w="0" w:type="dxa"/>
              <w:left w:w="0" w:type="dxa"/>
              <w:bottom w:w="0" w:type="dxa"/>
              <w:right w:w="0" w:type="dxa"/>
            </w:tcMar>
            <w:vAlign w:val="center"/>
          </w:tcPr>
          <w:p w:rsidR="00B70DA7" w:rsidRPr="009272E3" w:rsidRDefault="00B70DA7" w:rsidP="009272E3">
            <w:pPr>
              <w:suppressAutoHyphens/>
              <w:autoSpaceDE w:val="0"/>
              <w:autoSpaceDN w:val="0"/>
              <w:adjustRightInd w:val="0"/>
              <w:jc w:val="center"/>
              <w:textAlignment w:val="center"/>
              <w:rPr>
                <w:b/>
                <w:bCs/>
                <w:color w:val="000000"/>
                <w:sz w:val="20"/>
                <w:szCs w:val="20"/>
              </w:rPr>
            </w:pPr>
            <w:r w:rsidRPr="009272E3">
              <w:rPr>
                <w:b/>
                <w:bCs/>
                <w:color w:val="000000"/>
                <w:sz w:val="20"/>
                <w:szCs w:val="20"/>
              </w:rPr>
              <w:t>Measurable Outcome(s)</w:t>
            </w:r>
          </w:p>
        </w:tc>
        <w:tc>
          <w:tcPr>
            <w:tcW w:w="550" w:type="pct"/>
            <w:shd w:val="clear" w:color="F37174" w:fill="FBD4B4" w:themeFill="accent6" w:themeFillTint="66"/>
            <w:tcMar>
              <w:top w:w="0" w:type="dxa"/>
              <w:left w:w="0" w:type="dxa"/>
              <w:bottom w:w="0" w:type="dxa"/>
              <w:right w:w="0" w:type="dxa"/>
            </w:tcMar>
            <w:vAlign w:val="center"/>
          </w:tcPr>
          <w:p w:rsidR="00B70DA7" w:rsidRPr="009272E3" w:rsidRDefault="00B70DA7" w:rsidP="009272E3">
            <w:pPr>
              <w:suppressAutoHyphens/>
              <w:autoSpaceDE w:val="0"/>
              <w:autoSpaceDN w:val="0"/>
              <w:adjustRightInd w:val="0"/>
              <w:jc w:val="center"/>
              <w:textAlignment w:val="center"/>
              <w:rPr>
                <w:b/>
                <w:bCs/>
                <w:color w:val="000000"/>
                <w:sz w:val="20"/>
                <w:szCs w:val="20"/>
                <w:u w:color="000000"/>
              </w:rPr>
            </w:pPr>
            <w:r w:rsidRPr="009272E3">
              <w:rPr>
                <w:b/>
                <w:bCs/>
                <w:color w:val="000000"/>
                <w:sz w:val="20"/>
                <w:szCs w:val="20"/>
                <w:u w:color="000000"/>
              </w:rPr>
              <w:t>Target Completion Date(s)</w:t>
            </w:r>
          </w:p>
        </w:tc>
      </w:tr>
      <w:tr w:rsidR="00B70DA7" w:rsidRPr="009272E3" w:rsidTr="007D6AE0">
        <w:trPr>
          <w:trHeight w:val="620"/>
          <w:jc w:val="center"/>
        </w:trPr>
        <w:tc>
          <w:tcPr>
            <w:tcW w:w="1824" w:type="pct"/>
            <w:vMerge w:val="restart"/>
            <w:shd w:val="clear" w:color="auto" w:fill="auto"/>
            <w:tcMar>
              <w:top w:w="90" w:type="dxa"/>
              <w:left w:w="90" w:type="dxa"/>
              <w:bottom w:w="90" w:type="dxa"/>
              <w:right w:w="90" w:type="dxa"/>
            </w:tcMar>
          </w:tcPr>
          <w:p w:rsidR="00B70DA7" w:rsidRPr="009272E3" w:rsidRDefault="007D6AE0" w:rsidP="009272E3">
            <w:pPr>
              <w:numPr>
                <w:ilvl w:val="0"/>
                <w:numId w:val="2"/>
              </w:numPr>
              <w:suppressAutoHyphens/>
              <w:autoSpaceDE w:val="0"/>
              <w:autoSpaceDN w:val="0"/>
              <w:adjustRightInd w:val="0"/>
              <w:spacing w:after="200" w:line="276" w:lineRule="auto"/>
              <w:textAlignment w:val="center"/>
              <w:rPr>
                <w:color w:val="000000"/>
                <w:sz w:val="20"/>
                <w:szCs w:val="20"/>
              </w:rPr>
            </w:pPr>
            <w:r>
              <w:rPr>
                <w:color w:val="000000"/>
                <w:sz w:val="20"/>
                <w:szCs w:val="20"/>
              </w:rPr>
              <w:t>Establish a countywide regional pool for new sources of affordable housing funding</w:t>
            </w:r>
            <w:r w:rsidR="00B70DA7" w:rsidRPr="009272E3">
              <w:rPr>
                <w:color w:val="000000"/>
                <w:sz w:val="20"/>
                <w:szCs w:val="20"/>
              </w:rPr>
              <w:t>.</w:t>
            </w:r>
          </w:p>
          <w:p w:rsidR="00B70DA7" w:rsidRPr="009272E3" w:rsidRDefault="00B70DA7" w:rsidP="00DC6E5A">
            <w:pPr>
              <w:suppressAutoHyphens/>
              <w:autoSpaceDE w:val="0"/>
              <w:autoSpaceDN w:val="0"/>
              <w:adjustRightInd w:val="0"/>
              <w:spacing w:after="200" w:line="276" w:lineRule="auto"/>
              <w:ind w:left="360"/>
              <w:textAlignment w:val="center"/>
              <w:rPr>
                <w:color w:val="000000"/>
                <w:sz w:val="20"/>
                <w:szCs w:val="20"/>
              </w:rPr>
            </w:pPr>
          </w:p>
        </w:tc>
        <w:tc>
          <w:tcPr>
            <w:tcW w:w="664" w:type="pct"/>
            <w:shd w:val="clear" w:color="auto" w:fill="auto"/>
            <w:tcMar>
              <w:top w:w="90" w:type="dxa"/>
              <w:left w:w="90" w:type="dxa"/>
              <w:bottom w:w="90" w:type="dxa"/>
              <w:right w:w="90" w:type="dxa"/>
            </w:tcMar>
            <w:vAlign w:val="center"/>
          </w:tcPr>
          <w:p w:rsidR="00B70DA7" w:rsidRPr="009272E3" w:rsidRDefault="00B70DA7" w:rsidP="009272E3">
            <w:pPr>
              <w:suppressAutoHyphens/>
              <w:autoSpaceDE w:val="0"/>
              <w:autoSpaceDN w:val="0"/>
              <w:adjustRightInd w:val="0"/>
              <w:jc w:val="center"/>
              <w:textAlignment w:val="center"/>
              <w:rPr>
                <w:color w:val="000000"/>
                <w:sz w:val="20"/>
                <w:szCs w:val="20"/>
              </w:rPr>
            </w:pPr>
            <w:r w:rsidRPr="009272E3">
              <w:rPr>
                <w:color w:val="000000"/>
                <w:sz w:val="20"/>
                <w:szCs w:val="20"/>
              </w:rPr>
              <w:t>Local</w:t>
            </w:r>
          </w:p>
        </w:tc>
        <w:tc>
          <w:tcPr>
            <w:tcW w:w="563" w:type="pct"/>
            <w:shd w:val="clear" w:color="auto" w:fill="auto"/>
            <w:vAlign w:val="center"/>
          </w:tcPr>
          <w:p w:rsidR="00B70DA7" w:rsidRPr="009272E3" w:rsidRDefault="00B70DA7" w:rsidP="009272E3">
            <w:pPr>
              <w:suppressAutoHyphens/>
              <w:autoSpaceDE w:val="0"/>
              <w:autoSpaceDN w:val="0"/>
              <w:adjustRightInd w:val="0"/>
              <w:jc w:val="center"/>
              <w:textAlignment w:val="center"/>
              <w:rPr>
                <w:color w:val="000000"/>
                <w:sz w:val="20"/>
                <w:szCs w:val="20"/>
              </w:rPr>
            </w:pPr>
            <w:r w:rsidRPr="009272E3">
              <w:rPr>
                <w:color w:val="000000"/>
                <w:sz w:val="20"/>
                <w:szCs w:val="20"/>
              </w:rPr>
              <w:t>X</w:t>
            </w:r>
          </w:p>
        </w:tc>
        <w:tc>
          <w:tcPr>
            <w:tcW w:w="1399" w:type="pct"/>
            <w:vMerge w:val="restart"/>
            <w:shd w:val="clear" w:color="auto" w:fill="auto"/>
            <w:tcMar>
              <w:top w:w="90" w:type="dxa"/>
              <w:left w:w="90" w:type="dxa"/>
              <w:bottom w:w="90" w:type="dxa"/>
              <w:right w:w="90" w:type="dxa"/>
            </w:tcMar>
          </w:tcPr>
          <w:p w:rsidR="00B70DA7" w:rsidRPr="009272E3" w:rsidRDefault="007D6AE0" w:rsidP="007D6AE0">
            <w:pPr>
              <w:numPr>
                <w:ilvl w:val="0"/>
                <w:numId w:val="2"/>
              </w:numPr>
              <w:suppressAutoHyphens/>
              <w:autoSpaceDE w:val="0"/>
              <w:autoSpaceDN w:val="0"/>
              <w:adjustRightInd w:val="0"/>
              <w:spacing w:after="200" w:line="276" w:lineRule="auto"/>
              <w:textAlignment w:val="center"/>
              <w:rPr>
                <w:color w:val="000000"/>
                <w:sz w:val="20"/>
                <w:szCs w:val="20"/>
              </w:rPr>
            </w:pPr>
            <w:r w:rsidRPr="0099428A">
              <w:rPr>
                <w:color w:val="000000"/>
                <w:sz w:val="20"/>
                <w:szCs w:val="20"/>
              </w:rPr>
              <w:t>Revenue</w:t>
            </w:r>
            <w:r>
              <w:rPr>
                <w:color w:val="000000"/>
                <w:sz w:val="20"/>
                <w:szCs w:val="20"/>
              </w:rPr>
              <w:t xml:space="preserve"> deposited to regional pool for affordable housing.</w:t>
            </w:r>
          </w:p>
        </w:tc>
        <w:tc>
          <w:tcPr>
            <w:tcW w:w="550" w:type="pct"/>
            <w:vMerge w:val="restart"/>
            <w:shd w:val="clear" w:color="auto" w:fill="auto"/>
            <w:tcMar>
              <w:top w:w="90" w:type="dxa"/>
              <w:left w:w="90" w:type="dxa"/>
              <w:bottom w:w="90" w:type="dxa"/>
              <w:right w:w="90" w:type="dxa"/>
            </w:tcMar>
          </w:tcPr>
          <w:p w:rsidR="00B70DA7" w:rsidRPr="009272E3" w:rsidRDefault="00B70DA7" w:rsidP="009272E3">
            <w:pPr>
              <w:autoSpaceDE w:val="0"/>
              <w:autoSpaceDN w:val="0"/>
              <w:adjustRightInd w:val="0"/>
              <w:spacing w:line="288" w:lineRule="auto"/>
              <w:textAlignment w:val="center"/>
              <w:rPr>
                <w:color w:val="000000"/>
                <w:sz w:val="20"/>
                <w:szCs w:val="20"/>
              </w:rPr>
            </w:pPr>
          </w:p>
        </w:tc>
      </w:tr>
      <w:tr w:rsidR="00B70DA7" w:rsidRPr="009272E3" w:rsidTr="007D6AE0">
        <w:trPr>
          <w:trHeight w:val="620"/>
          <w:jc w:val="center"/>
        </w:trPr>
        <w:tc>
          <w:tcPr>
            <w:tcW w:w="1824" w:type="pct"/>
            <w:vMerge/>
            <w:shd w:val="clear" w:color="auto" w:fill="auto"/>
            <w:tcMar>
              <w:top w:w="90" w:type="dxa"/>
              <w:left w:w="90" w:type="dxa"/>
              <w:bottom w:w="90" w:type="dxa"/>
              <w:right w:w="90" w:type="dxa"/>
            </w:tcMar>
          </w:tcPr>
          <w:p w:rsidR="00B70DA7" w:rsidRPr="009272E3" w:rsidRDefault="00B70DA7" w:rsidP="009272E3">
            <w:pPr>
              <w:numPr>
                <w:ilvl w:val="0"/>
                <w:numId w:val="2"/>
              </w:numPr>
              <w:suppressAutoHyphens/>
              <w:autoSpaceDE w:val="0"/>
              <w:autoSpaceDN w:val="0"/>
              <w:adjustRightInd w:val="0"/>
              <w:spacing w:after="200" w:line="276" w:lineRule="auto"/>
              <w:textAlignment w:val="center"/>
              <w:rPr>
                <w:color w:val="000000"/>
                <w:sz w:val="20"/>
                <w:szCs w:val="20"/>
              </w:rPr>
            </w:pPr>
          </w:p>
        </w:tc>
        <w:tc>
          <w:tcPr>
            <w:tcW w:w="664" w:type="pct"/>
            <w:shd w:val="clear" w:color="auto" w:fill="auto"/>
            <w:tcMar>
              <w:top w:w="90" w:type="dxa"/>
              <w:left w:w="90" w:type="dxa"/>
              <w:bottom w:w="90" w:type="dxa"/>
              <w:right w:w="90" w:type="dxa"/>
            </w:tcMar>
            <w:vAlign w:val="center"/>
          </w:tcPr>
          <w:p w:rsidR="00B70DA7" w:rsidRPr="009272E3" w:rsidRDefault="00B70DA7" w:rsidP="009272E3">
            <w:pPr>
              <w:suppressAutoHyphens/>
              <w:autoSpaceDE w:val="0"/>
              <w:autoSpaceDN w:val="0"/>
              <w:adjustRightInd w:val="0"/>
              <w:jc w:val="center"/>
              <w:textAlignment w:val="center"/>
              <w:rPr>
                <w:color w:val="000000"/>
                <w:sz w:val="20"/>
                <w:szCs w:val="20"/>
              </w:rPr>
            </w:pPr>
            <w:r w:rsidRPr="009272E3">
              <w:rPr>
                <w:color w:val="000000"/>
                <w:sz w:val="20"/>
                <w:szCs w:val="20"/>
              </w:rPr>
              <w:t>State</w:t>
            </w:r>
          </w:p>
        </w:tc>
        <w:tc>
          <w:tcPr>
            <w:tcW w:w="563" w:type="pct"/>
            <w:shd w:val="clear" w:color="auto" w:fill="auto"/>
            <w:vAlign w:val="center"/>
          </w:tcPr>
          <w:p w:rsidR="00B70DA7" w:rsidRPr="009272E3" w:rsidRDefault="00B70DA7" w:rsidP="009272E3">
            <w:pPr>
              <w:suppressAutoHyphens/>
              <w:autoSpaceDE w:val="0"/>
              <w:autoSpaceDN w:val="0"/>
              <w:adjustRightInd w:val="0"/>
              <w:jc w:val="center"/>
              <w:textAlignment w:val="center"/>
              <w:rPr>
                <w:color w:val="000000"/>
                <w:sz w:val="20"/>
                <w:szCs w:val="20"/>
              </w:rPr>
            </w:pPr>
          </w:p>
        </w:tc>
        <w:tc>
          <w:tcPr>
            <w:tcW w:w="1399" w:type="pct"/>
            <w:vMerge/>
            <w:shd w:val="clear" w:color="auto" w:fill="auto"/>
            <w:tcMar>
              <w:top w:w="90" w:type="dxa"/>
              <w:left w:w="90" w:type="dxa"/>
              <w:bottom w:w="90" w:type="dxa"/>
              <w:right w:w="90" w:type="dxa"/>
            </w:tcMar>
          </w:tcPr>
          <w:p w:rsidR="00B70DA7" w:rsidRPr="009272E3" w:rsidRDefault="00B70DA7" w:rsidP="009272E3">
            <w:pPr>
              <w:numPr>
                <w:ilvl w:val="0"/>
                <w:numId w:val="2"/>
              </w:numPr>
              <w:suppressAutoHyphens/>
              <w:autoSpaceDE w:val="0"/>
              <w:autoSpaceDN w:val="0"/>
              <w:adjustRightInd w:val="0"/>
              <w:spacing w:after="200" w:line="276" w:lineRule="auto"/>
              <w:textAlignment w:val="center"/>
              <w:rPr>
                <w:color w:val="000000"/>
                <w:sz w:val="20"/>
                <w:szCs w:val="20"/>
              </w:rPr>
            </w:pPr>
          </w:p>
        </w:tc>
        <w:tc>
          <w:tcPr>
            <w:tcW w:w="550" w:type="pct"/>
            <w:vMerge/>
            <w:shd w:val="clear" w:color="auto" w:fill="auto"/>
            <w:tcMar>
              <w:top w:w="90" w:type="dxa"/>
              <w:left w:w="90" w:type="dxa"/>
              <w:bottom w:w="90" w:type="dxa"/>
              <w:right w:w="90" w:type="dxa"/>
            </w:tcMar>
          </w:tcPr>
          <w:p w:rsidR="00B70DA7" w:rsidRPr="009272E3" w:rsidRDefault="00B70DA7" w:rsidP="009272E3">
            <w:pPr>
              <w:autoSpaceDE w:val="0"/>
              <w:autoSpaceDN w:val="0"/>
              <w:adjustRightInd w:val="0"/>
              <w:spacing w:line="288" w:lineRule="auto"/>
              <w:textAlignment w:val="center"/>
              <w:rPr>
                <w:color w:val="000000"/>
                <w:sz w:val="20"/>
                <w:szCs w:val="20"/>
              </w:rPr>
            </w:pPr>
          </w:p>
        </w:tc>
      </w:tr>
      <w:tr w:rsidR="00B70DA7" w:rsidRPr="009272E3" w:rsidTr="007D6AE0">
        <w:trPr>
          <w:trHeight w:val="629"/>
          <w:jc w:val="center"/>
        </w:trPr>
        <w:tc>
          <w:tcPr>
            <w:tcW w:w="1824" w:type="pct"/>
            <w:vMerge/>
            <w:shd w:val="clear" w:color="auto" w:fill="auto"/>
            <w:tcMar>
              <w:top w:w="90" w:type="dxa"/>
              <w:left w:w="90" w:type="dxa"/>
              <w:bottom w:w="90" w:type="dxa"/>
              <w:right w:w="90" w:type="dxa"/>
            </w:tcMar>
          </w:tcPr>
          <w:p w:rsidR="00B70DA7" w:rsidRPr="009272E3" w:rsidRDefault="00B70DA7" w:rsidP="009272E3">
            <w:pPr>
              <w:numPr>
                <w:ilvl w:val="0"/>
                <w:numId w:val="2"/>
              </w:numPr>
              <w:suppressAutoHyphens/>
              <w:autoSpaceDE w:val="0"/>
              <w:autoSpaceDN w:val="0"/>
              <w:adjustRightInd w:val="0"/>
              <w:spacing w:after="200" w:line="276" w:lineRule="auto"/>
              <w:textAlignment w:val="center"/>
              <w:rPr>
                <w:color w:val="000000"/>
                <w:sz w:val="20"/>
                <w:szCs w:val="20"/>
              </w:rPr>
            </w:pPr>
          </w:p>
        </w:tc>
        <w:tc>
          <w:tcPr>
            <w:tcW w:w="664" w:type="pct"/>
            <w:shd w:val="clear" w:color="auto" w:fill="auto"/>
            <w:tcMar>
              <w:top w:w="90" w:type="dxa"/>
              <w:left w:w="90" w:type="dxa"/>
              <w:bottom w:w="90" w:type="dxa"/>
              <w:right w:w="90" w:type="dxa"/>
            </w:tcMar>
            <w:vAlign w:val="center"/>
          </w:tcPr>
          <w:p w:rsidR="00B70DA7" w:rsidRPr="009272E3" w:rsidRDefault="00B70DA7" w:rsidP="009272E3">
            <w:pPr>
              <w:suppressAutoHyphens/>
              <w:autoSpaceDE w:val="0"/>
              <w:autoSpaceDN w:val="0"/>
              <w:adjustRightInd w:val="0"/>
              <w:jc w:val="center"/>
              <w:textAlignment w:val="center"/>
              <w:rPr>
                <w:color w:val="000000"/>
                <w:sz w:val="20"/>
                <w:szCs w:val="20"/>
              </w:rPr>
            </w:pPr>
            <w:r w:rsidRPr="009272E3">
              <w:rPr>
                <w:color w:val="000000"/>
                <w:sz w:val="20"/>
                <w:szCs w:val="20"/>
              </w:rPr>
              <w:t>Voter</w:t>
            </w:r>
          </w:p>
        </w:tc>
        <w:tc>
          <w:tcPr>
            <w:tcW w:w="563" w:type="pct"/>
            <w:shd w:val="clear" w:color="auto" w:fill="auto"/>
            <w:vAlign w:val="center"/>
          </w:tcPr>
          <w:p w:rsidR="00B70DA7" w:rsidRPr="009272E3" w:rsidRDefault="00B70DA7" w:rsidP="009272E3">
            <w:pPr>
              <w:suppressAutoHyphens/>
              <w:autoSpaceDE w:val="0"/>
              <w:autoSpaceDN w:val="0"/>
              <w:adjustRightInd w:val="0"/>
              <w:jc w:val="center"/>
              <w:textAlignment w:val="center"/>
              <w:rPr>
                <w:color w:val="000000"/>
                <w:sz w:val="20"/>
                <w:szCs w:val="20"/>
              </w:rPr>
            </w:pPr>
          </w:p>
        </w:tc>
        <w:tc>
          <w:tcPr>
            <w:tcW w:w="1399" w:type="pct"/>
            <w:vMerge/>
            <w:shd w:val="clear" w:color="auto" w:fill="auto"/>
            <w:tcMar>
              <w:top w:w="90" w:type="dxa"/>
              <w:left w:w="90" w:type="dxa"/>
              <w:bottom w:w="90" w:type="dxa"/>
              <w:right w:w="90" w:type="dxa"/>
            </w:tcMar>
          </w:tcPr>
          <w:p w:rsidR="00B70DA7" w:rsidRPr="009272E3" w:rsidRDefault="00B70DA7" w:rsidP="009272E3">
            <w:pPr>
              <w:numPr>
                <w:ilvl w:val="0"/>
                <w:numId w:val="2"/>
              </w:numPr>
              <w:suppressAutoHyphens/>
              <w:autoSpaceDE w:val="0"/>
              <w:autoSpaceDN w:val="0"/>
              <w:adjustRightInd w:val="0"/>
              <w:spacing w:after="200" w:line="276" w:lineRule="auto"/>
              <w:textAlignment w:val="center"/>
              <w:rPr>
                <w:color w:val="000000"/>
                <w:sz w:val="20"/>
                <w:szCs w:val="20"/>
              </w:rPr>
            </w:pPr>
          </w:p>
        </w:tc>
        <w:tc>
          <w:tcPr>
            <w:tcW w:w="550" w:type="pct"/>
            <w:vMerge/>
            <w:shd w:val="clear" w:color="auto" w:fill="auto"/>
            <w:tcMar>
              <w:top w:w="90" w:type="dxa"/>
              <w:left w:w="90" w:type="dxa"/>
              <w:bottom w:w="90" w:type="dxa"/>
              <w:right w:w="90" w:type="dxa"/>
            </w:tcMar>
          </w:tcPr>
          <w:p w:rsidR="00B70DA7" w:rsidRPr="009272E3" w:rsidRDefault="00B70DA7" w:rsidP="009272E3">
            <w:pPr>
              <w:autoSpaceDE w:val="0"/>
              <w:autoSpaceDN w:val="0"/>
              <w:adjustRightInd w:val="0"/>
              <w:spacing w:line="288" w:lineRule="auto"/>
              <w:textAlignment w:val="center"/>
              <w:rPr>
                <w:color w:val="000000"/>
                <w:sz w:val="20"/>
                <w:szCs w:val="20"/>
              </w:rPr>
            </w:pPr>
          </w:p>
        </w:tc>
      </w:tr>
    </w:tbl>
    <w:p w:rsidR="00B70DA7" w:rsidRDefault="00B70DA7" w:rsidP="00CF6E30">
      <w:pPr>
        <w:spacing w:after="200" w:line="276" w:lineRule="auto"/>
        <w:rPr>
          <w:rFonts w:eastAsia="Calibri"/>
          <w:sz w:val="22"/>
          <w:szCs w:val="22"/>
        </w:rPr>
      </w:pPr>
    </w:p>
    <w:p w:rsidR="007D6AE0" w:rsidRDefault="007D6AE0" w:rsidP="00CF6E30">
      <w:pPr>
        <w:spacing w:after="200" w:line="276" w:lineRule="auto"/>
        <w:rPr>
          <w:rFonts w:eastAsia="Calibri"/>
          <w:sz w:val="22"/>
          <w:szCs w:val="22"/>
        </w:rPr>
      </w:pPr>
    </w:p>
    <w:tbl>
      <w:tblPr>
        <w:tblW w:w="5613" w:type="pct"/>
        <w:jc w:val="center"/>
        <w:tblInd w:w="-1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3799"/>
        <w:gridCol w:w="1370"/>
        <w:gridCol w:w="1157"/>
        <w:gridCol w:w="2912"/>
        <w:gridCol w:w="1281"/>
      </w:tblGrid>
      <w:tr w:rsidR="00B70DA7" w:rsidRPr="00B70DA7" w:rsidTr="00DC6E5A">
        <w:trPr>
          <w:trHeight w:val="452"/>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FBD4B4" w:themeFill="accent6" w:themeFillTint="66"/>
            <w:tcMar>
              <w:top w:w="0" w:type="dxa"/>
              <w:left w:w="0" w:type="dxa"/>
              <w:bottom w:w="0" w:type="dxa"/>
              <w:right w:w="0" w:type="dxa"/>
            </w:tcMar>
            <w:vAlign w:val="center"/>
          </w:tcPr>
          <w:p w:rsidR="007D6AE0" w:rsidRDefault="00B70DA7" w:rsidP="007D6AE0">
            <w:pPr>
              <w:suppressAutoHyphens/>
              <w:autoSpaceDE w:val="0"/>
              <w:autoSpaceDN w:val="0"/>
              <w:adjustRightInd w:val="0"/>
              <w:jc w:val="center"/>
              <w:textAlignment w:val="center"/>
              <w:rPr>
                <w:b/>
                <w:bCs/>
                <w:color w:val="000000"/>
                <w:sz w:val="20"/>
                <w:szCs w:val="20"/>
              </w:rPr>
            </w:pPr>
            <w:r w:rsidRPr="007D6AE0">
              <w:rPr>
                <w:b/>
                <w:bCs/>
                <w:color w:val="000000"/>
                <w:sz w:val="20"/>
                <w:szCs w:val="20"/>
              </w:rPr>
              <w:t>STRATEGY # 3:</w:t>
            </w:r>
          </w:p>
          <w:p w:rsidR="00B70DA7" w:rsidRPr="00DC6E5A" w:rsidRDefault="00B70DA7" w:rsidP="007D6AE0">
            <w:pPr>
              <w:suppressAutoHyphens/>
              <w:autoSpaceDE w:val="0"/>
              <w:autoSpaceDN w:val="0"/>
              <w:adjustRightInd w:val="0"/>
              <w:jc w:val="center"/>
              <w:textAlignment w:val="center"/>
              <w:rPr>
                <w:rFonts w:eastAsia="Calibri"/>
                <w:b/>
                <w:bCs/>
                <w:sz w:val="20"/>
                <w:szCs w:val="20"/>
              </w:rPr>
            </w:pPr>
            <w:r w:rsidRPr="007D6AE0">
              <w:rPr>
                <w:b/>
                <w:bCs/>
                <w:color w:val="000000"/>
                <w:sz w:val="20"/>
                <w:szCs w:val="20"/>
              </w:rPr>
              <w:t>MAXIMIZE FINANCING RESOURCES</w:t>
            </w:r>
          </w:p>
        </w:tc>
      </w:tr>
      <w:tr w:rsidR="00B70DA7" w:rsidRPr="00B70DA7" w:rsidTr="007D6AE0">
        <w:trPr>
          <w:trHeight w:val="323"/>
          <w:jc w:val="center"/>
        </w:trPr>
        <w:tc>
          <w:tcPr>
            <w:tcW w:w="5000" w:type="pct"/>
            <w:gridSpan w:val="5"/>
            <w:tcBorders>
              <w:top w:val="single" w:sz="4" w:space="0" w:color="auto"/>
            </w:tcBorders>
            <w:shd w:val="clear" w:color="auto" w:fill="FBD4B4" w:themeFill="accent6" w:themeFillTint="66"/>
            <w:tcMar>
              <w:top w:w="90" w:type="dxa"/>
              <w:left w:w="90" w:type="dxa"/>
              <w:bottom w:w="90" w:type="dxa"/>
              <w:right w:w="90" w:type="dxa"/>
            </w:tcMar>
            <w:vAlign w:val="center"/>
          </w:tcPr>
          <w:p w:rsidR="00B70DA7" w:rsidRPr="00DC6E5A" w:rsidRDefault="007D6AE0" w:rsidP="007D6AE0">
            <w:pPr>
              <w:spacing w:after="200" w:line="276" w:lineRule="auto"/>
              <w:rPr>
                <w:rFonts w:eastAsia="Calibri"/>
                <w:sz w:val="20"/>
                <w:szCs w:val="20"/>
              </w:rPr>
            </w:pPr>
            <w:r>
              <w:rPr>
                <w:rFonts w:eastAsia="Calibri"/>
                <w:b/>
                <w:bCs/>
                <w:sz w:val="20"/>
                <w:szCs w:val="20"/>
              </w:rPr>
              <w:t>Action Step #5</w:t>
            </w:r>
            <w:r w:rsidR="00B70DA7" w:rsidRPr="00DC6E5A">
              <w:rPr>
                <w:rFonts w:eastAsia="Calibri"/>
                <w:b/>
                <w:bCs/>
                <w:sz w:val="20"/>
                <w:szCs w:val="20"/>
              </w:rPr>
              <w:t xml:space="preserve">:  </w:t>
            </w:r>
            <w:r>
              <w:rPr>
                <w:rFonts w:eastAsia="Calibri"/>
                <w:b/>
                <w:bCs/>
                <w:sz w:val="20"/>
                <w:szCs w:val="20"/>
              </w:rPr>
              <w:t>Direct a Portion of Tax Increment “Boomerang Funds” to Affordable Housing Development.</w:t>
            </w:r>
          </w:p>
        </w:tc>
      </w:tr>
      <w:tr w:rsidR="00B70DA7" w:rsidRPr="00B70DA7" w:rsidTr="009C1C00">
        <w:trPr>
          <w:trHeight w:val="60"/>
          <w:jc w:val="center"/>
        </w:trPr>
        <w:tc>
          <w:tcPr>
            <w:tcW w:w="1806" w:type="pct"/>
            <w:shd w:val="clear" w:color="auto" w:fill="FBD4B4" w:themeFill="accent6" w:themeFillTint="66"/>
            <w:tcMar>
              <w:top w:w="90" w:type="dxa"/>
              <w:left w:w="90" w:type="dxa"/>
              <w:bottom w:w="90" w:type="dxa"/>
              <w:right w:w="90" w:type="dxa"/>
            </w:tcMar>
            <w:vAlign w:val="center"/>
          </w:tcPr>
          <w:p w:rsidR="00B70DA7" w:rsidRPr="00DC6E5A" w:rsidRDefault="00B70DA7" w:rsidP="00B70DA7">
            <w:pPr>
              <w:spacing w:after="200" w:line="276" w:lineRule="auto"/>
              <w:rPr>
                <w:rFonts w:eastAsia="Calibri"/>
                <w:b/>
                <w:bCs/>
                <w:sz w:val="20"/>
                <w:szCs w:val="20"/>
              </w:rPr>
            </w:pPr>
            <w:r w:rsidRPr="00DC6E5A">
              <w:rPr>
                <w:rFonts w:eastAsia="Calibri"/>
                <w:b/>
                <w:bCs/>
                <w:sz w:val="20"/>
                <w:szCs w:val="20"/>
              </w:rPr>
              <w:t>Tasks</w:t>
            </w:r>
          </w:p>
        </w:tc>
        <w:tc>
          <w:tcPr>
            <w:tcW w:w="1201" w:type="pct"/>
            <w:gridSpan w:val="2"/>
            <w:shd w:val="clear" w:color="auto" w:fill="FBD4B4" w:themeFill="accent6" w:themeFillTint="66"/>
            <w:tcMar>
              <w:top w:w="90" w:type="dxa"/>
              <w:left w:w="90" w:type="dxa"/>
              <w:bottom w:w="90" w:type="dxa"/>
              <w:right w:w="90" w:type="dxa"/>
            </w:tcMar>
            <w:vAlign w:val="center"/>
          </w:tcPr>
          <w:p w:rsidR="00B70DA7" w:rsidRPr="00DC6E5A" w:rsidRDefault="00B70DA7" w:rsidP="00B70DA7">
            <w:pPr>
              <w:spacing w:after="200" w:line="276" w:lineRule="auto"/>
              <w:rPr>
                <w:rFonts w:eastAsia="Calibri"/>
                <w:b/>
                <w:bCs/>
                <w:sz w:val="20"/>
                <w:szCs w:val="20"/>
              </w:rPr>
            </w:pPr>
            <w:r w:rsidRPr="00DC6E5A">
              <w:rPr>
                <w:rFonts w:eastAsia="Calibri"/>
                <w:b/>
                <w:bCs/>
                <w:sz w:val="20"/>
                <w:szCs w:val="20"/>
              </w:rPr>
              <w:t>Required Approvals</w:t>
            </w:r>
          </w:p>
        </w:tc>
        <w:tc>
          <w:tcPr>
            <w:tcW w:w="1384" w:type="pct"/>
            <w:shd w:val="clear" w:color="auto" w:fill="FBD4B4" w:themeFill="accent6" w:themeFillTint="66"/>
            <w:tcMar>
              <w:top w:w="90" w:type="dxa"/>
              <w:left w:w="90" w:type="dxa"/>
              <w:bottom w:w="90" w:type="dxa"/>
              <w:right w:w="90" w:type="dxa"/>
            </w:tcMar>
            <w:vAlign w:val="center"/>
          </w:tcPr>
          <w:p w:rsidR="00B70DA7" w:rsidRPr="00DC6E5A" w:rsidRDefault="00B70DA7" w:rsidP="00B70DA7">
            <w:pPr>
              <w:spacing w:after="200" w:line="276" w:lineRule="auto"/>
              <w:rPr>
                <w:rFonts w:eastAsia="Calibri"/>
                <w:b/>
                <w:bCs/>
                <w:sz w:val="20"/>
                <w:szCs w:val="20"/>
              </w:rPr>
            </w:pPr>
            <w:r w:rsidRPr="00DC6E5A">
              <w:rPr>
                <w:rFonts w:eastAsia="Calibri"/>
                <w:b/>
                <w:bCs/>
                <w:sz w:val="20"/>
                <w:szCs w:val="20"/>
              </w:rPr>
              <w:t>Measurable Outcome(s)</w:t>
            </w:r>
          </w:p>
        </w:tc>
        <w:tc>
          <w:tcPr>
            <w:tcW w:w="609" w:type="pct"/>
            <w:shd w:val="clear" w:color="auto" w:fill="FBD4B4" w:themeFill="accent6" w:themeFillTint="66"/>
            <w:tcMar>
              <w:top w:w="90" w:type="dxa"/>
              <w:left w:w="90" w:type="dxa"/>
              <w:bottom w:w="90" w:type="dxa"/>
              <w:right w:w="90" w:type="dxa"/>
            </w:tcMar>
            <w:vAlign w:val="center"/>
          </w:tcPr>
          <w:p w:rsidR="00B70DA7" w:rsidRPr="00DC6E5A" w:rsidRDefault="00B70DA7" w:rsidP="00B70DA7">
            <w:pPr>
              <w:spacing w:after="200" w:line="276" w:lineRule="auto"/>
              <w:rPr>
                <w:rFonts w:eastAsia="Calibri"/>
                <w:b/>
                <w:bCs/>
                <w:sz w:val="20"/>
                <w:szCs w:val="20"/>
              </w:rPr>
            </w:pPr>
            <w:r w:rsidRPr="00DC6E5A">
              <w:rPr>
                <w:rFonts w:eastAsia="Calibri"/>
                <w:b/>
                <w:bCs/>
                <w:sz w:val="20"/>
                <w:szCs w:val="20"/>
              </w:rPr>
              <w:t>Target Completion Date(s)</w:t>
            </w:r>
          </w:p>
        </w:tc>
      </w:tr>
      <w:tr w:rsidR="00B70DA7" w:rsidRPr="00B70DA7" w:rsidTr="009C1C00">
        <w:trPr>
          <w:trHeight w:val="1150"/>
          <w:jc w:val="center"/>
        </w:trPr>
        <w:tc>
          <w:tcPr>
            <w:tcW w:w="1806" w:type="pct"/>
            <w:vMerge w:val="restart"/>
            <w:shd w:val="clear" w:color="auto" w:fill="auto"/>
            <w:tcMar>
              <w:top w:w="90" w:type="dxa"/>
              <w:left w:w="90" w:type="dxa"/>
              <w:bottom w:w="90" w:type="dxa"/>
              <w:right w:w="90" w:type="dxa"/>
            </w:tcMar>
          </w:tcPr>
          <w:p w:rsidR="00B70DA7" w:rsidRPr="007D6AE0" w:rsidRDefault="007D6AE0" w:rsidP="007D6AE0">
            <w:pPr>
              <w:numPr>
                <w:ilvl w:val="0"/>
                <w:numId w:val="3"/>
              </w:numPr>
              <w:spacing w:after="200" w:line="276" w:lineRule="auto"/>
              <w:rPr>
                <w:rFonts w:eastAsia="Calibri"/>
                <w:sz w:val="20"/>
                <w:szCs w:val="20"/>
              </w:rPr>
            </w:pPr>
            <w:r>
              <w:rPr>
                <w:rFonts w:eastAsia="Calibri"/>
                <w:sz w:val="20"/>
                <w:szCs w:val="20"/>
              </w:rPr>
              <w:t>City and County to allocate a portion of prior tax increment funding to affordable housing</w:t>
            </w:r>
            <w:r w:rsidR="00B70DA7" w:rsidRPr="00DC6E5A">
              <w:rPr>
                <w:rFonts w:eastAsia="Calibri"/>
                <w:sz w:val="20"/>
                <w:szCs w:val="20"/>
              </w:rPr>
              <w:t>.</w:t>
            </w:r>
          </w:p>
        </w:tc>
        <w:tc>
          <w:tcPr>
            <w:tcW w:w="651" w:type="pct"/>
            <w:shd w:val="clear" w:color="auto" w:fill="auto"/>
            <w:tcMar>
              <w:top w:w="90" w:type="dxa"/>
              <w:left w:w="90" w:type="dxa"/>
              <w:bottom w:w="90" w:type="dxa"/>
              <w:right w:w="90" w:type="dxa"/>
            </w:tcMar>
            <w:vAlign w:val="center"/>
          </w:tcPr>
          <w:p w:rsidR="00B70DA7" w:rsidRPr="00DC6E5A" w:rsidRDefault="00B70DA7" w:rsidP="000C35C0">
            <w:pPr>
              <w:spacing w:after="200" w:line="276" w:lineRule="auto"/>
              <w:jc w:val="center"/>
              <w:rPr>
                <w:rFonts w:eastAsia="Calibri"/>
                <w:sz w:val="20"/>
                <w:szCs w:val="20"/>
              </w:rPr>
            </w:pPr>
            <w:r w:rsidRPr="00DC6E5A">
              <w:rPr>
                <w:rFonts w:eastAsia="Calibri"/>
                <w:sz w:val="20"/>
                <w:szCs w:val="20"/>
              </w:rPr>
              <w:t>Local</w:t>
            </w:r>
          </w:p>
        </w:tc>
        <w:tc>
          <w:tcPr>
            <w:tcW w:w="550" w:type="pct"/>
            <w:shd w:val="clear" w:color="auto" w:fill="auto"/>
            <w:vAlign w:val="center"/>
          </w:tcPr>
          <w:p w:rsidR="00B70DA7" w:rsidRPr="00DC6E5A" w:rsidRDefault="00B70DA7" w:rsidP="009C1C00">
            <w:pPr>
              <w:spacing w:after="200" w:line="276" w:lineRule="auto"/>
              <w:jc w:val="center"/>
              <w:rPr>
                <w:rFonts w:eastAsia="Calibri"/>
                <w:sz w:val="20"/>
                <w:szCs w:val="20"/>
              </w:rPr>
            </w:pPr>
            <w:r w:rsidRPr="00DC6E5A">
              <w:rPr>
                <w:rFonts w:eastAsia="Calibri"/>
                <w:sz w:val="20"/>
                <w:szCs w:val="20"/>
              </w:rPr>
              <w:t>X</w:t>
            </w:r>
          </w:p>
        </w:tc>
        <w:tc>
          <w:tcPr>
            <w:tcW w:w="1384" w:type="pct"/>
            <w:vMerge w:val="restart"/>
            <w:shd w:val="clear" w:color="auto" w:fill="auto"/>
            <w:tcMar>
              <w:top w:w="90" w:type="dxa"/>
              <w:left w:w="90" w:type="dxa"/>
              <w:bottom w:w="90" w:type="dxa"/>
              <w:right w:w="90" w:type="dxa"/>
            </w:tcMar>
          </w:tcPr>
          <w:p w:rsidR="00B70DA7" w:rsidRPr="007D6AE0" w:rsidRDefault="007D6AE0" w:rsidP="007D6AE0">
            <w:pPr>
              <w:numPr>
                <w:ilvl w:val="0"/>
                <w:numId w:val="3"/>
              </w:numPr>
              <w:spacing w:after="200" w:line="276" w:lineRule="auto"/>
              <w:rPr>
                <w:rFonts w:eastAsia="Calibri"/>
                <w:sz w:val="20"/>
                <w:szCs w:val="20"/>
              </w:rPr>
            </w:pPr>
            <w:r>
              <w:rPr>
                <w:rFonts w:eastAsia="Calibri"/>
                <w:sz w:val="20"/>
                <w:szCs w:val="20"/>
              </w:rPr>
              <w:t xml:space="preserve">“Boomerang” funds allocated to affordable housing development. </w:t>
            </w:r>
          </w:p>
        </w:tc>
        <w:tc>
          <w:tcPr>
            <w:tcW w:w="609" w:type="pct"/>
            <w:vMerge w:val="restart"/>
            <w:shd w:val="clear" w:color="auto" w:fill="auto"/>
            <w:tcMar>
              <w:top w:w="90" w:type="dxa"/>
              <w:left w:w="90" w:type="dxa"/>
              <w:bottom w:w="90" w:type="dxa"/>
              <w:right w:w="90" w:type="dxa"/>
            </w:tcMar>
          </w:tcPr>
          <w:p w:rsidR="00B70DA7" w:rsidRPr="00DC6E5A" w:rsidRDefault="00B70DA7" w:rsidP="00B70DA7">
            <w:pPr>
              <w:spacing w:after="200" w:line="276" w:lineRule="auto"/>
              <w:rPr>
                <w:rFonts w:eastAsia="Calibri"/>
                <w:sz w:val="20"/>
                <w:szCs w:val="20"/>
              </w:rPr>
            </w:pPr>
          </w:p>
        </w:tc>
      </w:tr>
      <w:tr w:rsidR="00B70DA7" w:rsidRPr="00B70DA7" w:rsidTr="009C1C00">
        <w:trPr>
          <w:trHeight w:val="980"/>
          <w:jc w:val="center"/>
        </w:trPr>
        <w:tc>
          <w:tcPr>
            <w:tcW w:w="1806" w:type="pct"/>
            <w:vMerge/>
            <w:shd w:val="clear" w:color="auto" w:fill="auto"/>
            <w:tcMar>
              <w:top w:w="90" w:type="dxa"/>
              <w:left w:w="90" w:type="dxa"/>
              <w:bottom w:w="90" w:type="dxa"/>
              <w:right w:w="90" w:type="dxa"/>
            </w:tcMar>
          </w:tcPr>
          <w:p w:rsidR="00B70DA7" w:rsidRPr="00DC6E5A" w:rsidRDefault="00B70DA7" w:rsidP="00B70DA7">
            <w:pPr>
              <w:numPr>
                <w:ilvl w:val="0"/>
                <w:numId w:val="3"/>
              </w:numPr>
              <w:spacing w:after="200" w:line="276" w:lineRule="auto"/>
              <w:rPr>
                <w:rFonts w:eastAsia="Calibri"/>
                <w:sz w:val="20"/>
                <w:szCs w:val="20"/>
              </w:rPr>
            </w:pPr>
          </w:p>
        </w:tc>
        <w:tc>
          <w:tcPr>
            <w:tcW w:w="651" w:type="pct"/>
            <w:shd w:val="clear" w:color="auto" w:fill="auto"/>
            <w:tcMar>
              <w:top w:w="90" w:type="dxa"/>
              <w:left w:w="90" w:type="dxa"/>
              <w:bottom w:w="90" w:type="dxa"/>
              <w:right w:w="90" w:type="dxa"/>
            </w:tcMar>
            <w:vAlign w:val="center"/>
          </w:tcPr>
          <w:p w:rsidR="00B70DA7" w:rsidRPr="00DC6E5A" w:rsidRDefault="00B70DA7" w:rsidP="000C35C0">
            <w:pPr>
              <w:spacing w:after="200" w:line="276" w:lineRule="auto"/>
              <w:jc w:val="center"/>
              <w:rPr>
                <w:rFonts w:eastAsia="Calibri"/>
                <w:sz w:val="20"/>
                <w:szCs w:val="20"/>
              </w:rPr>
            </w:pPr>
            <w:r w:rsidRPr="00DC6E5A">
              <w:rPr>
                <w:rFonts w:eastAsia="Calibri"/>
                <w:sz w:val="20"/>
                <w:szCs w:val="20"/>
              </w:rPr>
              <w:t>State</w:t>
            </w:r>
          </w:p>
        </w:tc>
        <w:tc>
          <w:tcPr>
            <w:tcW w:w="550" w:type="pct"/>
            <w:shd w:val="clear" w:color="auto" w:fill="auto"/>
            <w:vAlign w:val="center"/>
          </w:tcPr>
          <w:p w:rsidR="00B70DA7" w:rsidRPr="00DC6E5A" w:rsidRDefault="00B70DA7" w:rsidP="009C1C00">
            <w:pPr>
              <w:spacing w:after="200" w:line="276" w:lineRule="auto"/>
              <w:jc w:val="center"/>
              <w:rPr>
                <w:rFonts w:eastAsia="Calibri"/>
                <w:sz w:val="20"/>
                <w:szCs w:val="20"/>
              </w:rPr>
            </w:pPr>
          </w:p>
        </w:tc>
        <w:tc>
          <w:tcPr>
            <w:tcW w:w="1384" w:type="pct"/>
            <w:vMerge/>
            <w:shd w:val="clear" w:color="auto" w:fill="auto"/>
            <w:tcMar>
              <w:top w:w="90" w:type="dxa"/>
              <w:left w:w="90" w:type="dxa"/>
              <w:bottom w:w="90" w:type="dxa"/>
              <w:right w:w="90" w:type="dxa"/>
            </w:tcMar>
          </w:tcPr>
          <w:p w:rsidR="00B70DA7" w:rsidRPr="00DC6E5A" w:rsidRDefault="00B70DA7" w:rsidP="00B70DA7">
            <w:pPr>
              <w:numPr>
                <w:ilvl w:val="0"/>
                <w:numId w:val="3"/>
              </w:numPr>
              <w:spacing w:after="200" w:line="276" w:lineRule="auto"/>
              <w:rPr>
                <w:rFonts w:eastAsia="Calibri"/>
                <w:sz w:val="20"/>
                <w:szCs w:val="20"/>
              </w:rPr>
            </w:pPr>
          </w:p>
        </w:tc>
        <w:tc>
          <w:tcPr>
            <w:tcW w:w="609" w:type="pct"/>
            <w:vMerge/>
            <w:shd w:val="clear" w:color="auto" w:fill="auto"/>
            <w:tcMar>
              <w:top w:w="90" w:type="dxa"/>
              <w:left w:w="90" w:type="dxa"/>
              <w:bottom w:w="90" w:type="dxa"/>
              <w:right w:w="90" w:type="dxa"/>
            </w:tcMar>
          </w:tcPr>
          <w:p w:rsidR="00B70DA7" w:rsidRPr="00DC6E5A" w:rsidRDefault="00B70DA7" w:rsidP="00B70DA7">
            <w:pPr>
              <w:spacing w:after="200" w:line="276" w:lineRule="auto"/>
              <w:rPr>
                <w:rFonts w:eastAsia="Calibri"/>
                <w:sz w:val="20"/>
                <w:szCs w:val="20"/>
              </w:rPr>
            </w:pPr>
          </w:p>
        </w:tc>
      </w:tr>
      <w:tr w:rsidR="00B70DA7" w:rsidRPr="00B70DA7" w:rsidTr="009C1C00">
        <w:trPr>
          <w:trHeight w:val="890"/>
          <w:jc w:val="center"/>
        </w:trPr>
        <w:tc>
          <w:tcPr>
            <w:tcW w:w="1806" w:type="pct"/>
            <w:vMerge/>
            <w:shd w:val="clear" w:color="auto" w:fill="auto"/>
            <w:tcMar>
              <w:top w:w="90" w:type="dxa"/>
              <w:left w:w="90" w:type="dxa"/>
              <w:bottom w:w="90" w:type="dxa"/>
              <w:right w:w="90" w:type="dxa"/>
            </w:tcMar>
          </w:tcPr>
          <w:p w:rsidR="00B70DA7" w:rsidRPr="00DC6E5A" w:rsidRDefault="00B70DA7" w:rsidP="00B70DA7">
            <w:pPr>
              <w:numPr>
                <w:ilvl w:val="0"/>
                <w:numId w:val="3"/>
              </w:numPr>
              <w:spacing w:after="200" w:line="276" w:lineRule="auto"/>
              <w:rPr>
                <w:rFonts w:eastAsia="Calibri"/>
                <w:sz w:val="20"/>
                <w:szCs w:val="20"/>
              </w:rPr>
            </w:pPr>
          </w:p>
        </w:tc>
        <w:tc>
          <w:tcPr>
            <w:tcW w:w="651" w:type="pct"/>
            <w:shd w:val="clear" w:color="auto" w:fill="auto"/>
            <w:tcMar>
              <w:top w:w="90" w:type="dxa"/>
              <w:left w:w="90" w:type="dxa"/>
              <w:bottom w:w="90" w:type="dxa"/>
              <w:right w:w="90" w:type="dxa"/>
            </w:tcMar>
            <w:vAlign w:val="center"/>
          </w:tcPr>
          <w:p w:rsidR="00B70DA7" w:rsidRPr="00DC6E5A" w:rsidRDefault="00B70DA7" w:rsidP="000C35C0">
            <w:pPr>
              <w:spacing w:after="200" w:line="276" w:lineRule="auto"/>
              <w:jc w:val="center"/>
              <w:rPr>
                <w:rFonts w:eastAsia="Calibri"/>
                <w:sz w:val="20"/>
                <w:szCs w:val="20"/>
              </w:rPr>
            </w:pPr>
            <w:r w:rsidRPr="00DC6E5A">
              <w:rPr>
                <w:rFonts w:eastAsia="Calibri"/>
                <w:sz w:val="20"/>
                <w:szCs w:val="20"/>
              </w:rPr>
              <w:t>Voter</w:t>
            </w:r>
          </w:p>
        </w:tc>
        <w:tc>
          <w:tcPr>
            <w:tcW w:w="550" w:type="pct"/>
            <w:shd w:val="clear" w:color="auto" w:fill="auto"/>
            <w:vAlign w:val="center"/>
          </w:tcPr>
          <w:p w:rsidR="00B70DA7" w:rsidRPr="00DC6E5A" w:rsidRDefault="00B70DA7" w:rsidP="009C1C00">
            <w:pPr>
              <w:spacing w:after="200" w:line="276" w:lineRule="auto"/>
              <w:jc w:val="center"/>
              <w:rPr>
                <w:rFonts w:eastAsia="Calibri"/>
                <w:sz w:val="20"/>
                <w:szCs w:val="20"/>
              </w:rPr>
            </w:pPr>
          </w:p>
        </w:tc>
        <w:tc>
          <w:tcPr>
            <w:tcW w:w="1384" w:type="pct"/>
            <w:vMerge/>
            <w:shd w:val="clear" w:color="auto" w:fill="auto"/>
            <w:tcMar>
              <w:top w:w="90" w:type="dxa"/>
              <w:left w:w="90" w:type="dxa"/>
              <w:bottom w:w="90" w:type="dxa"/>
              <w:right w:w="90" w:type="dxa"/>
            </w:tcMar>
          </w:tcPr>
          <w:p w:rsidR="00B70DA7" w:rsidRPr="00DC6E5A" w:rsidRDefault="00B70DA7" w:rsidP="00B70DA7">
            <w:pPr>
              <w:numPr>
                <w:ilvl w:val="0"/>
                <w:numId w:val="3"/>
              </w:numPr>
              <w:spacing w:after="200" w:line="276" w:lineRule="auto"/>
              <w:rPr>
                <w:rFonts w:eastAsia="Calibri"/>
                <w:sz w:val="20"/>
                <w:szCs w:val="20"/>
              </w:rPr>
            </w:pPr>
          </w:p>
        </w:tc>
        <w:tc>
          <w:tcPr>
            <w:tcW w:w="609" w:type="pct"/>
            <w:vMerge/>
            <w:shd w:val="clear" w:color="auto" w:fill="auto"/>
            <w:tcMar>
              <w:top w:w="90" w:type="dxa"/>
              <w:left w:w="90" w:type="dxa"/>
              <w:bottom w:w="90" w:type="dxa"/>
              <w:right w:w="90" w:type="dxa"/>
            </w:tcMar>
          </w:tcPr>
          <w:p w:rsidR="00B70DA7" w:rsidRPr="00DC6E5A" w:rsidRDefault="00B70DA7" w:rsidP="00B70DA7">
            <w:pPr>
              <w:spacing w:after="200" w:line="276" w:lineRule="auto"/>
              <w:rPr>
                <w:rFonts w:eastAsia="Calibri"/>
                <w:sz w:val="20"/>
                <w:szCs w:val="20"/>
              </w:rPr>
            </w:pPr>
          </w:p>
        </w:tc>
      </w:tr>
      <w:tr w:rsidR="00B70DA7" w:rsidRPr="00B70DA7" w:rsidTr="00B70DA7">
        <w:trPr>
          <w:trHeight w:val="475"/>
          <w:jc w:val="center"/>
        </w:trPr>
        <w:tc>
          <w:tcPr>
            <w:tcW w:w="5000" w:type="pct"/>
            <w:gridSpan w:val="5"/>
            <w:shd w:val="clear" w:color="F37174" w:fill="FBD4B4" w:themeFill="accent6" w:themeFillTint="66"/>
            <w:tcMar>
              <w:top w:w="0" w:type="dxa"/>
              <w:left w:w="0" w:type="dxa"/>
              <w:bottom w:w="0" w:type="dxa"/>
              <w:right w:w="0" w:type="dxa"/>
            </w:tcMar>
            <w:vAlign w:val="center"/>
          </w:tcPr>
          <w:p w:rsidR="00B70DA7" w:rsidRPr="00DC6E5A" w:rsidRDefault="00B70DA7" w:rsidP="007D6AE0">
            <w:pPr>
              <w:spacing w:after="200" w:line="276" w:lineRule="auto"/>
              <w:rPr>
                <w:rFonts w:eastAsia="Calibri"/>
                <w:b/>
                <w:bCs/>
                <w:sz w:val="20"/>
                <w:szCs w:val="20"/>
              </w:rPr>
            </w:pPr>
            <w:r w:rsidRPr="00DC6E5A">
              <w:rPr>
                <w:rFonts w:eastAsia="Calibri"/>
                <w:b/>
                <w:bCs/>
                <w:sz w:val="20"/>
                <w:szCs w:val="20"/>
              </w:rPr>
              <w:t xml:space="preserve"> Action Step #</w:t>
            </w:r>
            <w:r w:rsidR="007D6AE0">
              <w:rPr>
                <w:rFonts w:eastAsia="Calibri"/>
                <w:b/>
                <w:bCs/>
                <w:sz w:val="20"/>
                <w:szCs w:val="20"/>
              </w:rPr>
              <w:t>6:  Increase Business License Tax and Direct Funding to Affordable Housing Development</w:t>
            </w:r>
            <w:r w:rsidRPr="00DC6E5A">
              <w:rPr>
                <w:rFonts w:eastAsia="Calibri"/>
                <w:b/>
                <w:bCs/>
                <w:sz w:val="20"/>
                <w:szCs w:val="20"/>
              </w:rPr>
              <w:t xml:space="preserve"> </w:t>
            </w:r>
          </w:p>
        </w:tc>
      </w:tr>
      <w:tr w:rsidR="00B70DA7" w:rsidRPr="00B70DA7" w:rsidTr="009C1C00">
        <w:trPr>
          <w:trHeight w:val="503"/>
          <w:jc w:val="center"/>
        </w:trPr>
        <w:tc>
          <w:tcPr>
            <w:tcW w:w="1806" w:type="pct"/>
            <w:shd w:val="clear" w:color="F37174" w:fill="FBD4B4" w:themeFill="accent6" w:themeFillTint="66"/>
            <w:tcMar>
              <w:top w:w="0" w:type="dxa"/>
              <w:left w:w="0" w:type="dxa"/>
              <w:bottom w:w="0" w:type="dxa"/>
              <w:right w:w="0" w:type="dxa"/>
            </w:tcMar>
            <w:vAlign w:val="center"/>
          </w:tcPr>
          <w:p w:rsidR="00B70DA7" w:rsidRPr="00DC6E5A" w:rsidRDefault="00B70DA7" w:rsidP="00B70DA7">
            <w:pPr>
              <w:spacing w:after="200" w:line="276" w:lineRule="auto"/>
              <w:rPr>
                <w:rFonts w:eastAsia="Calibri"/>
                <w:b/>
                <w:bCs/>
                <w:sz w:val="20"/>
                <w:szCs w:val="20"/>
              </w:rPr>
            </w:pPr>
            <w:r w:rsidRPr="00DC6E5A">
              <w:rPr>
                <w:rFonts w:eastAsia="Calibri"/>
                <w:b/>
                <w:bCs/>
                <w:sz w:val="20"/>
                <w:szCs w:val="20"/>
              </w:rPr>
              <w:t>Tasks</w:t>
            </w:r>
          </w:p>
        </w:tc>
        <w:tc>
          <w:tcPr>
            <w:tcW w:w="1201" w:type="pct"/>
            <w:gridSpan w:val="2"/>
            <w:shd w:val="clear" w:color="F37174" w:fill="FBD4B4" w:themeFill="accent6" w:themeFillTint="66"/>
            <w:tcMar>
              <w:top w:w="0" w:type="dxa"/>
              <w:left w:w="0" w:type="dxa"/>
              <w:bottom w:w="0" w:type="dxa"/>
              <w:right w:w="0" w:type="dxa"/>
            </w:tcMar>
            <w:vAlign w:val="center"/>
          </w:tcPr>
          <w:p w:rsidR="00B70DA7" w:rsidRPr="00DC6E5A" w:rsidRDefault="00B70DA7" w:rsidP="00B70DA7">
            <w:pPr>
              <w:spacing w:after="200" w:line="276" w:lineRule="auto"/>
              <w:rPr>
                <w:rFonts w:eastAsia="Calibri"/>
                <w:b/>
                <w:bCs/>
                <w:sz w:val="20"/>
                <w:szCs w:val="20"/>
              </w:rPr>
            </w:pPr>
            <w:r w:rsidRPr="00DC6E5A">
              <w:rPr>
                <w:rFonts w:eastAsia="Calibri"/>
                <w:b/>
                <w:bCs/>
                <w:sz w:val="20"/>
                <w:szCs w:val="20"/>
              </w:rPr>
              <w:t>Required Approvals</w:t>
            </w:r>
          </w:p>
        </w:tc>
        <w:tc>
          <w:tcPr>
            <w:tcW w:w="1384" w:type="pct"/>
            <w:shd w:val="clear" w:color="F37174" w:fill="FBD4B4" w:themeFill="accent6" w:themeFillTint="66"/>
            <w:tcMar>
              <w:top w:w="0" w:type="dxa"/>
              <w:left w:w="0" w:type="dxa"/>
              <w:bottom w:w="0" w:type="dxa"/>
              <w:right w:w="0" w:type="dxa"/>
            </w:tcMar>
            <w:vAlign w:val="center"/>
          </w:tcPr>
          <w:p w:rsidR="00B70DA7" w:rsidRPr="00DC6E5A" w:rsidRDefault="00B70DA7" w:rsidP="00B70DA7">
            <w:pPr>
              <w:spacing w:after="200" w:line="276" w:lineRule="auto"/>
              <w:rPr>
                <w:rFonts w:eastAsia="Calibri"/>
                <w:b/>
                <w:bCs/>
                <w:sz w:val="20"/>
                <w:szCs w:val="20"/>
              </w:rPr>
            </w:pPr>
            <w:r w:rsidRPr="00DC6E5A">
              <w:rPr>
                <w:rFonts w:eastAsia="Calibri"/>
                <w:b/>
                <w:bCs/>
                <w:sz w:val="20"/>
                <w:szCs w:val="20"/>
              </w:rPr>
              <w:t>Measurable Outcome(s)</w:t>
            </w:r>
          </w:p>
        </w:tc>
        <w:tc>
          <w:tcPr>
            <w:tcW w:w="609" w:type="pct"/>
            <w:shd w:val="clear" w:color="F37174" w:fill="FBD4B4" w:themeFill="accent6" w:themeFillTint="66"/>
            <w:tcMar>
              <w:top w:w="0" w:type="dxa"/>
              <w:left w:w="0" w:type="dxa"/>
              <w:bottom w:w="0" w:type="dxa"/>
              <w:right w:w="0" w:type="dxa"/>
            </w:tcMar>
            <w:vAlign w:val="center"/>
          </w:tcPr>
          <w:p w:rsidR="00B70DA7" w:rsidRPr="00DC6E5A" w:rsidRDefault="00B70DA7" w:rsidP="00B70DA7">
            <w:pPr>
              <w:spacing w:after="200" w:line="276" w:lineRule="auto"/>
              <w:rPr>
                <w:rFonts w:eastAsia="Calibri"/>
                <w:b/>
                <w:bCs/>
                <w:sz w:val="20"/>
                <w:szCs w:val="20"/>
              </w:rPr>
            </w:pPr>
            <w:r w:rsidRPr="00DC6E5A">
              <w:rPr>
                <w:rFonts w:eastAsia="Calibri"/>
                <w:b/>
                <w:bCs/>
                <w:sz w:val="20"/>
                <w:szCs w:val="20"/>
              </w:rPr>
              <w:t>Target Completion Date(s)</w:t>
            </w:r>
          </w:p>
        </w:tc>
      </w:tr>
      <w:tr w:rsidR="00B70DA7" w:rsidRPr="00B70DA7" w:rsidTr="00B70DA7">
        <w:trPr>
          <w:trHeight w:val="620"/>
          <w:jc w:val="center"/>
        </w:trPr>
        <w:tc>
          <w:tcPr>
            <w:tcW w:w="1806" w:type="pct"/>
            <w:vMerge w:val="restart"/>
            <w:shd w:val="clear" w:color="auto" w:fill="auto"/>
            <w:tcMar>
              <w:top w:w="90" w:type="dxa"/>
              <w:left w:w="90" w:type="dxa"/>
              <w:bottom w:w="90" w:type="dxa"/>
              <w:right w:w="90" w:type="dxa"/>
            </w:tcMar>
          </w:tcPr>
          <w:p w:rsidR="00B70DA7" w:rsidRDefault="007D6AE0" w:rsidP="007D6AE0">
            <w:pPr>
              <w:numPr>
                <w:ilvl w:val="0"/>
                <w:numId w:val="2"/>
              </w:numPr>
              <w:spacing w:after="200" w:line="276" w:lineRule="auto"/>
              <w:rPr>
                <w:rFonts w:eastAsia="Calibri"/>
                <w:sz w:val="20"/>
                <w:szCs w:val="20"/>
              </w:rPr>
            </w:pPr>
            <w:r>
              <w:rPr>
                <w:rFonts w:eastAsia="Calibri"/>
                <w:sz w:val="20"/>
                <w:szCs w:val="20"/>
              </w:rPr>
              <w:t>To place a measure on a ballot to increase business license tax</w:t>
            </w:r>
            <w:r w:rsidR="00B70DA7" w:rsidRPr="00DC6E5A">
              <w:rPr>
                <w:rFonts w:eastAsia="Calibri"/>
                <w:sz w:val="20"/>
                <w:szCs w:val="20"/>
              </w:rPr>
              <w:t>.</w:t>
            </w:r>
          </w:p>
          <w:p w:rsidR="007D6AE0" w:rsidRPr="007D6AE0" w:rsidRDefault="007D6AE0" w:rsidP="007D6AE0">
            <w:pPr>
              <w:numPr>
                <w:ilvl w:val="0"/>
                <w:numId w:val="2"/>
              </w:numPr>
              <w:spacing w:after="200" w:line="276" w:lineRule="auto"/>
              <w:rPr>
                <w:rFonts w:eastAsia="Calibri"/>
                <w:sz w:val="20"/>
                <w:szCs w:val="20"/>
              </w:rPr>
            </w:pPr>
            <w:r>
              <w:rPr>
                <w:rFonts w:eastAsia="Calibri"/>
                <w:sz w:val="20"/>
                <w:szCs w:val="20"/>
              </w:rPr>
              <w:t xml:space="preserve">County approval to </w:t>
            </w:r>
            <w:r w:rsidR="009C1C00">
              <w:rPr>
                <w:rFonts w:eastAsia="Calibri"/>
                <w:sz w:val="20"/>
                <w:szCs w:val="20"/>
              </w:rPr>
              <w:t xml:space="preserve">allocate this new </w:t>
            </w:r>
            <w:r>
              <w:rPr>
                <w:rFonts w:eastAsia="Calibri"/>
                <w:sz w:val="20"/>
                <w:szCs w:val="20"/>
              </w:rPr>
              <w:t>tax revenue for affordable housing.</w:t>
            </w:r>
          </w:p>
        </w:tc>
        <w:tc>
          <w:tcPr>
            <w:tcW w:w="651" w:type="pct"/>
            <w:shd w:val="clear" w:color="auto" w:fill="auto"/>
            <w:tcMar>
              <w:top w:w="90" w:type="dxa"/>
              <w:left w:w="90" w:type="dxa"/>
              <w:bottom w:w="90" w:type="dxa"/>
              <w:right w:w="90" w:type="dxa"/>
            </w:tcMar>
            <w:vAlign w:val="center"/>
          </w:tcPr>
          <w:p w:rsidR="00B70DA7" w:rsidRPr="00DC6E5A" w:rsidRDefault="00B70DA7" w:rsidP="000C35C0">
            <w:pPr>
              <w:spacing w:after="200" w:line="276" w:lineRule="auto"/>
              <w:jc w:val="center"/>
              <w:rPr>
                <w:rFonts w:eastAsia="Calibri"/>
                <w:sz w:val="20"/>
                <w:szCs w:val="20"/>
              </w:rPr>
            </w:pPr>
            <w:r w:rsidRPr="00DC6E5A">
              <w:rPr>
                <w:rFonts w:eastAsia="Calibri"/>
                <w:sz w:val="20"/>
                <w:szCs w:val="20"/>
              </w:rPr>
              <w:t>Local</w:t>
            </w:r>
          </w:p>
        </w:tc>
        <w:tc>
          <w:tcPr>
            <w:tcW w:w="550" w:type="pct"/>
            <w:shd w:val="clear" w:color="auto" w:fill="auto"/>
            <w:vAlign w:val="center"/>
          </w:tcPr>
          <w:p w:rsidR="00B70DA7" w:rsidRPr="00DC6E5A" w:rsidRDefault="00B70DA7" w:rsidP="009C1C00">
            <w:pPr>
              <w:spacing w:after="200" w:line="276" w:lineRule="auto"/>
              <w:jc w:val="center"/>
              <w:rPr>
                <w:rFonts w:eastAsia="Calibri"/>
                <w:sz w:val="20"/>
                <w:szCs w:val="20"/>
              </w:rPr>
            </w:pPr>
            <w:r w:rsidRPr="00DC6E5A">
              <w:rPr>
                <w:rFonts w:eastAsia="Calibri"/>
                <w:sz w:val="20"/>
                <w:szCs w:val="20"/>
              </w:rPr>
              <w:t>X</w:t>
            </w:r>
          </w:p>
        </w:tc>
        <w:tc>
          <w:tcPr>
            <w:tcW w:w="1384" w:type="pct"/>
            <w:vMerge w:val="restart"/>
            <w:shd w:val="clear" w:color="auto" w:fill="auto"/>
            <w:tcMar>
              <w:top w:w="90" w:type="dxa"/>
              <w:left w:w="90" w:type="dxa"/>
              <w:bottom w:w="90" w:type="dxa"/>
              <w:right w:w="90" w:type="dxa"/>
            </w:tcMar>
          </w:tcPr>
          <w:p w:rsidR="00B70DA7" w:rsidRPr="00DC6E5A" w:rsidRDefault="009C1C00" w:rsidP="00B70DA7">
            <w:pPr>
              <w:numPr>
                <w:ilvl w:val="0"/>
                <w:numId w:val="2"/>
              </w:numPr>
              <w:spacing w:after="200" w:line="276" w:lineRule="auto"/>
              <w:rPr>
                <w:rFonts w:eastAsia="Calibri"/>
                <w:sz w:val="20"/>
                <w:szCs w:val="20"/>
              </w:rPr>
            </w:pPr>
            <w:r>
              <w:rPr>
                <w:rFonts w:eastAsia="Calibri"/>
                <w:sz w:val="20"/>
                <w:szCs w:val="20"/>
              </w:rPr>
              <w:t>Voter approval of new increased business license tax.</w:t>
            </w:r>
          </w:p>
          <w:p w:rsidR="00B70DA7" w:rsidRPr="009C1C00" w:rsidRDefault="009C1C00" w:rsidP="009C1C00">
            <w:pPr>
              <w:numPr>
                <w:ilvl w:val="0"/>
                <w:numId w:val="3"/>
              </w:numPr>
              <w:spacing w:after="200" w:line="276" w:lineRule="auto"/>
              <w:rPr>
                <w:rFonts w:eastAsia="Calibri"/>
                <w:i/>
                <w:sz w:val="20"/>
                <w:szCs w:val="20"/>
              </w:rPr>
            </w:pPr>
            <w:r>
              <w:rPr>
                <w:rFonts w:eastAsia="Calibri"/>
                <w:sz w:val="20"/>
                <w:szCs w:val="20"/>
              </w:rPr>
              <w:t>Increased business license revenue which creates a link between employers and housing.</w:t>
            </w:r>
          </w:p>
        </w:tc>
        <w:tc>
          <w:tcPr>
            <w:tcW w:w="609" w:type="pct"/>
            <w:vMerge w:val="restart"/>
            <w:shd w:val="clear" w:color="auto" w:fill="auto"/>
            <w:tcMar>
              <w:top w:w="90" w:type="dxa"/>
              <w:left w:w="90" w:type="dxa"/>
              <w:bottom w:w="90" w:type="dxa"/>
              <w:right w:w="90" w:type="dxa"/>
            </w:tcMar>
          </w:tcPr>
          <w:p w:rsidR="00B70DA7" w:rsidRPr="00DC6E5A" w:rsidRDefault="00B70DA7" w:rsidP="00B70DA7">
            <w:pPr>
              <w:spacing w:after="200" w:line="276" w:lineRule="auto"/>
              <w:rPr>
                <w:rFonts w:eastAsia="Calibri"/>
                <w:sz w:val="20"/>
                <w:szCs w:val="20"/>
              </w:rPr>
            </w:pPr>
          </w:p>
        </w:tc>
      </w:tr>
      <w:tr w:rsidR="00B70DA7" w:rsidRPr="00B70DA7" w:rsidTr="00B70DA7">
        <w:trPr>
          <w:trHeight w:val="620"/>
          <w:jc w:val="center"/>
        </w:trPr>
        <w:tc>
          <w:tcPr>
            <w:tcW w:w="1806" w:type="pct"/>
            <w:vMerge/>
            <w:shd w:val="clear" w:color="auto" w:fill="auto"/>
            <w:tcMar>
              <w:top w:w="90" w:type="dxa"/>
              <w:left w:w="90" w:type="dxa"/>
              <w:bottom w:w="90" w:type="dxa"/>
              <w:right w:w="90" w:type="dxa"/>
            </w:tcMar>
          </w:tcPr>
          <w:p w:rsidR="00B70DA7" w:rsidRPr="00DC6E5A" w:rsidRDefault="00B70DA7" w:rsidP="00B70DA7">
            <w:pPr>
              <w:numPr>
                <w:ilvl w:val="0"/>
                <w:numId w:val="2"/>
              </w:numPr>
              <w:spacing w:after="200" w:line="276" w:lineRule="auto"/>
              <w:rPr>
                <w:rFonts w:eastAsia="Calibri"/>
                <w:sz w:val="20"/>
                <w:szCs w:val="20"/>
              </w:rPr>
            </w:pPr>
          </w:p>
        </w:tc>
        <w:tc>
          <w:tcPr>
            <w:tcW w:w="651" w:type="pct"/>
            <w:shd w:val="clear" w:color="auto" w:fill="auto"/>
            <w:tcMar>
              <w:top w:w="90" w:type="dxa"/>
              <w:left w:w="90" w:type="dxa"/>
              <w:bottom w:w="90" w:type="dxa"/>
              <w:right w:w="90" w:type="dxa"/>
            </w:tcMar>
            <w:vAlign w:val="center"/>
          </w:tcPr>
          <w:p w:rsidR="00B70DA7" w:rsidRPr="00DC6E5A" w:rsidRDefault="00B70DA7" w:rsidP="000C35C0">
            <w:pPr>
              <w:spacing w:after="200" w:line="276" w:lineRule="auto"/>
              <w:jc w:val="center"/>
              <w:rPr>
                <w:rFonts w:eastAsia="Calibri"/>
                <w:sz w:val="20"/>
                <w:szCs w:val="20"/>
              </w:rPr>
            </w:pPr>
            <w:r w:rsidRPr="00DC6E5A">
              <w:rPr>
                <w:rFonts w:eastAsia="Calibri"/>
                <w:sz w:val="20"/>
                <w:szCs w:val="20"/>
              </w:rPr>
              <w:t>State</w:t>
            </w:r>
          </w:p>
        </w:tc>
        <w:tc>
          <w:tcPr>
            <w:tcW w:w="550" w:type="pct"/>
            <w:shd w:val="clear" w:color="auto" w:fill="auto"/>
            <w:vAlign w:val="center"/>
          </w:tcPr>
          <w:p w:rsidR="00B70DA7" w:rsidRPr="00DC6E5A" w:rsidRDefault="00B70DA7" w:rsidP="009C1C00">
            <w:pPr>
              <w:spacing w:after="200" w:line="276" w:lineRule="auto"/>
              <w:jc w:val="center"/>
              <w:rPr>
                <w:rFonts w:eastAsia="Calibri"/>
                <w:sz w:val="20"/>
                <w:szCs w:val="20"/>
              </w:rPr>
            </w:pPr>
          </w:p>
        </w:tc>
        <w:tc>
          <w:tcPr>
            <w:tcW w:w="1384" w:type="pct"/>
            <w:vMerge/>
            <w:shd w:val="clear" w:color="auto" w:fill="auto"/>
            <w:tcMar>
              <w:top w:w="90" w:type="dxa"/>
              <w:left w:w="90" w:type="dxa"/>
              <w:bottom w:w="90" w:type="dxa"/>
              <w:right w:w="90" w:type="dxa"/>
            </w:tcMar>
          </w:tcPr>
          <w:p w:rsidR="00B70DA7" w:rsidRPr="00DC6E5A" w:rsidRDefault="00B70DA7" w:rsidP="00B70DA7">
            <w:pPr>
              <w:numPr>
                <w:ilvl w:val="0"/>
                <w:numId w:val="2"/>
              </w:numPr>
              <w:spacing w:after="200" w:line="276" w:lineRule="auto"/>
              <w:rPr>
                <w:rFonts w:eastAsia="Calibri"/>
                <w:sz w:val="20"/>
                <w:szCs w:val="20"/>
              </w:rPr>
            </w:pPr>
          </w:p>
        </w:tc>
        <w:tc>
          <w:tcPr>
            <w:tcW w:w="609" w:type="pct"/>
            <w:vMerge/>
            <w:shd w:val="clear" w:color="auto" w:fill="auto"/>
            <w:tcMar>
              <w:top w:w="90" w:type="dxa"/>
              <w:left w:w="90" w:type="dxa"/>
              <w:bottom w:w="90" w:type="dxa"/>
              <w:right w:w="90" w:type="dxa"/>
            </w:tcMar>
          </w:tcPr>
          <w:p w:rsidR="00B70DA7" w:rsidRPr="00DC6E5A" w:rsidRDefault="00B70DA7" w:rsidP="00B70DA7">
            <w:pPr>
              <w:spacing w:after="200" w:line="276" w:lineRule="auto"/>
              <w:rPr>
                <w:rFonts w:eastAsia="Calibri"/>
                <w:sz w:val="20"/>
                <w:szCs w:val="20"/>
              </w:rPr>
            </w:pPr>
          </w:p>
        </w:tc>
      </w:tr>
      <w:tr w:rsidR="00B70DA7" w:rsidRPr="00B70DA7" w:rsidTr="00B70DA7">
        <w:trPr>
          <w:trHeight w:val="629"/>
          <w:jc w:val="center"/>
        </w:trPr>
        <w:tc>
          <w:tcPr>
            <w:tcW w:w="1806" w:type="pct"/>
            <w:vMerge/>
            <w:shd w:val="clear" w:color="auto" w:fill="auto"/>
            <w:tcMar>
              <w:top w:w="90" w:type="dxa"/>
              <w:left w:w="90" w:type="dxa"/>
              <w:bottom w:w="90" w:type="dxa"/>
              <w:right w:w="90" w:type="dxa"/>
            </w:tcMar>
          </w:tcPr>
          <w:p w:rsidR="00B70DA7" w:rsidRPr="00DC6E5A" w:rsidRDefault="00B70DA7" w:rsidP="00B70DA7">
            <w:pPr>
              <w:numPr>
                <w:ilvl w:val="0"/>
                <w:numId w:val="2"/>
              </w:numPr>
              <w:spacing w:after="200" w:line="276" w:lineRule="auto"/>
              <w:rPr>
                <w:rFonts w:eastAsia="Calibri"/>
                <w:sz w:val="20"/>
                <w:szCs w:val="20"/>
              </w:rPr>
            </w:pPr>
          </w:p>
        </w:tc>
        <w:tc>
          <w:tcPr>
            <w:tcW w:w="651" w:type="pct"/>
            <w:shd w:val="clear" w:color="auto" w:fill="auto"/>
            <w:tcMar>
              <w:top w:w="90" w:type="dxa"/>
              <w:left w:w="90" w:type="dxa"/>
              <w:bottom w:w="90" w:type="dxa"/>
              <w:right w:w="90" w:type="dxa"/>
            </w:tcMar>
            <w:vAlign w:val="center"/>
          </w:tcPr>
          <w:p w:rsidR="00B70DA7" w:rsidRPr="00DC6E5A" w:rsidRDefault="00B70DA7" w:rsidP="000C35C0">
            <w:pPr>
              <w:spacing w:after="200" w:line="276" w:lineRule="auto"/>
              <w:jc w:val="center"/>
              <w:rPr>
                <w:rFonts w:eastAsia="Calibri"/>
                <w:sz w:val="20"/>
                <w:szCs w:val="20"/>
              </w:rPr>
            </w:pPr>
            <w:r w:rsidRPr="00DC6E5A">
              <w:rPr>
                <w:rFonts w:eastAsia="Calibri"/>
                <w:sz w:val="20"/>
                <w:szCs w:val="20"/>
              </w:rPr>
              <w:t>Voter</w:t>
            </w:r>
          </w:p>
        </w:tc>
        <w:tc>
          <w:tcPr>
            <w:tcW w:w="550" w:type="pct"/>
            <w:shd w:val="clear" w:color="auto" w:fill="auto"/>
            <w:vAlign w:val="center"/>
          </w:tcPr>
          <w:p w:rsidR="00B70DA7" w:rsidRPr="00DC6E5A" w:rsidRDefault="007D6AE0" w:rsidP="009C1C00">
            <w:pPr>
              <w:spacing w:after="200" w:line="276" w:lineRule="auto"/>
              <w:jc w:val="center"/>
              <w:rPr>
                <w:rFonts w:eastAsia="Calibri"/>
                <w:sz w:val="20"/>
                <w:szCs w:val="20"/>
              </w:rPr>
            </w:pPr>
            <w:r>
              <w:rPr>
                <w:rFonts w:eastAsia="Calibri"/>
                <w:sz w:val="20"/>
                <w:szCs w:val="20"/>
              </w:rPr>
              <w:t>X</w:t>
            </w:r>
          </w:p>
        </w:tc>
        <w:tc>
          <w:tcPr>
            <w:tcW w:w="1384" w:type="pct"/>
            <w:vMerge/>
            <w:shd w:val="clear" w:color="auto" w:fill="auto"/>
            <w:tcMar>
              <w:top w:w="90" w:type="dxa"/>
              <w:left w:w="90" w:type="dxa"/>
              <w:bottom w:w="90" w:type="dxa"/>
              <w:right w:w="90" w:type="dxa"/>
            </w:tcMar>
          </w:tcPr>
          <w:p w:rsidR="00B70DA7" w:rsidRPr="00DC6E5A" w:rsidRDefault="00B70DA7" w:rsidP="00B70DA7">
            <w:pPr>
              <w:numPr>
                <w:ilvl w:val="0"/>
                <w:numId w:val="2"/>
              </w:numPr>
              <w:spacing w:after="200" w:line="276" w:lineRule="auto"/>
              <w:rPr>
                <w:rFonts w:eastAsia="Calibri"/>
                <w:sz w:val="20"/>
                <w:szCs w:val="20"/>
              </w:rPr>
            </w:pPr>
          </w:p>
        </w:tc>
        <w:tc>
          <w:tcPr>
            <w:tcW w:w="609" w:type="pct"/>
            <w:vMerge/>
            <w:shd w:val="clear" w:color="auto" w:fill="auto"/>
            <w:tcMar>
              <w:top w:w="90" w:type="dxa"/>
              <w:left w:w="90" w:type="dxa"/>
              <w:bottom w:w="90" w:type="dxa"/>
              <w:right w:w="90" w:type="dxa"/>
            </w:tcMar>
          </w:tcPr>
          <w:p w:rsidR="00B70DA7" w:rsidRPr="00DC6E5A" w:rsidRDefault="00B70DA7" w:rsidP="00B70DA7">
            <w:pPr>
              <w:spacing w:after="200" w:line="276" w:lineRule="auto"/>
              <w:rPr>
                <w:rFonts w:eastAsia="Calibri"/>
                <w:sz w:val="20"/>
                <w:szCs w:val="20"/>
              </w:rPr>
            </w:pPr>
          </w:p>
        </w:tc>
      </w:tr>
    </w:tbl>
    <w:p w:rsidR="00B70DA7" w:rsidRDefault="00B70DA7" w:rsidP="00CF6E30">
      <w:pPr>
        <w:spacing w:after="200" w:line="276" w:lineRule="auto"/>
        <w:rPr>
          <w:rFonts w:eastAsia="Calibri"/>
          <w:sz w:val="22"/>
          <w:szCs w:val="22"/>
        </w:rPr>
      </w:pPr>
    </w:p>
    <w:p w:rsidR="00B70DA7" w:rsidRDefault="00B70DA7" w:rsidP="00CF6E30">
      <w:pPr>
        <w:spacing w:after="200" w:line="276" w:lineRule="auto"/>
        <w:rPr>
          <w:rFonts w:eastAsia="Calibri"/>
          <w:sz w:val="22"/>
          <w:szCs w:val="22"/>
        </w:rPr>
      </w:pPr>
    </w:p>
    <w:p w:rsidR="00B70DA7" w:rsidRDefault="00B70DA7" w:rsidP="00CF6E30">
      <w:pPr>
        <w:spacing w:after="200" w:line="276" w:lineRule="auto"/>
        <w:rPr>
          <w:rFonts w:eastAsia="Calibri"/>
          <w:sz w:val="22"/>
          <w:szCs w:val="22"/>
        </w:rPr>
      </w:pPr>
    </w:p>
    <w:p w:rsidR="00B70DA7" w:rsidRDefault="00B70DA7" w:rsidP="00CF6E30">
      <w:pPr>
        <w:spacing w:after="200" w:line="276" w:lineRule="auto"/>
        <w:rPr>
          <w:rFonts w:eastAsia="Calibri"/>
          <w:sz w:val="22"/>
          <w:szCs w:val="22"/>
        </w:rPr>
      </w:pPr>
    </w:p>
    <w:p w:rsidR="00B70DA7" w:rsidRDefault="00B70DA7" w:rsidP="00CF6E30">
      <w:pPr>
        <w:spacing w:after="200" w:line="276" w:lineRule="auto"/>
        <w:rPr>
          <w:rFonts w:eastAsia="Calibri"/>
          <w:sz w:val="22"/>
          <w:szCs w:val="22"/>
        </w:rPr>
      </w:pPr>
    </w:p>
    <w:p w:rsidR="00B70DA7" w:rsidRDefault="00B70DA7" w:rsidP="00CF6E30">
      <w:pPr>
        <w:spacing w:after="200" w:line="276" w:lineRule="auto"/>
        <w:rPr>
          <w:rFonts w:eastAsia="Calibri"/>
          <w:sz w:val="22"/>
          <w:szCs w:val="22"/>
        </w:rPr>
      </w:pPr>
    </w:p>
    <w:p w:rsidR="00CF6E30" w:rsidRPr="0099428A" w:rsidRDefault="00CF6E30" w:rsidP="00CF6E30">
      <w:pPr>
        <w:spacing w:after="200" w:line="276" w:lineRule="auto"/>
        <w:rPr>
          <w:rFonts w:eastAsia="Calibri"/>
          <w:sz w:val="22"/>
          <w:szCs w:val="22"/>
        </w:rPr>
      </w:pPr>
      <w:r w:rsidRPr="0099428A">
        <w:rPr>
          <w:rFonts w:eastAsia="Calibri"/>
          <w:sz w:val="22"/>
          <w:szCs w:val="22"/>
        </w:rPr>
        <w:br w:type="page"/>
      </w:r>
    </w:p>
    <w:tbl>
      <w:tblPr>
        <w:tblW w:w="5613" w:type="pct"/>
        <w:jc w:val="center"/>
        <w:tblInd w:w="-1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3799"/>
        <w:gridCol w:w="1370"/>
        <w:gridCol w:w="1157"/>
        <w:gridCol w:w="2912"/>
        <w:gridCol w:w="1281"/>
      </w:tblGrid>
      <w:tr w:rsidR="009C1C00" w:rsidRPr="00B70DA7" w:rsidTr="00AB1CCF">
        <w:trPr>
          <w:trHeight w:val="452"/>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FBD4B4" w:themeFill="accent6" w:themeFillTint="66"/>
            <w:tcMar>
              <w:top w:w="0" w:type="dxa"/>
              <w:left w:w="0" w:type="dxa"/>
              <w:bottom w:w="0" w:type="dxa"/>
              <w:right w:w="0" w:type="dxa"/>
            </w:tcMar>
            <w:vAlign w:val="center"/>
          </w:tcPr>
          <w:p w:rsidR="009C1C00" w:rsidRDefault="009C1C00" w:rsidP="00AB1CCF">
            <w:pPr>
              <w:suppressAutoHyphens/>
              <w:autoSpaceDE w:val="0"/>
              <w:autoSpaceDN w:val="0"/>
              <w:adjustRightInd w:val="0"/>
              <w:jc w:val="center"/>
              <w:textAlignment w:val="center"/>
              <w:rPr>
                <w:b/>
                <w:bCs/>
                <w:color w:val="000000"/>
                <w:sz w:val="20"/>
                <w:szCs w:val="20"/>
              </w:rPr>
            </w:pPr>
            <w:r w:rsidRPr="007D6AE0">
              <w:rPr>
                <w:b/>
                <w:bCs/>
                <w:color w:val="000000"/>
                <w:sz w:val="20"/>
                <w:szCs w:val="20"/>
              </w:rPr>
              <w:t>STRATEGY # 3:</w:t>
            </w:r>
          </w:p>
          <w:p w:rsidR="009C1C00" w:rsidRPr="00DC6E5A" w:rsidRDefault="009C1C00" w:rsidP="00AB1CCF">
            <w:pPr>
              <w:suppressAutoHyphens/>
              <w:autoSpaceDE w:val="0"/>
              <w:autoSpaceDN w:val="0"/>
              <w:adjustRightInd w:val="0"/>
              <w:jc w:val="center"/>
              <w:textAlignment w:val="center"/>
              <w:rPr>
                <w:rFonts w:eastAsia="Calibri"/>
                <w:b/>
                <w:bCs/>
                <w:sz w:val="20"/>
                <w:szCs w:val="20"/>
              </w:rPr>
            </w:pPr>
            <w:r w:rsidRPr="007D6AE0">
              <w:rPr>
                <w:b/>
                <w:bCs/>
                <w:color w:val="000000"/>
                <w:sz w:val="20"/>
                <w:szCs w:val="20"/>
              </w:rPr>
              <w:t>MAXIMIZE FINANCING RESOURCES</w:t>
            </w:r>
          </w:p>
        </w:tc>
      </w:tr>
      <w:tr w:rsidR="009C1C00" w:rsidRPr="00B70DA7" w:rsidTr="000C35C0">
        <w:trPr>
          <w:trHeight w:val="323"/>
          <w:jc w:val="center"/>
        </w:trPr>
        <w:tc>
          <w:tcPr>
            <w:tcW w:w="5000" w:type="pct"/>
            <w:gridSpan w:val="5"/>
            <w:tcBorders>
              <w:top w:val="single" w:sz="4" w:space="0" w:color="auto"/>
            </w:tcBorders>
            <w:shd w:val="clear" w:color="auto" w:fill="FBD4B4" w:themeFill="accent6" w:themeFillTint="66"/>
            <w:tcMar>
              <w:top w:w="90" w:type="dxa"/>
              <w:left w:w="90" w:type="dxa"/>
              <w:bottom w:w="90" w:type="dxa"/>
              <w:right w:w="90" w:type="dxa"/>
            </w:tcMar>
            <w:vAlign w:val="center"/>
          </w:tcPr>
          <w:p w:rsidR="009C1C00" w:rsidRPr="00DC6E5A" w:rsidRDefault="009C1C00" w:rsidP="009C1C00">
            <w:pPr>
              <w:spacing w:after="200" w:line="276" w:lineRule="auto"/>
              <w:rPr>
                <w:rFonts w:eastAsia="Calibri"/>
                <w:sz w:val="20"/>
                <w:szCs w:val="20"/>
              </w:rPr>
            </w:pPr>
            <w:r>
              <w:rPr>
                <w:rFonts w:eastAsia="Calibri"/>
                <w:b/>
                <w:bCs/>
                <w:sz w:val="20"/>
                <w:szCs w:val="20"/>
              </w:rPr>
              <w:t>Action Step #7</w:t>
            </w:r>
            <w:r w:rsidRPr="00DC6E5A">
              <w:rPr>
                <w:rFonts w:eastAsia="Calibri"/>
                <w:b/>
                <w:bCs/>
                <w:sz w:val="20"/>
                <w:szCs w:val="20"/>
              </w:rPr>
              <w:t xml:space="preserve">:  </w:t>
            </w:r>
            <w:r>
              <w:rPr>
                <w:rFonts w:eastAsia="Calibri"/>
                <w:b/>
                <w:bCs/>
                <w:sz w:val="20"/>
                <w:szCs w:val="20"/>
              </w:rPr>
              <w:t>Increase Real Estate Transfer Tax.</w:t>
            </w:r>
          </w:p>
        </w:tc>
      </w:tr>
      <w:tr w:rsidR="009C1C00" w:rsidRPr="00B70DA7" w:rsidTr="00AB1CCF">
        <w:trPr>
          <w:trHeight w:val="60"/>
          <w:jc w:val="center"/>
        </w:trPr>
        <w:tc>
          <w:tcPr>
            <w:tcW w:w="1806" w:type="pct"/>
            <w:shd w:val="clear" w:color="auto" w:fill="FBD4B4" w:themeFill="accent6" w:themeFillTint="66"/>
            <w:tcMar>
              <w:top w:w="90" w:type="dxa"/>
              <w:left w:w="90" w:type="dxa"/>
              <w:bottom w:w="90" w:type="dxa"/>
              <w:right w:w="90" w:type="dxa"/>
            </w:tcMar>
            <w:vAlign w:val="center"/>
          </w:tcPr>
          <w:p w:rsidR="009C1C00" w:rsidRPr="00DC6E5A" w:rsidRDefault="009C1C00" w:rsidP="00AB1CCF">
            <w:pPr>
              <w:spacing w:after="200" w:line="276" w:lineRule="auto"/>
              <w:rPr>
                <w:rFonts w:eastAsia="Calibri"/>
                <w:b/>
                <w:bCs/>
                <w:sz w:val="20"/>
                <w:szCs w:val="20"/>
              </w:rPr>
            </w:pPr>
            <w:r w:rsidRPr="00DC6E5A">
              <w:rPr>
                <w:rFonts w:eastAsia="Calibri"/>
                <w:b/>
                <w:bCs/>
                <w:sz w:val="20"/>
                <w:szCs w:val="20"/>
              </w:rPr>
              <w:t>Tasks</w:t>
            </w:r>
          </w:p>
        </w:tc>
        <w:tc>
          <w:tcPr>
            <w:tcW w:w="1201" w:type="pct"/>
            <w:gridSpan w:val="2"/>
            <w:shd w:val="clear" w:color="auto" w:fill="FBD4B4" w:themeFill="accent6" w:themeFillTint="66"/>
            <w:tcMar>
              <w:top w:w="90" w:type="dxa"/>
              <w:left w:w="90" w:type="dxa"/>
              <w:bottom w:w="90" w:type="dxa"/>
              <w:right w:w="90" w:type="dxa"/>
            </w:tcMar>
            <w:vAlign w:val="center"/>
          </w:tcPr>
          <w:p w:rsidR="009C1C00" w:rsidRPr="00DC6E5A" w:rsidRDefault="009C1C00" w:rsidP="00AB1CCF">
            <w:pPr>
              <w:spacing w:after="200" w:line="276" w:lineRule="auto"/>
              <w:rPr>
                <w:rFonts w:eastAsia="Calibri"/>
                <w:b/>
                <w:bCs/>
                <w:sz w:val="20"/>
                <w:szCs w:val="20"/>
              </w:rPr>
            </w:pPr>
            <w:r w:rsidRPr="00DC6E5A">
              <w:rPr>
                <w:rFonts w:eastAsia="Calibri"/>
                <w:b/>
                <w:bCs/>
                <w:sz w:val="20"/>
                <w:szCs w:val="20"/>
              </w:rPr>
              <w:t>Required Approvals</w:t>
            </w:r>
          </w:p>
        </w:tc>
        <w:tc>
          <w:tcPr>
            <w:tcW w:w="1384" w:type="pct"/>
            <w:shd w:val="clear" w:color="auto" w:fill="FBD4B4" w:themeFill="accent6" w:themeFillTint="66"/>
            <w:tcMar>
              <w:top w:w="90" w:type="dxa"/>
              <w:left w:w="90" w:type="dxa"/>
              <w:bottom w:w="90" w:type="dxa"/>
              <w:right w:w="90" w:type="dxa"/>
            </w:tcMar>
            <w:vAlign w:val="center"/>
          </w:tcPr>
          <w:p w:rsidR="009C1C00" w:rsidRPr="00DC6E5A" w:rsidRDefault="009C1C00" w:rsidP="00AB1CCF">
            <w:pPr>
              <w:spacing w:after="200" w:line="276" w:lineRule="auto"/>
              <w:rPr>
                <w:rFonts w:eastAsia="Calibri"/>
                <w:b/>
                <w:bCs/>
                <w:sz w:val="20"/>
                <w:szCs w:val="20"/>
              </w:rPr>
            </w:pPr>
            <w:r w:rsidRPr="00DC6E5A">
              <w:rPr>
                <w:rFonts w:eastAsia="Calibri"/>
                <w:b/>
                <w:bCs/>
                <w:sz w:val="20"/>
                <w:szCs w:val="20"/>
              </w:rPr>
              <w:t>Measurable Outcome(s)</w:t>
            </w:r>
          </w:p>
        </w:tc>
        <w:tc>
          <w:tcPr>
            <w:tcW w:w="609" w:type="pct"/>
            <w:shd w:val="clear" w:color="auto" w:fill="FBD4B4" w:themeFill="accent6" w:themeFillTint="66"/>
            <w:tcMar>
              <w:top w:w="90" w:type="dxa"/>
              <w:left w:w="90" w:type="dxa"/>
              <w:bottom w:w="90" w:type="dxa"/>
              <w:right w:w="90" w:type="dxa"/>
            </w:tcMar>
            <w:vAlign w:val="center"/>
          </w:tcPr>
          <w:p w:rsidR="009C1C00" w:rsidRPr="00DC6E5A" w:rsidRDefault="009C1C00" w:rsidP="00AB1CCF">
            <w:pPr>
              <w:spacing w:after="200" w:line="276" w:lineRule="auto"/>
              <w:rPr>
                <w:rFonts w:eastAsia="Calibri"/>
                <w:b/>
                <w:bCs/>
                <w:sz w:val="20"/>
                <w:szCs w:val="20"/>
              </w:rPr>
            </w:pPr>
            <w:r w:rsidRPr="00DC6E5A">
              <w:rPr>
                <w:rFonts w:eastAsia="Calibri"/>
                <w:b/>
                <w:bCs/>
                <w:sz w:val="20"/>
                <w:szCs w:val="20"/>
              </w:rPr>
              <w:t>Target Completion Date(s)</w:t>
            </w:r>
          </w:p>
        </w:tc>
      </w:tr>
      <w:tr w:rsidR="009C1C00" w:rsidRPr="00B70DA7" w:rsidTr="00AB1CCF">
        <w:trPr>
          <w:trHeight w:val="1150"/>
          <w:jc w:val="center"/>
        </w:trPr>
        <w:tc>
          <w:tcPr>
            <w:tcW w:w="1806" w:type="pct"/>
            <w:vMerge w:val="restart"/>
            <w:shd w:val="clear" w:color="auto" w:fill="auto"/>
            <w:tcMar>
              <w:top w:w="90" w:type="dxa"/>
              <w:left w:w="90" w:type="dxa"/>
              <w:bottom w:w="90" w:type="dxa"/>
              <w:right w:w="90" w:type="dxa"/>
            </w:tcMar>
          </w:tcPr>
          <w:p w:rsidR="009C1C00" w:rsidRPr="007D6AE0" w:rsidRDefault="009C1C00" w:rsidP="009C1C00">
            <w:pPr>
              <w:numPr>
                <w:ilvl w:val="0"/>
                <w:numId w:val="3"/>
              </w:numPr>
              <w:spacing w:after="200" w:line="276" w:lineRule="auto"/>
              <w:rPr>
                <w:rFonts w:eastAsia="Calibri"/>
                <w:sz w:val="20"/>
                <w:szCs w:val="20"/>
              </w:rPr>
            </w:pPr>
            <w:r>
              <w:rPr>
                <w:rFonts w:eastAsia="Calibri"/>
                <w:sz w:val="20"/>
                <w:szCs w:val="20"/>
              </w:rPr>
              <w:t>Work with state legislature to adopt legislation to increase the real estate transfer tax rate (except City of Napa which as a charter city does not require State legislation to increase its transfer tax)</w:t>
            </w:r>
            <w:r w:rsidRPr="00DC6E5A">
              <w:rPr>
                <w:rFonts w:eastAsia="Calibri"/>
                <w:sz w:val="20"/>
                <w:szCs w:val="20"/>
              </w:rPr>
              <w:t>.</w:t>
            </w:r>
          </w:p>
        </w:tc>
        <w:tc>
          <w:tcPr>
            <w:tcW w:w="651" w:type="pct"/>
            <w:shd w:val="clear" w:color="auto" w:fill="auto"/>
            <w:tcMar>
              <w:top w:w="90" w:type="dxa"/>
              <w:left w:w="90" w:type="dxa"/>
              <w:bottom w:w="90" w:type="dxa"/>
              <w:right w:w="90" w:type="dxa"/>
            </w:tcMar>
            <w:vAlign w:val="center"/>
          </w:tcPr>
          <w:p w:rsidR="009C1C00" w:rsidRPr="00DC6E5A" w:rsidRDefault="009C1C00" w:rsidP="000C35C0">
            <w:pPr>
              <w:spacing w:after="200" w:line="276" w:lineRule="auto"/>
              <w:jc w:val="center"/>
              <w:rPr>
                <w:rFonts w:eastAsia="Calibri"/>
                <w:sz w:val="20"/>
                <w:szCs w:val="20"/>
              </w:rPr>
            </w:pPr>
            <w:r w:rsidRPr="00DC6E5A">
              <w:rPr>
                <w:rFonts w:eastAsia="Calibri"/>
                <w:sz w:val="20"/>
                <w:szCs w:val="20"/>
              </w:rPr>
              <w:t>Local</w:t>
            </w:r>
          </w:p>
        </w:tc>
        <w:tc>
          <w:tcPr>
            <w:tcW w:w="550" w:type="pct"/>
            <w:shd w:val="clear" w:color="auto" w:fill="auto"/>
            <w:vAlign w:val="center"/>
          </w:tcPr>
          <w:p w:rsidR="009C1C00" w:rsidRPr="00DC6E5A" w:rsidRDefault="009C1C00" w:rsidP="00AB1CCF">
            <w:pPr>
              <w:spacing w:after="200" w:line="276" w:lineRule="auto"/>
              <w:jc w:val="center"/>
              <w:rPr>
                <w:rFonts w:eastAsia="Calibri"/>
                <w:sz w:val="20"/>
                <w:szCs w:val="20"/>
              </w:rPr>
            </w:pPr>
            <w:r w:rsidRPr="00DC6E5A">
              <w:rPr>
                <w:rFonts w:eastAsia="Calibri"/>
                <w:sz w:val="20"/>
                <w:szCs w:val="20"/>
              </w:rPr>
              <w:t>X</w:t>
            </w:r>
          </w:p>
        </w:tc>
        <w:tc>
          <w:tcPr>
            <w:tcW w:w="1384" w:type="pct"/>
            <w:vMerge w:val="restart"/>
            <w:shd w:val="clear" w:color="auto" w:fill="auto"/>
            <w:tcMar>
              <w:top w:w="90" w:type="dxa"/>
              <w:left w:w="90" w:type="dxa"/>
              <w:bottom w:w="90" w:type="dxa"/>
              <w:right w:w="90" w:type="dxa"/>
            </w:tcMar>
          </w:tcPr>
          <w:p w:rsidR="009C1C00" w:rsidRDefault="009C1C00" w:rsidP="009C1C00">
            <w:pPr>
              <w:numPr>
                <w:ilvl w:val="0"/>
                <w:numId w:val="3"/>
              </w:numPr>
              <w:spacing w:after="200" w:line="276" w:lineRule="auto"/>
              <w:rPr>
                <w:rFonts w:eastAsia="Calibri"/>
                <w:sz w:val="20"/>
                <w:szCs w:val="20"/>
              </w:rPr>
            </w:pPr>
            <w:r>
              <w:rPr>
                <w:rFonts w:eastAsia="Calibri"/>
                <w:sz w:val="20"/>
                <w:szCs w:val="20"/>
              </w:rPr>
              <w:t xml:space="preserve">State legislation authorizing an increased real estate transfer tax rate, with revenue directed into a countywide regional pool for affordable housing development. </w:t>
            </w:r>
          </w:p>
          <w:p w:rsidR="009C1C00" w:rsidRPr="007D6AE0" w:rsidRDefault="009C1C00" w:rsidP="009C1C00">
            <w:pPr>
              <w:numPr>
                <w:ilvl w:val="0"/>
                <w:numId w:val="3"/>
              </w:numPr>
              <w:spacing w:after="200" w:line="276" w:lineRule="auto"/>
              <w:rPr>
                <w:rFonts w:eastAsia="Calibri"/>
                <w:sz w:val="20"/>
                <w:szCs w:val="20"/>
              </w:rPr>
            </w:pPr>
            <w:r>
              <w:rPr>
                <w:rFonts w:eastAsia="Calibri"/>
                <w:sz w:val="20"/>
                <w:szCs w:val="20"/>
              </w:rPr>
              <w:t>Voter approval to increase real estate transfer tax rate.</w:t>
            </w:r>
          </w:p>
        </w:tc>
        <w:tc>
          <w:tcPr>
            <w:tcW w:w="609" w:type="pct"/>
            <w:vMerge w:val="restart"/>
            <w:shd w:val="clear" w:color="auto" w:fill="auto"/>
            <w:tcMar>
              <w:top w:w="90" w:type="dxa"/>
              <w:left w:w="90" w:type="dxa"/>
              <w:bottom w:w="90" w:type="dxa"/>
              <w:right w:w="90" w:type="dxa"/>
            </w:tcMar>
          </w:tcPr>
          <w:p w:rsidR="009C1C00" w:rsidRPr="00DC6E5A" w:rsidRDefault="009C1C00" w:rsidP="00AB1CCF">
            <w:pPr>
              <w:spacing w:after="200" w:line="276" w:lineRule="auto"/>
              <w:rPr>
                <w:rFonts w:eastAsia="Calibri"/>
                <w:sz w:val="20"/>
                <w:szCs w:val="20"/>
              </w:rPr>
            </w:pPr>
          </w:p>
        </w:tc>
      </w:tr>
      <w:tr w:rsidR="009C1C00" w:rsidRPr="00B70DA7" w:rsidTr="00AB1CCF">
        <w:trPr>
          <w:trHeight w:val="980"/>
          <w:jc w:val="center"/>
        </w:trPr>
        <w:tc>
          <w:tcPr>
            <w:tcW w:w="1806" w:type="pct"/>
            <w:vMerge/>
            <w:shd w:val="clear" w:color="auto" w:fill="auto"/>
            <w:tcMar>
              <w:top w:w="90" w:type="dxa"/>
              <w:left w:w="90" w:type="dxa"/>
              <w:bottom w:w="90" w:type="dxa"/>
              <w:right w:w="90" w:type="dxa"/>
            </w:tcMar>
          </w:tcPr>
          <w:p w:rsidR="009C1C00" w:rsidRPr="00DC6E5A" w:rsidRDefault="009C1C00" w:rsidP="00AB1CCF">
            <w:pPr>
              <w:numPr>
                <w:ilvl w:val="0"/>
                <w:numId w:val="3"/>
              </w:numPr>
              <w:spacing w:after="200" w:line="276" w:lineRule="auto"/>
              <w:rPr>
                <w:rFonts w:eastAsia="Calibri"/>
                <w:sz w:val="20"/>
                <w:szCs w:val="20"/>
              </w:rPr>
            </w:pPr>
          </w:p>
        </w:tc>
        <w:tc>
          <w:tcPr>
            <w:tcW w:w="651" w:type="pct"/>
            <w:shd w:val="clear" w:color="auto" w:fill="auto"/>
            <w:tcMar>
              <w:top w:w="90" w:type="dxa"/>
              <w:left w:w="90" w:type="dxa"/>
              <w:bottom w:w="90" w:type="dxa"/>
              <w:right w:w="90" w:type="dxa"/>
            </w:tcMar>
            <w:vAlign w:val="center"/>
          </w:tcPr>
          <w:p w:rsidR="009C1C00" w:rsidRPr="00DC6E5A" w:rsidRDefault="009C1C00" w:rsidP="000C35C0">
            <w:pPr>
              <w:spacing w:after="200" w:line="276" w:lineRule="auto"/>
              <w:jc w:val="center"/>
              <w:rPr>
                <w:rFonts w:eastAsia="Calibri"/>
                <w:sz w:val="20"/>
                <w:szCs w:val="20"/>
              </w:rPr>
            </w:pPr>
            <w:r w:rsidRPr="00DC6E5A">
              <w:rPr>
                <w:rFonts w:eastAsia="Calibri"/>
                <w:sz w:val="20"/>
                <w:szCs w:val="20"/>
              </w:rPr>
              <w:t>State</w:t>
            </w:r>
          </w:p>
        </w:tc>
        <w:tc>
          <w:tcPr>
            <w:tcW w:w="550" w:type="pct"/>
            <w:shd w:val="clear" w:color="auto" w:fill="auto"/>
            <w:vAlign w:val="center"/>
          </w:tcPr>
          <w:p w:rsidR="009C1C00" w:rsidRPr="00DC6E5A" w:rsidRDefault="009C1C00" w:rsidP="00AB1CCF">
            <w:pPr>
              <w:spacing w:after="200" w:line="276" w:lineRule="auto"/>
              <w:jc w:val="center"/>
              <w:rPr>
                <w:rFonts w:eastAsia="Calibri"/>
                <w:sz w:val="20"/>
                <w:szCs w:val="20"/>
              </w:rPr>
            </w:pPr>
            <w:r>
              <w:rPr>
                <w:rFonts w:eastAsia="Calibri"/>
                <w:sz w:val="20"/>
                <w:szCs w:val="20"/>
              </w:rPr>
              <w:t>X</w:t>
            </w:r>
          </w:p>
        </w:tc>
        <w:tc>
          <w:tcPr>
            <w:tcW w:w="1384" w:type="pct"/>
            <w:vMerge/>
            <w:shd w:val="clear" w:color="auto" w:fill="auto"/>
            <w:tcMar>
              <w:top w:w="90" w:type="dxa"/>
              <w:left w:w="90" w:type="dxa"/>
              <w:bottom w:w="90" w:type="dxa"/>
              <w:right w:w="90" w:type="dxa"/>
            </w:tcMar>
          </w:tcPr>
          <w:p w:rsidR="009C1C00" w:rsidRPr="00DC6E5A" w:rsidRDefault="009C1C00" w:rsidP="00AB1CCF">
            <w:pPr>
              <w:numPr>
                <w:ilvl w:val="0"/>
                <w:numId w:val="3"/>
              </w:numPr>
              <w:spacing w:after="200" w:line="276" w:lineRule="auto"/>
              <w:rPr>
                <w:rFonts w:eastAsia="Calibri"/>
                <w:sz w:val="20"/>
                <w:szCs w:val="20"/>
              </w:rPr>
            </w:pPr>
          </w:p>
        </w:tc>
        <w:tc>
          <w:tcPr>
            <w:tcW w:w="609" w:type="pct"/>
            <w:vMerge/>
            <w:shd w:val="clear" w:color="auto" w:fill="auto"/>
            <w:tcMar>
              <w:top w:w="90" w:type="dxa"/>
              <w:left w:w="90" w:type="dxa"/>
              <w:bottom w:w="90" w:type="dxa"/>
              <w:right w:w="90" w:type="dxa"/>
            </w:tcMar>
          </w:tcPr>
          <w:p w:rsidR="009C1C00" w:rsidRPr="00DC6E5A" w:rsidRDefault="009C1C00" w:rsidP="00AB1CCF">
            <w:pPr>
              <w:spacing w:after="200" w:line="276" w:lineRule="auto"/>
              <w:rPr>
                <w:rFonts w:eastAsia="Calibri"/>
                <w:sz w:val="20"/>
                <w:szCs w:val="20"/>
              </w:rPr>
            </w:pPr>
          </w:p>
        </w:tc>
      </w:tr>
      <w:tr w:rsidR="009C1C00" w:rsidRPr="00B70DA7" w:rsidTr="00AB1CCF">
        <w:trPr>
          <w:trHeight w:val="890"/>
          <w:jc w:val="center"/>
        </w:trPr>
        <w:tc>
          <w:tcPr>
            <w:tcW w:w="1806" w:type="pct"/>
            <w:vMerge/>
            <w:shd w:val="clear" w:color="auto" w:fill="auto"/>
            <w:tcMar>
              <w:top w:w="90" w:type="dxa"/>
              <w:left w:w="90" w:type="dxa"/>
              <w:bottom w:w="90" w:type="dxa"/>
              <w:right w:w="90" w:type="dxa"/>
            </w:tcMar>
          </w:tcPr>
          <w:p w:rsidR="009C1C00" w:rsidRPr="00DC6E5A" w:rsidRDefault="009C1C00" w:rsidP="00AB1CCF">
            <w:pPr>
              <w:numPr>
                <w:ilvl w:val="0"/>
                <w:numId w:val="3"/>
              </w:numPr>
              <w:spacing w:after="200" w:line="276" w:lineRule="auto"/>
              <w:rPr>
                <w:rFonts w:eastAsia="Calibri"/>
                <w:sz w:val="20"/>
                <w:szCs w:val="20"/>
              </w:rPr>
            </w:pPr>
          </w:p>
        </w:tc>
        <w:tc>
          <w:tcPr>
            <w:tcW w:w="651" w:type="pct"/>
            <w:shd w:val="clear" w:color="auto" w:fill="auto"/>
            <w:tcMar>
              <w:top w:w="90" w:type="dxa"/>
              <w:left w:w="90" w:type="dxa"/>
              <w:bottom w:w="90" w:type="dxa"/>
              <w:right w:w="90" w:type="dxa"/>
            </w:tcMar>
            <w:vAlign w:val="center"/>
          </w:tcPr>
          <w:p w:rsidR="009C1C00" w:rsidRPr="00DC6E5A" w:rsidRDefault="009C1C00" w:rsidP="000C35C0">
            <w:pPr>
              <w:spacing w:after="200" w:line="276" w:lineRule="auto"/>
              <w:jc w:val="center"/>
              <w:rPr>
                <w:rFonts w:eastAsia="Calibri"/>
                <w:sz w:val="20"/>
                <w:szCs w:val="20"/>
              </w:rPr>
            </w:pPr>
            <w:r w:rsidRPr="00DC6E5A">
              <w:rPr>
                <w:rFonts w:eastAsia="Calibri"/>
                <w:sz w:val="20"/>
                <w:szCs w:val="20"/>
              </w:rPr>
              <w:t>Voter</w:t>
            </w:r>
          </w:p>
        </w:tc>
        <w:tc>
          <w:tcPr>
            <w:tcW w:w="550" w:type="pct"/>
            <w:shd w:val="clear" w:color="auto" w:fill="auto"/>
            <w:vAlign w:val="center"/>
          </w:tcPr>
          <w:p w:rsidR="009C1C00" w:rsidRPr="00DC6E5A" w:rsidRDefault="009C1C00" w:rsidP="00AB1CCF">
            <w:pPr>
              <w:spacing w:after="200" w:line="276" w:lineRule="auto"/>
              <w:jc w:val="center"/>
              <w:rPr>
                <w:rFonts w:eastAsia="Calibri"/>
                <w:sz w:val="20"/>
                <w:szCs w:val="20"/>
              </w:rPr>
            </w:pPr>
            <w:r>
              <w:rPr>
                <w:rFonts w:eastAsia="Calibri"/>
                <w:sz w:val="20"/>
                <w:szCs w:val="20"/>
              </w:rPr>
              <w:t>X</w:t>
            </w:r>
          </w:p>
        </w:tc>
        <w:tc>
          <w:tcPr>
            <w:tcW w:w="1384" w:type="pct"/>
            <w:vMerge/>
            <w:shd w:val="clear" w:color="auto" w:fill="auto"/>
            <w:tcMar>
              <w:top w:w="90" w:type="dxa"/>
              <w:left w:w="90" w:type="dxa"/>
              <w:bottom w:w="90" w:type="dxa"/>
              <w:right w:w="90" w:type="dxa"/>
            </w:tcMar>
          </w:tcPr>
          <w:p w:rsidR="009C1C00" w:rsidRPr="00DC6E5A" w:rsidRDefault="009C1C00" w:rsidP="00AB1CCF">
            <w:pPr>
              <w:numPr>
                <w:ilvl w:val="0"/>
                <w:numId w:val="3"/>
              </w:numPr>
              <w:spacing w:after="200" w:line="276" w:lineRule="auto"/>
              <w:rPr>
                <w:rFonts w:eastAsia="Calibri"/>
                <w:sz w:val="20"/>
                <w:szCs w:val="20"/>
              </w:rPr>
            </w:pPr>
          </w:p>
        </w:tc>
        <w:tc>
          <w:tcPr>
            <w:tcW w:w="609" w:type="pct"/>
            <w:vMerge/>
            <w:shd w:val="clear" w:color="auto" w:fill="auto"/>
            <w:tcMar>
              <w:top w:w="90" w:type="dxa"/>
              <w:left w:w="90" w:type="dxa"/>
              <w:bottom w:w="90" w:type="dxa"/>
              <w:right w:w="90" w:type="dxa"/>
            </w:tcMar>
          </w:tcPr>
          <w:p w:rsidR="009C1C00" w:rsidRPr="00DC6E5A" w:rsidRDefault="009C1C00" w:rsidP="00AB1CCF">
            <w:pPr>
              <w:spacing w:after="200" w:line="276" w:lineRule="auto"/>
              <w:rPr>
                <w:rFonts w:eastAsia="Calibri"/>
                <w:sz w:val="20"/>
                <w:szCs w:val="20"/>
              </w:rPr>
            </w:pPr>
          </w:p>
        </w:tc>
      </w:tr>
    </w:tbl>
    <w:p w:rsidR="002B2962" w:rsidRPr="0099428A" w:rsidRDefault="002B2962" w:rsidP="002B2962">
      <w:pPr>
        <w:rPr>
          <w:sz w:val="18"/>
          <w:szCs w:val="18"/>
        </w:rPr>
      </w:pPr>
      <w:r w:rsidRPr="0099428A">
        <w:rPr>
          <w:sz w:val="18"/>
          <w:szCs w:val="18"/>
        </w:rPr>
        <w:br w:type="page"/>
      </w:r>
    </w:p>
    <w:p w:rsidR="002B2962" w:rsidRPr="0099428A" w:rsidRDefault="002B2962" w:rsidP="002B2962">
      <w:pPr>
        <w:rPr>
          <w:sz w:val="18"/>
          <w:szCs w:val="18"/>
        </w:rPr>
      </w:pPr>
    </w:p>
    <w:tbl>
      <w:tblPr>
        <w:tblW w:w="5489" w:type="pct"/>
        <w:jc w:val="center"/>
        <w:tblInd w:w="-15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3486"/>
        <w:gridCol w:w="1324"/>
        <w:gridCol w:w="1144"/>
        <w:gridCol w:w="3242"/>
        <w:gridCol w:w="1090"/>
      </w:tblGrid>
      <w:tr w:rsidR="00BA318D" w:rsidRPr="0099428A" w:rsidTr="00BA318D">
        <w:trPr>
          <w:trHeight w:val="452"/>
          <w:jc w:val="center"/>
        </w:trPr>
        <w:tc>
          <w:tcPr>
            <w:tcW w:w="5000" w:type="pct"/>
            <w:gridSpan w:val="5"/>
            <w:tcBorders>
              <w:top w:val="single" w:sz="4" w:space="0" w:color="auto"/>
              <w:left w:val="single" w:sz="4" w:space="0" w:color="000000"/>
              <w:bottom w:val="single" w:sz="4" w:space="0" w:color="auto"/>
              <w:right w:val="single" w:sz="4" w:space="0" w:color="auto"/>
            </w:tcBorders>
            <w:shd w:val="clear" w:color="auto" w:fill="C2D69B" w:themeFill="accent3" w:themeFillTint="99"/>
            <w:tcMar>
              <w:top w:w="0" w:type="dxa"/>
              <w:left w:w="0" w:type="dxa"/>
              <w:bottom w:w="0" w:type="dxa"/>
              <w:right w:w="0" w:type="dxa"/>
            </w:tcMar>
            <w:vAlign w:val="center"/>
          </w:tcPr>
          <w:p w:rsidR="00BA318D" w:rsidRPr="0099428A" w:rsidRDefault="00BA318D" w:rsidP="000336A9">
            <w:pPr>
              <w:suppressAutoHyphens/>
              <w:autoSpaceDE w:val="0"/>
              <w:autoSpaceDN w:val="0"/>
              <w:adjustRightInd w:val="0"/>
              <w:jc w:val="center"/>
              <w:textAlignment w:val="center"/>
              <w:rPr>
                <w:b/>
                <w:bCs/>
                <w:color w:val="000000"/>
                <w:sz w:val="20"/>
                <w:szCs w:val="20"/>
              </w:rPr>
            </w:pPr>
            <w:r w:rsidRPr="0099428A">
              <w:rPr>
                <w:b/>
                <w:bCs/>
                <w:color w:val="000000"/>
                <w:sz w:val="20"/>
                <w:szCs w:val="20"/>
              </w:rPr>
              <w:t>STRATEGY # 4:</w:t>
            </w:r>
          </w:p>
          <w:p w:rsidR="00BA318D" w:rsidRPr="0099428A" w:rsidRDefault="00BA318D" w:rsidP="000336A9">
            <w:pPr>
              <w:suppressAutoHyphens/>
              <w:autoSpaceDE w:val="0"/>
              <w:autoSpaceDN w:val="0"/>
              <w:adjustRightInd w:val="0"/>
              <w:jc w:val="center"/>
              <w:textAlignment w:val="center"/>
              <w:rPr>
                <w:b/>
                <w:bCs/>
                <w:color w:val="000000"/>
                <w:sz w:val="20"/>
                <w:szCs w:val="20"/>
              </w:rPr>
            </w:pPr>
            <w:r w:rsidRPr="0099428A">
              <w:rPr>
                <w:b/>
                <w:bCs/>
                <w:color w:val="000000"/>
                <w:sz w:val="20"/>
                <w:szCs w:val="20"/>
              </w:rPr>
              <w:t>IMPLEMENT NON-MONETARY PRODUCTION OPPORTUNITIES</w:t>
            </w:r>
          </w:p>
        </w:tc>
      </w:tr>
      <w:tr w:rsidR="00BA318D" w:rsidRPr="0099428A" w:rsidTr="00BA318D">
        <w:trPr>
          <w:trHeight w:val="476"/>
          <w:jc w:val="center"/>
        </w:trPr>
        <w:tc>
          <w:tcPr>
            <w:tcW w:w="5000" w:type="pct"/>
            <w:gridSpan w:val="5"/>
            <w:tcBorders>
              <w:top w:val="single" w:sz="4" w:space="0" w:color="auto"/>
            </w:tcBorders>
            <w:shd w:val="clear" w:color="auto" w:fill="C2D69B" w:themeFill="accent3" w:themeFillTint="99"/>
            <w:tcMar>
              <w:top w:w="0" w:type="dxa"/>
              <w:left w:w="0" w:type="dxa"/>
              <w:bottom w:w="0" w:type="dxa"/>
              <w:right w:w="0" w:type="dxa"/>
            </w:tcMar>
            <w:vAlign w:val="center"/>
          </w:tcPr>
          <w:p w:rsidR="00BA318D" w:rsidRPr="0099428A" w:rsidRDefault="00BA318D" w:rsidP="000336A9">
            <w:pPr>
              <w:suppressAutoHyphens/>
              <w:autoSpaceDE w:val="0"/>
              <w:autoSpaceDN w:val="0"/>
              <w:adjustRightInd w:val="0"/>
              <w:textAlignment w:val="center"/>
              <w:rPr>
                <w:b/>
                <w:bCs/>
                <w:color w:val="000000"/>
                <w:sz w:val="20"/>
                <w:szCs w:val="20"/>
              </w:rPr>
            </w:pPr>
            <w:r w:rsidRPr="0099428A">
              <w:rPr>
                <w:b/>
                <w:bCs/>
                <w:color w:val="000000"/>
                <w:sz w:val="20"/>
                <w:szCs w:val="20"/>
              </w:rPr>
              <w:t xml:space="preserve"> Action Step #1:  Allow By-Right Affordable Housing in Residential Zones</w:t>
            </w:r>
          </w:p>
        </w:tc>
      </w:tr>
      <w:tr w:rsidR="00BA318D" w:rsidRPr="0099428A" w:rsidTr="00E133AB">
        <w:trPr>
          <w:trHeight w:val="530"/>
          <w:jc w:val="center"/>
        </w:trPr>
        <w:tc>
          <w:tcPr>
            <w:tcW w:w="1695" w:type="pct"/>
            <w:shd w:val="clear" w:color="auto" w:fill="C2D69B" w:themeFill="accent3" w:themeFillTint="99"/>
            <w:tcMar>
              <w:top w:w="0" w:type="dxa"/>
              <w:left w:w="0" w:type="dxa"/>
              <w:bottom w:w="0" w:type="dxa"/>
              <w:right w:w="0" w:type="dxa"/>
            </w:tcMar>
            <w:vAlign w:val="center"/>
          </w:tcPr>
          <w:p w:rsidR="00BA318D" w:rsidRPr="0099428A" w:rsidRDefault="00BA318D" w:rsidP="000336A9">
            <w:pPr>
              <w:suppressAutoHyphens/>
              <w:autoSpaceDE w:val="0"/>
              <w:autoSpaceDN w:val="0"/>
              <w:adjustRightInd w:val="0"/>
              <w:jc w:val="center"/>
              <w:textAlignment w:val="center"/>
              <w:rPr>
                <w:b/>
                <w:bCs/>
                <w:color w:val="000000"/>
                <w:sz w:val="20"/>
                <w:szCs w:val="20"/>
              </w:rPr>
            </w:pPr>
            <w:r w:rsidRPr="0099428A">
              <w:rPr>
                <w:b/>
                <w:bCs/>
                <w:color w:val="000000"/>
                <w:sz w:val="20"/>
                <w:szCs w:val="20"/>
              </w:rPr>
              <w:t>Tasks</w:t>
            </w:r>
          </w:p>
        </w:tc>
        <w:tc>
          <w:tcPr>
            <w:tcW w:w="1199" w:type="pct"/>
            <w:gridSpan w:val="2"/>
            <w:shd w:val="clear" w:color="auto" w:fill="C2D69B" w:themeFill="accent3" w:themeFillTint="99"/>
            <w:tcMar>
              <w:top w:w="0" w:type="dxa"/>
              <w:left w:w="0" w:type="dxa"/>
              <w:bottom w:w="0" w:type="dxa"/>
              <w:right w:w="0" w:type="dxa"/>
            </w:tcMar>
            <w:vAlign w:val="center"/>
          </w:tcPr>
          <w:p w:rsidR="00BA318D" w:rsidRPr="0099428A" w:rsidRDefault="00BA318D" w:rsidP="000336A9">
            <w:pPr>
              <w:suppressAutoHyphens/>
              <w:autoSpaceDE w:val="0"/>
              <w:autoSpaceDN w:val="0"/>
              <w:adjustRightInd w:val="0"/>
              <w:jc w:val="center"/>
              <w:textAlignment w:val="center"/>
              <w:rPr>
                <w:b/>
                <w:bCs/>
                <w:color w:val="000000"/>
                <w:sz w:val="20"/>
                <w:szCs w:val="20"/>
              </w:rPr>
            </w:pPr>
            <w:r w:rsidRPr="0099428A">
              <w:rPr>
                <w:b/>
                <w:bCs/>
                <w:color w:val="000000"/>
                <w:sz w:val="20"/>
                <w:szCs w:val="20"/>
              </w:rPr>
              <w:t>Required Approvals</w:t>
            </w:r>
          </w:p>
        </w:tc>
        <w:tc>
          <w:tcPr>
            <w:tcW w:w="1576" w:type="pct"/>
            <w:shd w:val="clear" w:color="auto" w:fill="C2D69B" w:themeFill="accent3" w:themeFillTint="99"/>
            <w:vAlign w:val="center"/>
          </w:tcPr>
          <w:p w:rsidR="00BA318D" w:rsidRPr="0099428A" w:rsidRDefault="00BA318D" w:rsidP="000336A9">
            <w:pPr>
              <w:suppressAutoHyphens/>
              <w:autoSpaceDE w:val="0"/>
              <w:autoSpaceDN w:val="0"/>
              <w:adjustRightInd w:val="0"/>
              <w:jc w:val="center"/>
              <w:textAlignment w:val="center"/>
              <w:rPr>
                <w:b/>
                <w:bCs/>
                <w:color w:val="000000"/>
                <w:sz w:val="20"/>
                <w:szCs w:val="20"/>
              </w:rPr>
            </w:pPr>
            <w:r w:rsidRPr="0099428A">
              <w:rPr>
                <w:b/>
                <w:bCs/>
                <w:color w:val="000000"/>
                <w:sz w:val="20"/>
                <w:szCs w:val="20"/>
              </w:rPr>
              <w:t>Measurable Outcome(s)</w:t>
            </w:r>
          </w:p>
        </w:tc>
        <w:tc>
          <w:tcPr>
            <w:tcW w:w="530" w:type="pct"/>
            <w:shd w:val="clear" w:color="auto" w:fill="C2D69B" w:themeFill="accent3" w:themeFillTint="99"/>
            <w:tcMar>
              <w:top w:w="0" w:type="dxa"/>
              <w:left w:w="0" w:type="dxa"/>
              <w:bottom w:w="0" w:type="dxa"/>
              <w:right w:w="0" w:type="dxa"/>
            </w:tcMar>
            <w:vAlign w:val="center"/>
          </w:tcPr>
          <w:p w:rsidR="00BA318D" w:rsidRPr="0099428A" w:rsidRDefault="00BA318D" w:rsidP="000336A9">
            <w:pPr>
              <w:suppressAutoHyphens/>
              <w:autoSpaceDE w:val="0"/>
              <w:autoSpaceDN w:val="0"/>
              <w:adjustRightInd w:val="0"/>
              <w:jc w:val="center"/>
              <w:textAlignment w:val="center"/>
              <w:rPr>
                <w:b/>
                <w:bCs/>
                <w:color w:val="000000"/>
                <w:sz w:val="20"/>
                <w:szCs w:val="20"/>
                <w:u w:color="000000"/>
              </w:rPr>
            </w:pPr>
            <w:r w:rsidRPr="0099428A">
              <w:rPr>
                <w:b/>
                <w:bCs/>
                <w:color w:val="000000"/>
                <w:sz w:val="20"/>
                <w:szCs w:val="20"/>
                <w:u w:color="000000"/>
              </w:rPr>
              <w:t>Target Completion Date(s)</w:t>
            </w:r>
          </w:p>
        </w:tc>
      </w:tr>
      <w:tr w:rsidR="00BA318D" w:rsidRPr="0099428A" w:rsidTr="00E133AB">
        <w:trPr>
          <w:trHeight w:val="476"/>
          <w:jc w:val="center"/>
        </w:trPr>
        <w:tc>
          <w:tcPr>
            <w:tcW w:w="1695" w:type="pct"/>
            <w:vMerge w:val="restart"/>
            <w:shd w:val="clear" w:color="auto" w:fill="auto"/>
            <w:tcMar>
              <w:top w:w="90" w:type="dxa"/>
              <w:left w:w="90" w:type="dxa"/>
              <w:bottom w:w="90" w:type="dxa"/>
              <w:right w:w="90" w:type="dxa"/>
            </w:tcMar>
          </w:tcPr>
          <w:p w:rsidR="00BA318D" w:rsidRPr="0099428A" w:rsidRDefault="00BA318D" w:rsidP="000336A9">
            <w:pPr>
              <w:numPr>
                <w:ilvl w:val="0"/>
                <w:numId w:val="3"/>
              </w:numPr>
              <w:suppressAutoHyphens/>
              <w:autoSpaceDE w:val="0"/>
              <w:autoSpaceDN w:val="0"/>
              <w:adjustRightInd w:val="0"/>
              <w:spacing w:after="200" w:line="276" w:lineRule="auto"/>
              <w:textAlignment w:val="center"/>
              <w:rPr>
                <w:color w:val="000000"/>
                <w:sz w:val="20"/>
                <w:szCs w:val="20"/>
              </w:rPr>
            </w:pPr>
            <w:r w:rsidRPr="0099428A">
              <w:rPr>
                <w:color w:val="000000"/>
                <w:sz w:val="20"/>
                <w:szCs w:val="20"/>
              </w:rPr>
              <w:t>Initiate zoning amendment process to allow housing by-right (although design review may still be applicable), except agricultural land</w:t>
            </w:r>
          </w:p>
        </w:tc>
        <w:tc>
          <w:tcPr>
            <w:tcW w:w="643" w:type="pct"/>
            <w:shd w:val="clear" w:color="auto" w:fill="auto"/>
            <w:tcMar>
              <w:top w:w="90" w:type="dxa"/>
              <w:left w:w="90" w:type="dxa"/>
              <w:bottom w:w="90" w:type="dxa"/>
              <w:right w:w="90" w:type="dxa"/>
            </w:tcMar>
            <w:vAlign w:val="center"/>
          </w:tcPr>
          <w:p w:rsidR="00BA318D" w:rsidRPr="0099428A" w:rsidRDefault="00BA318D" w:rsidP="000336A9">
            <w:pPr>
              <w:suppressAutoHyphens/>
              <w:autoSpaceDE w:val="0"/>
              <w:autoSpaceDN w:val="0"/>
              <w:adjustRightInd w:val="0"/>
              <w:jc w:val="center"/>
              <w:textAlignment w:val="center"/>
              <w:rPr>
                <w:color w:val="000000"/>
                <w:sz w:val="20"/>
                <w:szCs w:val="20"/>
              </w:rPr>
            </w:pPr>
            <w:r w:rsidRPr="0099428A">
              <w:rPr>
                <w:color w:val="000000"/>
                <w:sz w:val="20"/>
                <w:szCs w:val="20"/>
              </w:rPr>
              <w:t>Local</w:t>
            </w:r>
          </w:p>
        </w:tc>
        <w:tc>
          <w:tcPr>
            <w:tcW w:w="556" w:type="pct"/>
            <w:shd w:val="clear" w:color="auto" w:fill="auto"/>
            <w:vAlign w:val="center"/>
          </w:tcPr>
          <w:p w:rsidR="00BA318D" w:rsidRPr="0099428A" w:rsidRDefault="00BA318D" w:rsidP="000336A9">
            <w:pPr>
              <w:suppressAutoHyphens/>
              <w:autoSpaceDE w:val="0"/>
              <w:autoSpaceDN w:val="0"/>
              <w:adjustRightInd w:val="0"/>
              <w:jc w:val="center"/>
              <w:textAlignment w:val="center"/>
              <w:rPr>
                <w:color w:val="000000"/>
                <w:sz w:val="20"/>
                <w:szCs w:val="20"/>
              </w:rPr>
            </w:pPr>
            <w:r>
              <w:rPr>
                <w:color w:val="000000"/>
                <w:sz w:val="20"/>
                <w:szCs w:val="20"/>
              </w:rPr>
              <w:t>X</w:t>
            </w:r>
          </w:p>
        </w:tc>
        <w:tc>
          <w:tcPr>
            <w:tcW w:w="1576" w:type="pct"/>
            <w:vMerge w:val="restart"/>
            <w:shd w:val="clear" w:color="auto" w:fill="auto"/>
            <w:tcMar>
              <w:top w:w="90" w:type="dxa"/>
              <w:left w:w="90" w:type="dxa"/>
              <w:bottom w:w="90" w:type="dxa"/>
              <w:right w:w="90" w:type="dxa"/>
            </w:tcMar>
          </w:tcPr>
          <w:p w:rsidR="00BA318D" w:rsidRPr="0099428A" w:rsidRDefault="00BA318D" w:rsidP="000336A9">
            <w:pPr>
              <w:numPr>
                <w:ilvl w:val="0"/>
                <w:numId w:val="3"/>
              </w:numPr>
              <w:suppressAutoHyphens/>
              <w:autoSpaceDE w:val="0"/>
              <w:autoSpaceDN w:val="0"/>
              <w:adjustRightInd w:val="0"/>
              <w:spacing w:after="200" w:line="276" w:lineRule="auto"/>
              <w:textAlignment w:val="center"/>
              <w:rPr>
                <w:color w:val="000000"/>
                <w:sz w:val="20"/>
                <w:szCs w:val="20"/>
              </w:rPr>
            </w:pPr>
            <w:r w:rsidRPr="0099428A">
              <w:rPr>
                <w:color w:val="000000"/>
                <w:sz w:val="20"/>
                <w:szCs w:val="20"/>
              </w:rPr>
              <w:t>Speed up development timeline</w:t>
            </w:r>
            <w:r>
              <w:rPr>
                <w:color w:val="000000"/>
                <w:sz w:val="20"/>
                <w:szCs w:val="20"/>
              </w:rPr>
              <w:t>.</w:t>
            </w:r>
          </w:p>
          <w:p w:rsidR="00BA318D" w:rsidRPr="0099428A" w:rsidRDefault="00BA318D" w:rsidP="000336A9">
            <w:pPr>
              <w:numPr>
                <w:ilvl w:val="0"/>
                <w:numId w:val="3"/>
              </w:numPr>
              <w:suppressAutoHyphens/>
              <w:autoSpaceDE w:val="0"/>
              <w:autoSpaceDN w:val="0"/>
              <w:adjustRightInd w:val="0"/>
              <w:spacing w:after="200" w:line="276" w:lineRule="auto"/>
              <w:textAlignment w:val="center"/>
              <w:rPr>
                <w:color w:val="000000"/>
                <w:sz w:val="20"/>
                <w:szCs w:val="20"/>
              </w:rPr>
            </w:pPr>
            <w:r w:rsidRPr="0099428A">
              <w:rPr>
                <w:color w:val="000000"/>
                <w:sz w:val="20"/>
                <w:szCs w:val="20"/>
              </w:rPr>
              <w:t>Reduce entitlement costs</w:t>
            </w:r>
            <w:r>
              <w:rPr>
                <w:color w:val="000000"/>
                <w:sz w:val="20"/>
                <w:szCs w:val="20"/>
              </w:rPr>
              <w:t>.</w:t>
            </w:r>
          </w:p>
          <w:p w:rsidR="00BA318D" w:rsidRPr="0099428A" w:rsidRDefault="00BA318D" w:rsidP="000336A9">
            <w:pPr>
              <w:numPr>
                <w:ilvl w:val="0"/>
                <w:numId w:val="3"/>
              </w:numPr>
              <w:suppressAutoHyphens/>
              <w:autoSpaceDE w:val="0"/>
              <w:autoSpaceDN w:val="0"/>
              <w:adjustRightInd w:val="0"/>
              <w:spacing w:after="200" w:line="276" w:lineRule="auto"/>
              <w:textAlignment w:val="center"/>
              <w:rPr>
                <w:color w:val="000000"/>
                <w:sz w:val="20"/>
                <w:szCs w:val="20"/>
              </w:rPr>
            </w:pPr>
            <w:r w:rsidRPr="0099428A">
              <w:rPr>
                <w:color w:val="000000"/>
                <w:sz w:val="20"/>
                <w:szCs w:val="20"/>
              </w:rPr>
              <w:t>Provide certainty to process</w:t>
            </w:r>
            <w:r>
              <w:rPr>
                <w:color w:val="000000"/>
                <w:sz w:val="20"/>
                <w:szCs w:val="20"/>
              </w:rPr>
              <w:t>.</w:t>
            </w:r>
          </w:p>
        </w:tc>
        <w:tc>
          <w:tcPr>
            <w:tcW w:w="530" w:type="pct"/>
            <w:vMerge w:val="restart"/>
            <w:shd w:val="clear" w:color="auto" w:fill="auto"/>
            <w:tcMar>
              <w:top w:w="90" w:type="dxa"/>
              <w:left w:w="90" w:type="dxa"/>
              <w:bottom w:w="90" w:type="dxa"/>
              <w:right w:w="90" w:type="dxa"/>
            </w:tcMar>
          </w:tcPr>
          <w:p w:rsidR="00BA318D" w:rsidRPr="0099428A" w:rsidRDefault="00BA318D" w:rsidP="000336A9">
            <w:pPr>
              <w:suppressAutoHyphens/>
              <w:autoSpaceDE w:val="0"/>
              <w:autoSpaceDN w:val="0"/>
              <w:adjustRightInd w:val="0"/>
              <w:jc w:val="center"/>
              <w:textAlignment w:val="center"/>
              <w:rPr>
                <w:color w:val="000000"/>
                <w:sz w:val="20"/>
                <w:szCs w:val="20"/>
              </w:rPr>
            </w:pPr>
          </w:p>
        </w:tc>
      </w:tr>
      <w:tr w:rsidR="00BA318D" w:rsidRPr="0099428A" w:rsidTr="00E133AB">
        <w:trPr>
          <w:trHeight w:val="431"/>
          <w:jc w:val="center"/>
        </w:trPr>
        <w:tc>
          <w:tcPr>
            <w:tcW w:w="1695" w:type="pct"/>
            <w:vMerge/>
            <w:shd w:val="clear" w:color="auto" w:fill="auto"/>
            <w:tcMar>
              <w:top w:w="90" w:type="dxa"/>
              <w:left w:w="90" w:type="dxa"/>
              <w:bottom w:w="90" w:type="dxa"/>
              <w:right w:w="90" w:type="dxa"/>
            </w:tcMar>
          </w:tcPr>
          <w:p w:rsidR="00BA318D" w:rsidRPr="0099428A" w:rsidRDefault="00BA318D" w:rsidP="000336A9">
            <w:pPr>
              <w:numPr>
                <w:ilvl w:val="0"/>
                <w:numId w:val="3"/>
              </w:numPr>
              <w:suppressAutoHyphens/>
              <w:autoSpaceDE w:val="0"/>
              <w:autoSpaceDN w:val="0"/>
              <w:adjustRightInd w:val="0"/>
              <w:spacing w:after="200" w:line="276" w:lineRule="auto"/>
              <w:textAlignment w:val="center"/>
              <w:rPr>
                <w:color w:val="000000"/>
                <w:sz w:val="20"/>
                <w:szCs w:val="20"/>
              </w:rPr>
            </w:pPr>
          </w:p>
        </w:tc>
        <w:tc>
          <w:tcPr>
            <w:tcW w:w="643" w:type="pct"/>
            <w:shd w:val="clear" w:color="auto" w:fill="auto"/>
            <w:tcMar>
              <w:top w:w="90" w:type="dxa"/>
              <w:left w:w="90" w:type="dxa"/>
              <w:bottom w:w="90" w:type="dxa"/>
              <w:right w:w="90" w:type="dxa"/>
            </w:tcMar>
            <w:vAlign w:val="center"/>
          </w:tcPr>
          <w:p w:rsidR="00BA318D" w:rsidRPr="0099428A" w:rsidRDefault="00BA318D" w:rsidP="000336A9">
            <w:pPr>
              <w:suppressAutoHyphens/>
              <w:autoSpaceDE w:val="0"/>
              <w:autoSpaceDN w:val="0"/>
              <w:adjustRightInd w:val="0"/>
              <w:jc w:val="center"/>
              <w:textAlignment w:val="center"/>
              <w:rPr>
                <w:color w:val="000000"/>
                <w:sz w:val="20"/>
                <w:szCs w:val="20"/>
              </w:rPr>
            </w:pPr>
            <w:r w:rsidRPr="0099428A">
              <w:rPr>
                <w:color w:val="000000"/>
                <w:sz w:val="20"/>
                <w:szCs w:val="20"/>
              </w:rPr>
              <w:t>State</w:t>
            </w:r>
          </w:p>
        </w:tc>
        <w:tc>
          <w:tcPr>
            <w:tcW w:w="556" w:type="pct"/>
            <w:shd w:val="clear" w:color="auto" w:fill="auto"/>
            <w:vAlign w:val="center"/>
          </w:tcPr>
          <w:p w:rsidR="00BA318D" w:rsidRPr="0099428A" w:rsidRDefault="00BA318D" w:rsidP="000336A9">
            <w:pPr>
              <w:suppressAutoHyphens/>
              <w:autoSpaceDE w:val="0"/>
              <w:autoSpaceDN w:val="0"/>
              <w:adjustRightInd w:val="0"/>
              <w:jc w:val="center"/>
              <w:textAlignment w:val="center"/>
              <w:rPr>
                <w:color w:val="000000"/>
                <w:sz w:val="20"/>
                <w:szCs w:val="20"/>
              </w:rPr>
            </w:pPr>
          </w:p>
        </w:tc>
        <w:tc>
          <w:tcPr>
            <w:tcW w:w="1576" w:type="pct"/>
            <w:vMerge/>
            <w:shd w:val="clear" w:color="auto" w:fill="auto"/>
            <w:tcMar>
              <w:top w:w="90" w:type="dxa"/>
              <w:left w:w="90" w:type="dxa"/>
              <w:bottom w:w="90" w:type="dxa"/>
              <w:right w:w="90" w:type="dxa"/>
            </w:tcMar>
          </w:tcPr>
          <w:p w:rsidR="00BA318D" w:rsidRPr="0099428A" w:rsidRDefault="00BA318D" w:rsidP="000336A9">
            <w:pPr>
              <w:numPr>
                <w:ilvl w:val="0"/>
                <w:numId w:val="3"/>
              </w:numPr>
              <w:suppressAutoHyphens/>
              <w:autoSpaceDE w:val="0"/>
              <w:autoSpaceDN w:val="0"/>
              <w:adjustRightInd w:val="0"/>
              <w:spacing w:after="200" w:line="276" w:lineRule="auto"/>
              <w:textAlignment w:val="center"/>
              <w:rPr>
                <w:color w:val="000000"/>
                <w:sz w:val="20"/>
                <w:szCs w:val="20"/>
              </w:rPr>
            </w:pPr>
          </w:p>
        </w:tc>
        <w:tc>
          <w:tcPr>
            <w:tcW w:w="530" w:type="pct"/>
            <w:vMerge/>
            <w:shd w:val="clear" w:color="auto" w:fill="auto"/>
            <w:tcMar>
              <w:top w:w="90" w:type="dxa"/>
              <w:left w:w="90" w:type="dxa"/>
              <w:bottom w:w="90" w:type="dxa"/>
              <w:right w:w="90" w:type="dxa"/>
            </w:tcMar>
          </w:tcPr>
          <w:p w:rsidR="00BA318D" w:rsidRPr="0099428A" w:rsidRDefault="00BA318D" w:rsidP="000336A9">
            <w:pPr>
              <w:suppressAutoHyphens/>
              <w:autoSpaceDE w:val="0"/>
              <w:autoSpaceDN w:val="0"/>
              <w:adjustRightInd w:val="0"/>
              <w:jc w:val="center"/>
              <w:textAlignment w:val="center"/>
              <w:rPr>
                <w:color w:val="000000"/>
                <w:sz w:val="20"/>
                <w:szCs w:val="20"/>
              </w:rPr>
            </w:pPr>
          </w:p>
        </w:tc>
      </w:tr>
      <w:tr w:rsidR="00BA318D" w:rsidRPr="0099428A" w:rsidTr="00E133AB">
        <w:trPr>
          <w:trHeight w:val="539"/>
          <w:jc w:val="center"/>
        </w:trPr>
        <w:tc>
          <w:tcPr>
            <w:tcW w:w="1695" w:type="pct"/>
            <w:vMerge/>
            <w:shd w:val="clear" w:color="auto" w:fill="auto"/>
            <w:tcMar>
              <w:top w:w="90" w:type="dxa"/>
              <w:left w:w="90" w:type="dxa"/>
              <w:bottom w:w="90" w:type="dxa"/>
              <w:right w:w="90" w:type="dxa"/>
            </w:tcMar>
          </w:tcPr>
          <w:p w:rsidR="00BA318D" w:rsidRPr="0099428A" w:rsidRDefault="00BA318D" w:rsidP="000336A9">
            <w:pPr>
              <w:numPr>
                <w:ilvl w:val="0"/>
                <w:numId w:val="3"/>
              </w:numPr>
              <w:suppressAutoHyphens/>
              <w:autoSpaceDE w:val="0"/>
              <w:autoSpaceDN w:val="0"/>
              <w:adjustRightInd w:val="0"/>
              <w:spacing w:after="200" w:line="276" w:lineRule="auto"/>
              <w:textAlignment w:val="center"/>
              <w:rPr>
                <w:color w:val="000000"/>
                <w:sz w:val="20"/>
                <w:szCs w:val="20"/>
              </w:rPr>
            </w:pPr>
          </w:p>
        </w:tc>
        <w:tc>
          <w:tcPr>
            <w:tcW w:w="643" w:type="pct"/>
            <w:shd w:val="clear" w:color="auto" w:fill="auto"/>
            <w:tcMar>
              <w:top w:w="90" w:type="dxa"/>
              <w:left w:w="90" w:type="dxa"/>
              <w:bottom w:w="90" w:type="dxa"/>
              <w:right w:w="90" w:type="dxa"/>
            </w:tcMar>
            <w:vAlign w:val="center"/>
          </w:tcPr>
          <w:p w:rsidR="00BA318D" w:rsidRPr="0099428A" w:rsidRDefault="00BA318D" w:rsidP="000336A9">
            <w:pPr>
              <w:suppressAutoHyphens/>
              <w:autoSpaceDE w:val="0"/>
              <w:autoSpaceDN w:val="0"/>
              <w:adjustRightInd w:val="0"/>
              <w:jc w:val="center"/>
              <w:textAlignment w:val="center"/>
              <w:rPr>
                <w:color w:val="000000"/>
                <w:sz w:val="20"/>
                <w:szCs w:val="20"/>
              </w:rPr>
            </w:pPr>
            <w:r w:rsidRPr="0099428A">
              <w:rPr>
                <w:color w:val="000000"/>
                <w:sz w:val="20"/>
                <w:szCs w:val="20"/>
              </w:rPr>
              <w:t>Voter</w:t>
            </w:r>
          </w:p>
        </w:tc>
        <w:tc>
          <w:tcPr>
            <w:tcW w:w="556" w:type="pct"/>
            <w:shd w:val="clear" w:color="auto" w:fill="auto"/>
            <w:vAlign w:val="center"/>
          </w:tcPr>
          <w:p w:rsidR="00BA318D" w:rsidRPr="0099428A" w:rsidRDefault="00BA318D" w:rsidP="000336A9">
            <w:pPr>
              <w:suppressAutoHyphens/>
              <w:autoSpaceDE w:val="0"/>
              <w:autoSpaceDN w:val="0"/>
              <w:adjustRightInd w:val="0"/>
              <w:jc w:val="center"/>
              <w:textAlignment w:val="center"/>
              <w:rPr>
                <w:color w:val="000000"/>
                <w:sz w:val="20"/>
                <w:szCs w:val="20"/>
              </w:rPr>
            </w:pPr>
          </w:p>
        </w:tc>
        <w:tc>
          <w:tcPr>
            <w:tcW w:w="1576" w:type="pct"/>
            <w:vMerge/>
            <w:shd w:val="clear" w:color="auto" w:fill="auto"/>
            <w:tcMar>
              <w:top w:w="90" w:type="dxa"/>
              <w:left w:w="90" w:type="dxa"/>
              <w:bottom w:w="90" w:type="dxa"/>
              <w:right w:w="90" w:type="dxa"/>
            </w:tcMar>
          </w:tcPr>
          <w:p w:rsidR="00BA318D" w:rsidRPr="0099428A" w:rsidRDefault="00BA318D" w:rsidP="000336A9">
            <w:pPr>
              <w:numPr>
                <w:ilvl w:val="0"/>
                <w:numId w:val="3"/>
              </w:numPr>
              <w:suppressAutoHyphens/>
              <w:autoSpaceDE w:val="0"/>
              <w:autoSpaceDN w:val="0"/>
              <w:adjustRightInd w:val="0"/>
              <w:spacing w:after="200" w:line="276" w:lineRule="auto"/>
              <w:textAlignment w:val="center"/>
              <w:rPr>
                <w:color w:val="000000"/>
                <w:sz w:val="20"/>
                <w:szCs w:val="20"/>
              </w:rPr>
            </w:pPr>
          </w:p>
        </w:tc>
        <w:tc>
          <w:tcPr>
            <w:tcW w:w="530" w:type="pct"/>
            <w:vMerge/>
            <w:shd w:val="clear" w:color="auto" w:fill="auto"/>
            <w:tcMar>
              <w:top w:w="90" w:type="dxa"/>
              <w:left w:w="90" w:type="dxa"/>
              <w:bottom w:w="90" w:type="dxa"/>
              <w:right w:w="90" w:type="dxa"/>
            </w:tcMar>
          </w:tcPr>
          <w:p w:rsidR="00BA318D" w:rsidRPr="0099428A" w:rsidRDefault="00BA318D" w:rsidP="000336A9">
            <w:pPr>
              <w:suppressAutoHyphens/>
              <w:autoSpaceDE w:val="0"/>
              <w:autoSpaceDN w:val="0"/>
              <w:adjustRightInd w:val="0"/>
              <w:jc w:val="center"/>
              <w:textAlignment w:val="center"/>
              <w:rPr>
                <w:color w:val="000000"/>
                <w:sz w:val="20"/>
                <w:szCs w:val="20"/>
              </w:rPr>
            </w:pPr>
          </w:p>
        </w:tc>
      </w:tr>
      <w:tr w:rsidR="00BA318D" w:rsidRPr="0099428A" w:rsidTr="00E133AB">
        <w:trPr>
          <w:trHeight w:val="440"/>
          <w:jc w:val="center"/>
        </w:trPr>
        <w:tc>
          <w:tcPr>
            <w:tcW w:w="1695" w:type="pct"/>
            <w:vMerge w:val="restart"/>
            <w:shd w:val="clear" w:color="auto" w:fill="auto"/>
            <w:tcMar>
              <w:top w:w="90" w:type="dxa"/>
              <w:left w:w="90" w:type="dxa"/>
              <w:bottom w:w="90" w:type="dxa"/>
              <w:right w:w="90" w:type="dxa"/>
            </w:tcMar>
          </w:tcPr>
          <w:p w:rsidR="00BA318D" w:rsidRPr="0099428A" w:rsidRDefault="00BA318D" w:rsidP="000336A9">
            <w:pPr>
              <w:numPr>
                <w:ilvl w:val="0"/>
                <w:numId w:val="3"/>
              </w:numPr>
              <w:suppressAutoHyphens/>
              <w:autoSpaceDE w:val="0"/>
              <w:autoSpaceDN w:val="0"/>
              <w:adjustRightInd w:val="0"/>
              <w:spacing w:after="200" w:line="276" w:lineRule="auto"/>
              <w:textAlignment w:val="center"/>
              <w:rPr>
                <w:color w:val="000000"/>
                <w:sz w:val="20"/>
                <w:szCs w:val="20"/>
              </w:rPr>
            </w:pPr>
            <w:r w:rsidRPr="0099428A">
              <w:rPr>
                <w:color w:val="000000"/>
                <w:sz w:val="20"/>
                <w:szCs w:val="20"/>
              </w:rPr>
              <w:t>Complete Programmatic EIR as part of policy adoption to reduce opportunities for legal challenges</w:t>
            </w:r>
          </w:p>
        </w:tc>
        <w:tc>
          <w:tcPr>
            <w:tcW w:w="643" w:type="pct"/>
            <w:shd w:val="clear" w:color="auto" w:fill="auto"/>
            <w:tcMar>
              <w:top w:w="90" w:type="dxa"/>
              <w:left w:w="90" w:type="dxa"/>
              <w:bottom w:w="90" w:type="dxa"/>
              <w:right w:w="90" w:type="dxa"/>
            </w:tcMar>
            <w:vAlign w:val="center"/>
          </w:tcPr>
          <w:p w:rsidR="00BA318D" w:rsidRPr="0099428A" w:rsidRDefault="00BA318D" w:rsidP="000336A9">
            <w:pPr>
              <w:suppressAutoHyphens/>
              <w:autoSpaceDE w:val="0"/>
              <w:autoSpaceDN w:val="0"/>
              <w:adjustRightInd w:val="0"/>
              <w:jc w:val="center"/>
              <w:textAlignment w:val="center"/>
              <w:rPr>
                <w:color w:val="000000"/>
                <w:sz w:val="20"/>
                <w:szCs w:val="20"/>
              </w:rPr>
            </w:pPr>
            <w:r w:rsidRPr="0099428A">
              <w:rPr>
                <w:color w:val="000000"/>
                <w:sz w:val="20"/>
                <w:szCs w:val="20"/>
              </w:rPr>
              <w:t>Local</w:t>
            </w:r>
          </w:p>
        </w:tc>
        <w:tc>
          <w:tcPr>
            <w:tcW w:w="556" w:type="pct"/>
            <w:shd w:val="clear" w:color="auto" w:fill="auto"/>
            <w:vAlign w:val="center"/>
          </w:tcPr>
          <w:p w:rsidR="00BA318D" w:rsidRPr="0099428A" w:rsidRDefault="00BA318D" w:rsidP="000336A9">
            <w:pPr>
              <w:suppressAutoHyphens/>
              <w:autoSpaceDE w:val="0"/>
              <w:autoSpaceDN w:val="0"/>
              <w:adjustRightInd w:val="0"/>
              <w:jc w:val="center"/>
              <w:textAlignment w:val="center"/>
              <w:rPr>
                <w:color w:val="000000"/>
                <w:sz w:val="20"/>
                <w:szCs w:val="20"/>
              </w:rPr>
            </w:pPr>
            <w:r>
              <w:rPr>
                <w:color w:val="000000"/>
                <w:sz w:val="20"/>
                <w:szCs w:val="20"/>
              </w:rPr>
              <w:t>X</w:t>
            </w:r>
          </w:p>
        </w:tc>
        <w:tc>
          <w:tcPr>
            <w:tcW w:w="1576" w:type="pct"/>
            <w:vMerge w:val="restart"/>
            <w:shd w:val="clear" w:color="auto" w:fill="auto"/>
            <w:tcMar>
              <w:top w:w="90" w:type="dxa"/>
              <w:left w:w="90" w:type="dxa"/>
              <w:bottom w:w="90" w:type="dxa"/>
              <w:right w:w="90" w:type="dxa"/>
            </w:tcMar>
          </w:tcPr>
          <w:p w:rsidR="00BA318D" w:rsidRPr="0099428A" w:rsidRDefault="00BA318D" w:rsidP="000336A9">
            <w:pPr>
              <w:numPr>
                <w:ilvl w:val="0"/>
                <w:numId w:val="3"/>
              </w:numPr>
              <w:suppressAutoHyphens/>
              <w:autoSpaceDE w:val="0"/>
              <w:autoSpaceDN w:val="0"/>
              <w:adjustRightInd w:val="0"/>
              <w:spacing w:after="200" w:line="276" w:lineRule="auto"/>
              <w:textAlignment w:val="center"/>
              <w:rPr>
                <w:color w:val="000000"/>
                <w:sz w:val="20"/>
                <w:szCs w:val="20"/>
              </w:rPr>
            </w:pPr>
            <w:r w:rsidRPr="0099428A">
              <w:rPr>
                <w:color w:val="000000"/>
                <w:sz w:val="20"/>
                <w:szCs w:val="20"/>
              </w:rPr>
              <w:t>Greater predictability in the development process</w:t>
            </w:r>
            <w:r>
              <w:rPr>
                <w:color w:val="000000"/>
                <w:sz w:val="20"/>
                <w:szCs w:val="20"/>
              </w:rPr>
              <w:t>.</w:t>
            </w:r>
          </w:p>
          <w:p w:rsidR="00BA318D" w:rsidRPr="0099428A" w:rsidRDefault="00BA318D" w:rsidP="000336A9">
            <w:pPr>
              <w:numPr>
                <w:ilvl w:val="0"/>
                <w:numId w:val="3"/>
              </w:numPr>
              <w:suppressAutoHyphens/>
              <w:autoSpaceDE w:val="0"/>
              <w:autoSpaceDN w:val="0"/>
              <w:adjustRightInd w:val="0"/>
              <w:spacing w:after="200" w:line="276" w:lineRule="auto"/>
              <w:textAlignment w:val="center"/>
              <w:rPr>
                <w:color w:val="000000"/>
                <w:sz w:val="20"/>
                <w:szCs w:val="20"/>
              </w:rPr>
            </w:pPr>
            <w:r w:rsidRPr="0099428A">
              <w:rPr>
                <w:color w:val="000000"/>
                <w:sz w:val="20"/>
                <w:szCs w:val="20"/>
              </w:rPr>
              <w:t>Reduces legal costs</w:t>
            </w:r>
            <w:r>
              <w:rPr>
                <w:color w:val="000000"/>
                <w:sz w:val="20"/>
                <w:szCs w:val="20"/>
              </w:rPr>
              <w:t>.</w:t>
            </w:r>
          </w:p>
        </w:tc>
        <w:tc>
          <w:tcPr>
            <w:tcW w:w="530" w:type="pct"/>
            <w:vMerge w:val="restart"/>
            <w:shd w:val="clear" w:color="auto" w:fill="auto"/>
            <w:tcMar>
              <w:top w:w="90" w:type="dxa"/>
              <w:left w:w="90" w:type="dxa"/>
              <w:bottom w:w="90" w:type="dxa"/>
              <w:right w:w="90" w:type="dxa"/>
            </w:tcMar>
          </w:tcPr>
          <w:p w:rsidR="00BA318D" w:rsidRPr="0099428A" w:rsidRDefault="00BA318D" w:rsidP="000336A9">
            <w:pPr>
              <w:rPr>
                <w:sz w:val="20"/>
                <w:szCs w:val="20"/>
              </w:rPr>
            </w:pPr>
          </w:p>
        </w:tc>
      </w:tr>
      <w:tr w:rsidR="00BA318D" w:rsidRPr="0099428A" w:rsidTr="00E133AB">
        <w:trPr>
          <w:trHeight w:val="521"/>
          <w:jc w:val="center"/>
        </w:trPr>
        <w:tc>
          <w:tcPr>
            <w:tcW w:w="1695" w:type="pct"/>
            <w:vMerge/>
            <w:shd w:val="clear" w:color="auto" w:fill="auto"/>
            <w:tcMar>
              <w:top w:w="90" w:type="dxa"/>
              <w:left w:w="90" w:type="dxa"/>
              <w:bottom w:w="90" w:type="dxa"/>
              <w:right w:w="90" w:type="dxa"/>
            </w:tcMar>
          </w:tcPr>
          <w:p w:rsidR="00BA318D" w:rsidRPr="0099428A" w:rsidRDefault="00BA318D" w:rsidP="000336A9">
            <w:pPr>
              <w:numPr>
                <w:ilvl w:val="0"/>
                <w:numId w:val="3"/>
              </w:numPr>
              <w:suppressAutoHyphens/>
              <w:autoSpaceDE w:val="0"/>
              <w:autoSpaceDN w:val="0"/>
              <w:adjustRightInd w:val="0"/>
              <w:spacing w:after="200" w:line="276" w:lineRule="auto"/>
              <w:textAlignment w:val="center"/>
              <w:rPr>
                <w:color w:val="000000"/>
                <w:sz w:val="20"/>
                <w:szCs w:val="20"/>
              </w:rPr>
            </w:pPr>
          </w:p>
        </w:tc>
        <w:tc>
          <w:tcPr>
            <w:tcW w:w="643" w:type="pct"/>
            <w:shd w:val="clear" w:color="auto" w:fill="auto"/>
            <w:tcMar>
              <w:top w:w="90" w:type="dxa"/>
              <w:left w:w="90" w:type="dxa"/>
              <w:bottom w:w="90" w:type="dxa"/>
              <w:right w:w="90" w:type="dxa"/>
            </w:tcMar>
            <w:vAlign w:val="center"/>
          </w:tcPr>
          <w:p w:rsidR="00BA318D" w:rsidRPr="0099428A" w:rsidRDefault="00BA318D" w:rsidP="000336A9">
            <w:pPr>
              <w:suppressAutoHyphens/>
              <w:autoSpaceDE w:val="0"/>
              <w:autoSpaceDN w:val="0"/>
              <w:adjustRightInd w:val="0"/>
              <w:jc w:val="center"/>
              <w:textAlignment w:val="center"/>
              <w:rPr>
                <w:color w:val="000000"/>
                <w:sz w:val="20"/>
                <w:szCs w:val="20"/>
              </w:rPr>
            </w:pPr>
            <w:r w:rsidRPr="0099428A">
              <w:rPr>
                <w:color w:val="000000"/>
                <w:sz w:val="20"/>
                <w:szCs w:val="20"/>
              </w:rPr>
              <w:t>State</w:t>
            </w:r>
          </w:p>
        </w:tc>
        <w:tc>
          <w:tcPr>
            <w:tcW w:w="556" w:type="pct"/>
            <w:shd w:val="clear" w:color="auto" w:fill="auto"/>
            <w:vAlign w:val="center"/>
          </w:tcPr>
          <w:p w:rsidR="00BA318D" w:rsidRPr="0099428A" w:rsidRDefault="00BA318D" w:rsidP="000336A9">
            <w:pPr>
              <w:suppressAutoHyphens/>
              <w:autoSpaceDE w:val="0"/>
              <w:autoSpaceDN w:val="0"/>
              <w:adjustRightInd w:val="0"/>
              <w:jc w:val="center"/>
              <w:textAlignment w:val="center"/>
              <w:rPr>
                <w:color w:val="000000"/>
                <w:sz w:val="20"/>
                <w:szCs w:val="20"/>
              </w:rPr>
            </w:pPr>
          </w:p>
        </w:tc>
        <w:tc>
          <w:tcPr>
            <w:tcW w:w="1576" w:type="pct"/>
            <w:vMerge/>
            <w:shd w:val="clear" w:color="auto" w:fill="auto"/>
            <w:tcMar>
              <w:top w:w="90" w:type="dxa"/>
              <w:left w:w="90" w:type="dxa"/>
              <w:bottom w:w="90" w:type="dxa"/>
              <w:right w:w="90" w:type="dxa"/>
            </w:tcMar>
          </w:tcPr>
          <w:p w:rsidR="00BA318D" w:rsidRPr="0099428A" w:rsidRDefault="00BA318D" w:rsidP="000336A9">
            <w:pPr>
              <w:numPr>
                <w:ilvl w:val="0"/>
                <w:numId w:val="3"/>
              </w:numPr>
              <w:suppressAutoHyphens/>
              <w:autoSpaceDE w:val="0"/>
              <w:autoSpaceDN w:val="0"/>
              <w:adjustRightInd w:val="0"/>
              <w:spacing w:after="200" w:line="276" w:lineRule="auto"/>
              <w:textAlignment w:val="center"/>
              <w:rPr>
                <w:color w:val="000000"/>
                <w:sz w:val="20"/>
                <w:szCs w:val="20"/>
              </w:rPr>
            </w:pPr>
          </w:p>
        </w:tc>
        <w:tc>
          <w:tcPr>
            <w:tcW w:w="530" w:type="pct"/>
            <w:vMerge/>
            <w:shd w:val="clear" w:color="auto" w:fill="auto"/>
            <w:tcMar>
              <w:top w:w="90" w:type="dxa"/>
              <w:left w:w="90" w:type="dxa"/>
              <w:bottom w:w="90" w:type="dxa"/>
              <w:right w:w="90" w:type="dxa"/>
            </w:tcMar>
          </w:tcPr>
          <w:p w:rsidR="00BA318D" w:rsidRPr="0099428A" w:rsidRDefault="00BA318D" w:rsidP="000336A9">
            <w:pPr>
              <w:rPr>
                <w:sz w:val="20"/>
                <w:szCs w:val="20"/>
              </w:rPr>
            </w:pPr>
          </w:p>
        </w:tc>
      </w:tr>
      <w:tr w:rsidR="00BA318D" w:rsidRPr="0099428A" w:rsidTr="00E133AB">
        <w:trPr>
          <w:trHeight w:val="440"/>
          <w:jc w:val="center"/>
        </w:trPr>
        <w:tc>
          <w:tcPr>
            <w:tcW w:w="1695" w:type="pct"/>
            <w:vMerge/>
            <w:shd w:val="clear" w:color="auto" w:fill="auto"/>
            <w:tcMar>
              <w:top w:w="90" w:type="dxa"/>
              <w:left w:w="90" w:type="dxa"/>
              <w:bottom w:w="90" w:type="dxa"/>
              <w:right w:w="90" w:type="dxa"/>
            </w:tcMar>
          </w:tcPr>
          <w:p w:rsidR="00BA318D" w:rsidRPr="0099428A" w:rsidRDefault="00BA318D" w:rsidP="000336A9">
            <w:pPr>
              <w:numPr>
                <w:ilvl w:val="0"/>
                <w:numId w:val="3"/>
              </w:numPr>
              <w:suppressAutoHyphens/>
              <w:autoSpaceDE w:val="0"/>
              <w:autoSpaceDN w:val="0"/>
              <w:adjustRightInd w:val="0"/>
              <w:spacing w:after="200" w:line="276" w:lineRule="auto"/>
              <w:textAlignment w:val="center"/>
              <w:rPr>
                <w:color w:val="000000"/>
                <w:sz w:val="20"/>
                <w:szCs w:val="20"/>
              </w:rPr>
            </w:pPr>
          </w:p>
        </w:tc>
        <w:tc>
          <w:tcPr>
            <w:tcW w:w="643" w:type="pct"/>
            <w:shd w:val="clear" w:color="auto" w:fill="auto"/>
            <w:tcMar>
              <w:top w:w="90" w:type="dxa"/>
              <w:left w:w="90" w:type="dxa"/>
              <w:bottom w:w="90" w:type="dxa"/>
              <w:right w:w="90" w:type="dxa"/>
            </w:tcMar>
            <w:vAlign w:val="center"/>
          </w:tcPr>
          <w:p w:rsidR="00BA318D" w:rsidRPr="0099428A" w:rsidRDefault="00BA318D" w:rsidP="000336A9">
            <w:pPr>
              <w:suppressAutoHyphens/>
              <w:autoSpaceDE w:val="0"/>
              <w:autoSpaceDN w:val="0"/>
              <w:adjustRightInd w:val="0"/>
              <w:jc w:val="center"/>
              <w:textAlignment w:val="center"/>
              <w:rPr>
                <w:color w:val="000000"/>
                <w:sz w:val="20"/>
                <w:szCs w:val="20"/>
              </w:rPr>
            </w:pPr>
            <w:r w:rsidRPr="0099428A">
              <w:rPr>
                <w:color w:val="000000"/>
                <w:sz w:val="20"/>
                <w:szCs w:val="20"/>
              </w:rPr>
              <w:t>Voter</w:t>
            </w:r>
          </w:p>
        </w:tc>
        <w:tc>
          <w:tcPr>
            <w:tcW w:w="556" w:type="pct"/>
            <w:shd w:val="clear" w:color="auto" w:fill="auto"/>
            <w:vAlign w:val="center"/>
          </w:tcPr>
          <w:p w:rsidR="00BA318D" w:rsidRPr="0099428A" w:rsidRDefault="00BA318D" w:rsidP="000336A9">
            <w:pPr>
              <w:suppressAutoHyphens/>
              <w:autoSpaceDE w:val="0"/>
              <w:autoSpaceDN w:val="0"/>
              <w:adjustRightInd w:val="0"/>
              <w:jc w:val="center"/>
              <w:textAlignment w:val="center"/>
              <w:rPr>
                <w:color w:val="000000"/>
                <w:sz w:val="20"/>
                <w:szCs w:val="20"/>
              </w:rPr>
            </w:pPr>
          </w:p>
        </w:tc>
        <w:tc>
          <w:tcPr>
            <w:tcW w:w="1576" w:type="pct"/>
            <w:vMerge/>
            <w:shd w:val="clear" w:color="auto" w:fill="auto"/>
            <w:tcMar>
              <w:top w:w="90" w:type="dxa"/>
              <w:left w:w="90" w:type="dxa"/>
              <w:bottom w:w="90" w:type="dxa"/>
              <w:right w:w="90" w:type="dxa"/>
            </w:tcMar>
          </w:tcPr>
          <w:p w:rsidR="00BA318D" w:rsidRPr="0099428A" w:rsidRDefault="00BA318D" w:rsidP="000336A9">
            <w:pPr>
              <w:numPr>
                <w:ilvl w:val="0"/>
                <w:numId w:val="3"/>
              </w:numPr>
              <w:suppressAutoHyphens/>
              <w:autoSpaceDE w:val="0"/>
              <w:autoSpaceDN w:val="0"/>
              <w:adjustRightInd w:val="0"/>
              <w:spacing w:after="200" w:line="276" w:lineRule="auto"/>
              <w:textAlignment w:val="center"/>
              <w:rPr>
                <w:color w:val="000000"/>
                <w:sz w:val="20"/>
                <w:szCs w:val="20"/>
              </w:rPr>
            </w:pPr>
          </w:p>
        </w:tc>
        <w:tc>
          <w:tcPr>
            <w:tcW w:w="530" w:type="pct"/>
            <w:vMerge/>
            <w:shd w:val="clear" w:color="auto" w:fill="auto"/>
            <w:tcMar>
              <w:top w:w="90" w:type="dxa"/>
              <w:left w:w="90" w:type="dxa"/>
              <w:bottom w:w="90" w:type="dxa"/>
              <w:right w:w="90" w:type="dxa"/>
            </w:tcMar>
          </w:tcPr>
          <w:p w:rsidR="00BA318D" w:rsidRPr="0099428A" w:rsidRDefault="00BA318D" w:rsidP="000336A9">
            <w:pPr>
              <w:rPr>
                <w:sz w:val="20"/>
                <w:szCs w:val="20"/>
              </w:rPr>
            </w:pPr>
          </w:p>
        </w:tc>
      </w:tr>
      <w:tr w:rsidR="00BA318D" w:rsidRPr="0099428A" w:rsidTr="00E133AB">
        <w:trPr>
          <w:trHeight w:val="539"/>
          <w:jc w:val="center"/>
        </w:trPr>
        <w:tc>
          <w:tcPr>
            <w:tcW w:w="1695" w:type="pct"/>
            <w:vMerge w:val="restart"/>
            <w:shd w:val="clear" w:color="auto" w:fill="auto"/>
            <w:tcMar>
              <w:top w:w="90" w:type="dxa"/>
              <w:left w:w="90" w:type="dxa"/>
              <w:bottom w:w="90" w:type="dxa"/>
              <w:right w:w="90" w:type="dxa"/>
            </w:tcMar>
          </w:tcPr>
          <w:p w:rsidR="00BA318D" w:rsidRPr="0099428A" w:rsidRDefault="00BA318D" w:rsidP="000336A9">
            <w:pPr>
              <w:numPr>
                <w:ilvl w:val="0"/>
                <w:numId w:val="3"/>
              </w:numPr>
              <w:suppressAutoHyphens/>
              <w:autoSpaceDE w:val="0"/>
              <w:autoSpaceDN w:val="0"/>
              <w:adjustRightInd w:val="0"/>
              <w:spacing w:after="200" w:line="276" w:lineRule="auto"/>
              <w:textAlignment w:val="center"/>
              <w:rPr>
                <w:color w:val="000000"/>
                <w:sz w:val="20"/>
                <w:szCs w:val="20"/>
              </w:rPr>
            </w:pPr>
            <w:r w:rsidRPr="0099428A">
              <w:rPr>
                <w:color w:val="000000"/>
                <w:sz w:val="20"/>
                <w:szCs w:val="20"/>
              </w:rPr>
              <w:t>Clarify land use documents to show where affordable housing is allowed by-right</w:t>
            </w:r>
          </w:p>
        </w:tc>
        <w:tc>
          <w:tcPr>
            <w:tcW w:w="643" w:type="pct"/>
            <w:tcBorders>
              <w:bottom w:val="single" w:sz="4" w:space="0" w:color="000000"/>
            </w:tcBorders>
            <w:shd w:val="clear" w:color="auto" w:fill="auto"/>
            <w:tcMar>
              <w:top w:w="90" w:type="dxa"/>
              <w:left w:w="90" w:type="dxa"/>
              <w:bottom w:w="90" w:type="dxa"/>
              <w:right w:w="90" w:type="dxa"/>
            </w:tcMar>
            <w:vAlign w:val="center"/>
          </w:tcPr>
          <w:p w:rsidR="00BA318D" w:rsidRPr="0099428A" w:rsidRDefault="00BA318D" w:rsidP="000336A9">
            <w:pPr>
              <w:suppressAutoHyphens/>
              <w:autoSpaceDE w:val="0"/>
              <w:autoSpaceDN w:val="0"/>
              <w:adjustRightInd w:val="0"/>
              <w:jc w:val="center"/>
              <w:textAlignment w:val="center"/>
              <w:rPr>
                <w:color w:val="000000"/>
                <w:sz w:val="20"/>
                <w:szCs w:val="20"/>
              </w:rPr>
            </w:pPr>
            <w:r w:rsidRPr="0099428A">
              <w:rPr>
                <w:color w:val="000000"/>
                <w:sz w:val="20"/>
                <w:szCs w:val="20"/>
              </w:rPr>
              <w:t>Local</w:t>
            </w:r>
          </w:p>
        </w:tc>
        <w:tc>
          <w:tcPr>
            <w:tcW w:w="556" w:type="pct"/>
            <w:tcBorders>
              <w:bottom w:val="single" w:sz="4" w:space="0" w:color="000000"/>
            </w:tcBorders>
            <w:shd w:val="clear" w:color="auto" w:fill="auto"/>
            <w:vAlign w:val="center"/>
          </w:tcPr>
          <w:p w:rsidR="00BA318D" w:rsidRPr="0099428A" w:rsidRDefault="00BA318D" w:rsidP="000336A9">
            <w:pPr>
              <w:suppressAutoHyphens/>
              <w:autoSpaceDE w:val="0"/>
              <w:autoSpaceDN w:val="0"/>
              <w:adjustRightInd w:val="0"/>
              <w:jc w:val="center"/>
              <w:textAlignment w:val="center"/>
              <w:rPr>
                <w:color w:val="000000"/>
                <w:sz w:val="20"/>
                <w:szCs w:val="20"/>
              </w:rPr>
            </w:pPr>
            <w:r>
              <w:rPr>
                <w:color w:val="000000"/>
                <w:sz w:val="20"/>
                <w:szCs w:val="20"/>
              </w:rPr>
              <w:t>X</w:t>
            </w:r>
          </w:p>
        </w:tc>
        <w:tc>
          <w:tcPr>
            <w:tcW w:w="1576" w:type="pct"/>
            <w:vMerge w:val="restart"/>
            <w:shd w:val="clear" w:color="auto" w:fill="auto"/>
            <w:tcMar>
              <w:top w:w="90" w:type="dxa"/>
              <w:left w:w="90" w:type="dxa"/>
              <w:bottom w:w="90" w:type="dxa"/>
              <w:right w:w="90" w:type="dxa"/>
            </w:tcMar>
          </w:tcPr>
          <w:p w:rsidR="00BA318D" w:rsidRPr="0099428A" w:rsidRDefault="00BA318D" w:rsidP="000336A9">
            <w:pPr>
              <w:numPr>
                <w:ilvl w:val="0"/>
                <w:numId w:val="3"/>
              </w:numPr>
              <w:suppressAutoHyphens/>
              <w:autoSpaceDE w:val="0"/>
              <w:autoSpaceDN w:val="0"/>
              <w:adjustRightInd w:val="0"/>
              <w:spacing w:after="200" w:line="276" w:lineRule="auto"/>
              <w:textAlignment w:val="center"/>
              <w:rPr>
                <w:color w:val="000000"/>
                <w:sz w:val="20"/>
                <w:szCs w:val="20"/>
              </w:rPr>
            </w:pPr>
            <w:r w:rsidRPr="0099428A">
              <w:rPr>
                <w:color w:val="000000"/>
                <w:sz w:val="20"/>
                <w:szCs w:val="20"/>
              </w:rPr>
              <w:t>Communicate where affordable housing may be built in the community to catalyze development projects</w:t>
            </w:r>
            <w:r>
              <w:rPr>
                <w:color w:val="000000"/>
                <w:sz w:val="20"/>
                <w:szCs w:val="20"/>
              </w:rPr>
              <w:t>.</w:t>
            </w:r>
          </w:p>
        </w:tc>
        <w:tc>
          <w:tcPr>
            <w:tcW w:w="530" w:type="pct"/>
            <w:vMerge w:val="restart"/>
            <w:shd w:val="clear" w:color="auto" w:fill="auto"/>
            <w:tcMar>
              <w:top w:w="90" w:type="dxa"/>
              <w:left w:w="90" w:type="dxa"/>
              <w:bottom w:w="90" w:type="dxa"/>
              <w:right w:w="90" w:type="dxa"/>
            </w:tcMar>
          </w:tcPr>
          <w:p w:rsidR="00BA318D" w:rsidRPr="0099428A" w:rsidRDefault="00BA318D" w:rsidP="000336A9">
            <w:pPr>
              <w:rPr>
                <w:sz w:val="20"/>
                <w:szCs w:val="20"/>
              </w:rPr>
            </w:pPr>
          </w:p>
        </w:tc>
      </w:tr>
      <w:tr w:rsidR="00BA318D" w:rsidRPr="0099428A" w:rsidTr="00E133AB">
        <w:trPr>
          <w:trHeight w:val="530"/>
          <w:jc w:val="center"/>
        </w:trPr>
        <w:tc>
          <w:tcPr>
            <w:tcW w:w="1695" w:type="pct"/>
            <w:vMerge/>
            <w:shd w:val="clear" w:color="auto" w:fill="auto"/>
            <w:tcMar>
              <w:top w:w="90" w:type="dxa"/>
              <w:left w:w="90" w:type="dxa"/>
              <w:bottom w:w="90" w:type="dxa"/>
              <w:right w:w="90" w:type="dxa"/>
            </w:tcMar>
          </w:tcPr>
          <w:p w:rsidR="00BA318D" w:rsidRPr="0099428A" w:rsidRDefault="00BA318D" w:rsidP="000336A9">
            <w:pPr>
              <w:numPr>
                <w:ilvl w:val="0"/>
                <w:numId w:val="3"/>
              </w:numPr>
              <w:suppressAutoHyphens/>
              <w:autoSpaceDE w:val="0"/>
              <w:autoSpaceDN w:val="0"/>
              <w:adjustRightInd w:val="0"/>
              <w:spacing w:after="200" w:line="276" w:lineRule="auto"/>
              <w:textAlignment w:val="center"/>
              <w:rPr>
                <w:color w:val="000000"/>
                <w:sz w:val="20"/>
                <w:szCs w:val="20"/>
              </w:rPr>
            </w:pPr>
          </w:p>
        </w:tc>
        <w:tc>
          <w:tcPr>
            <w:tcW w:w="643" w:type="pct"/>
            <w:tcBorders>
              <w:bottom w:val="single" w:sz="4" w:space="0" w:color="000000"/>
            </w:tcBorders>
            <w:shd w:val="clear" w:color="auto" w:fill="auto"/>
            <w:tcMar>
              <w:top w:w="90" w:type="dxa"/>
              <w:left w:w="90" w:type="dxa"/>
              <w:bottom w:w="90" w:type="dxa"/>
              <w:right w:w="90" w:type="dxa"/>
            </w:tcMar>
            <w:vAlign w:val="center"/>
          </w:tcPr>
          <w:p w:rsidR="00BA318D" w:rsidRPr="0099428A" w:rsidRDefault="00BA318D" w:rsidP="000336A9">
            <w:pPr>
              <w:suppressAutoHyphens/>
              <w:autoSpaceDE w:val="0"/>
              <w:autoSpaceDN w:val="0"/>
              <w:adjustRightInd w:val="0"/>
              <w:jc w:val="center"/>
              <w:textAlignment w:val="center"/>
              <w:rPr>
                <w:color w:val="000000"/>
                <w:sz w:val="20"/>
                <w:szCs w:val="20"/>
              </w:rPr>
            </w:pPr>
            <w:r w:rsidRPr="0099428A">
              <w:rPr>
                <w:color w:val="000000"/>
                <w:sz w:val="20"/>
                <w:szCs w:val="20"/>
              </w:rPr>
              <w:t>State</w:t>
            </w:r>
          </w:p>
        </w:tc>
        <w:tc>
          <w:tcPr>
            <w:tcW w:w="556" w:type="pct"/>
            <w:tcBorders>
              <w:bottom w:val="single" w:sz="4" w:space="0" w:color="000000"/>
            </w:tcBorders>
            <w:shd w:val="clear" w:color="auto" w:fill="auto"/>
            <w:vAlign w:val="center"/>
          </w:tcPr>
          <w:p w:rsidR="00BA318D" w:rsidRPr="0099428A" w:rsidRDefault="00BA318D" w:rsidP="000336A9">
            <w:pPr>
              <w:suppressAutoHyphens/>
              <w:autoSpaceDE w:val="0"/>
              <w:autoSpaceDN w:val="0"/>
              <w:adjustRightInd w:val="0"/>
              <w:jc w:val="center"/>
              <w:textAlignment w:val="center"/>
              <w:rPr>
                <w:color w:val="000000"/>
                <w:sz w:val="20"/>
                <w:szCs w:val="20"/>
              </w:rPr>
            </w:pPr>
          </w:p>
        </w:tc>
        <w:tc>
          <w:tcPr>
            <w:tcW w:w="1576" w:type="pct"/>
            <w:vMerge/>
            <w:shd w:val="clear" w:color="auto" w:fill="auto"/>
            <w:tcMar>
              <w:top w:w="90" w:type="dxa"/>
              <w:left w:w="90" w:type="dxa"/>
              <w:bottom w:w="90" w:type="dxa"/>
              <w:right w:w="90" w:type="dxa"/>
            </w:tcMar>
          </w:tcPr>
          <w:p w:rsidR="00BA318D" w:rsidRPr="0099428A" w:rsidRDefault="00BA318D" w:rsidP="000336A9">
            <w:pPr>
              <w:numPr>
                <w:ilvl w:val="0"/>
                <w:numId w:val="3"/>
              </w:numPr>
              <w:suppressAutoHyphens/>
              <w:autoSpaceDE w:val="0"/>
              <w:autoSpaceDN w:val="0"/>
              <w:adjustRightInd w:val="0"/>
              <w:spacing w:after="200" w:line="276" w:lineRule="auto"/>
              <w:textAlignment w:val="center"/>
              <w:rPr>
                <w:color w:val="000000"/>
                <w:sz w:val="20"/>
                <w:szCs w:val="20"/>
              </w:rPr>
            </w:pPr>
          </w:p>
        </w:tc>
        <w:tc>
          <w:tcPr>
            <w:tcW w:w="530" w:type="pct"/>
            <w:vMerge/>
            <w:shd w:val="clear" w:color="auto" w:fill="auto"/>
            <w:tcMar>
              <w:top w:w="90" w:type="dxa"/>
              <w:left w:w="90" w:type="dxa"/>
              <w:bottom w:w="90" w:type="dxa"/>
              <w:right w:w="90" w:type="dxa"/>
            </w:tcMar>
          </w:tcPr>
          <w:p w:rsidR="00BA318D" w:rsidRPr="0099428A" w:rsidRDefault="00BA318D" w:rsidP="000336A9">
            <w:pPr>
              <w:rPr>
                <w:sz w:val="20"/>
                <w:szCs w:val="20"/>
              </w:rPr>
            </w:pPr>
          </w:p>
        </w:tc>
      </w:tr>
      <w:tr w:rsidR="00BA318D" w:rsidRPr="0099428A" w:rsidTr="00E133AB">
        <w:trPr>
          <w:trHeight w:val="458"/>
          <w:jc w:val="center"/>
        </w:trPr>
        <w:tc>
          <w:tcPr>
            <w:tcW w:w="1695" w:type="pct"/>
            <w:vMerge/>
            <w:tcBorders>
              <w:bottom w:val="single" w:sz="4" w:space="0" w:color="000000"/>
            </w:tcBorders>
            <w:shd w:val="clear" w:color="auto" w:fill="auto"/>
            <w:tcMar>
              <w:top w:w="90" w:type="dxa"/>
              <w:left w:w="90" w:type="dxa"/>
              <w:bottom w:w="90" w:type="dxa"/>
              <w:right w:w="90" w:type="dxa"/>
            </w:tcMar>
          </w:tcPr>
          <w:p w:rsidR="00BA318D" w:rsidRPr="0099428A" w:rsidRDefault="00BA318D" w:rsidP="000336A9">
            <w:pPr>
              <w:numPr>
                <w:ilvl w:val="0"/>
                <w:numId w:val="3"/>
              </w:numPr>
              <w:suppressAutoHyphens/>
              <w:autoSpaceDE w:val="0"/>
              <w:autoSpaceDN w:val="0"/>
              <w:adjustRightInd w:val="0"/>
              <w:spacing w:after="200" w:line="276" w:lineRule="auto"/>
              <w:textAlignment w:val="center"/>
              <w:rPr>
                <w:color w:val="000000"/>
                <w:sz w:val="20"/>
                <w:szCs w:val="20"/>
              </w:rPr>
            </w:pPr>
          </w:p>
        </w:tc>
        <w:tc>
          <w:tcPr>
            <w:tcW w:w="643" w:type="pct"/>
            <w:tcBorders>
              <w:bottom w:val="single" w:sz="4" w:space="0" w:color="000000"/>
            </w:tcBorders>
            <w:shd w:val="clear" w:color="auto" w:fill="auto"/>
            <w:tcMar>
              <w:top w:w="90" w:type="dxa"/>
              <w:left w:w="90" w:type="dxa"/>
              <w:bottom w:w="90" w:type="dxa"/>
              <w:right w:w="90" w:type="dxa"/>
            </w:tcMar>
            <w:vAlign w:val="center"/>
          </w:tcPr>
          <w:p w:rsidR="00BA318D" w:rsidRPr="0099428A" w:rsidRDefault="00BA318D" w:rsidP="000336A9">
            <w:pPr>
              <w:suppressAutoHyphens/>
              <w:autoSpaceDE w:val="0"/>
              <w:autoSpaceDN w:val="0"/>
              <w:adjustRightInd w:val="0"/>
              <w:jc w:val="center"/>
              <w:textAlignment w:val="center"/>
              <w:rPr>
                <w:color w:val="000000"/>
                <w:sz w:val="20"/>
                <w:szCs w:val="20"/>
              </w:rPr>
            </w:pPr>
            <w:r w:rsidRPr="0099428A">
              <w:rPr>
                <w:color w:val="000000"/>
                <w:sz w:val="20"/>
                <w:szCs w:val="20"/>
              </w:rPr>
              <w:t>Voter</w:t>
            </w:r>
          </w:p>
        </w:tc>
        <w:tc>
          <w:tcPr>
            <w:tcW w:w="556" w:type="pct"/>
            <w:tcBorders>
              <w:bottom w:val="single" w:sz="4" w:space="0" w:color="000000"/>
            </w:tcBorders>
            <w:shd w:val="clear" w:color="auto" w:fill="auto"/>
            <w:vAlign w:val="center"/>
          </w:tcPr>
          <w:p w:rsidR="00BA318D" w:rsidRPr="0099428A" w:rsidRDefault="00BA318D" w:rsidP="000336A9">
            <w:pPr>
              <w:suppressAutoHyphens/>
              <w:autoSpaceDE w:val="0"/>
              <w:autoSpaceDN w:val="0"/>
              <w:adjustRightInd w:val="0"/>
              <w:jc w:val="center"/>
              <w:textAlignment w:val="center"/>
              <w:rPr>
                <w:color w:val="000000"/>
                <w:sz w:val="20"/>
                <w:szCs w:val="20"/>
              </w:rPr>
            </w:pPr>
          </w:p>
        </w:tc>
        <w:tc>
          <w:tcPr>
            <w:tcW w:w="1576" w:type="pct"/>
            <w:vMerge/>
            <w:tcBorders>
              <w:bottom w:val="single" w:sz="4" w:space="0" w:color="000000"/>
            </w:tcBorders>
            <w:shd w:val="clear" w:color="auto" w:fill="auto"/>
            <w:tcMar>
              <w:top w:w="90" w:type="dxa"/>
              <w:left w:w="90" w:type="dxa"/>
              <w:bottom w:w="90" w:type="dxa"/>
              <w:right w:w="90" w:type="dxa"/>
            </w:tcMar>
          </w:tcPr>
          <w:p w:rsidR="00BA318D" w:rsidRPr="0099428A" w:rsidRDefault="00BA318D" w:rsidP="000336A9">
            <w:pPr>
              <w:numPr>
                <w:ilvl w:val="0"/>
                <w:numId w:val="3"/>
              </w:numPr>
              <w:suppressAutoHyphens/>
              <w:autoSpaceDE w:val="0"/>
              <w:autoSpaceDN w:val="0"/>
              <w:adjustRightInd w:val="0"/>
              <w:spacing w:after="200" w:line="276" w:lineRule="auto"/>
              <w:textAlignment w:val="center"/>
              <w:rPr>
                <w:color w:val="000000"/>
                <w:sz w:val="20"/>
                <w:szCs w:val="20"/>
              </w:rPr>
            </w:pPr>
          </w:p>
        </w:tc>
        <w:tc>
          <w:tcPr>
            <w:tcW w:w="530" w:type="pct"/>
            <w:vMerge/>
            <w:tcBorders>
              <w:bottom w:val="single" w:sz="4" w:space="0" w:color="000000"/>
            </w:tcBorders>
            <w:shd w:val="clear" w:color="auto" w:fill="auto"/>
            <w:tcMar>
              <w:top w:w="90" w:type="dxa"/>
              <w:left w:w="90" w:type="dxa"/>
              <w:bottom w:w="90" w:type="dxa"/>
              <w:right w:w="90" w:type="dxa"/>
            </w:tcMar>
          </w:tcPr>
          <w:p w:rsidR="00BA318D" w:rsidRPr="0099428A" w:rsidRDefault="00BA318D" w:rsidP="000336A9">
            <w:pPr>
              <w:rPr>
                <w:sz w:val="20"/>
                <w:szCs w:val="20"/>
              </w:rPr>
            </w:pPr>
          </w:p>
        </w:tc>
      </w:tr>
      <w:tr w:rsidR="00BA318D" w:rsidRPr="0099428A" w:rsidTr="00BA318D">
        <w:trPr>
          <w:trHeight w:val="475"/>
          <w:jc w:val="center"/>
        </w:trPr>
        <w:tc>
          <w:tcPr>
            <w:tcW w:w="5000" w:type="pct"/>
            <w:gridSpan w:val="5"/>
            <w:shd w:val="clear" w:color="auto" w:fill="C2D69B" w:themeFill="accent3" w:themeFillTint="99"/>
            <w:tcMar>
              <w:top w:w="0" w:type="dxa"/>
              <w:left w:w="0" w:type="dxa"/>
              <w:bottom w:w="0" w:type="dxa"/>
              <w:right w:w="0" w:type="dxa"/>
            </w:tcMar>
            <w:vAlign w:val="center"/>
          </w:tcPr>
          <w:p w:rsidR="00BA318D" w:rsidRPr="0099428A" w:rsidRDefault="00BA318D" w:rsidP="000336A9">
            <w:pPr>
              <w:suppressAutoHyphens/>
              <w:autoSpaceDE w:val="0"/>
              <w:autoSpaceDN w:val="0"/>
              <w:adjustRightInd w:val="0"/>
              <w:textAlignment w:val="center"/>
              <w:rPr>
                <w:b/>
                <w:bCs/>
                <w:color w:val="000000"/>
                <w:sz w:val="20"/>
                <w:szCs w:val="20"/>
              </w:rPr>
            </w:pPr>
            <w:r w:rsidRPr="0099428A">
              <w:rPr>
                <w:b/>
                <w:bCs/>
                <w:color w:val="000000"/>
                <w:sz w:val="20"/>
                <w:szCs w:val="20"/>
              </w:rPr>
              <w:t xml:space="preserve"> Action Step #2:  Pursue Greater Density</w:t>
            </w:r>
          </w:p>
        </w:tc>
      </w:tr>
      <w:tr w:rsidR="00BA318D" w:rsidRPr="0099428A" w:rsidTr="00E133AB">
        <w:trPr>
          <w:trHeight w:val="431"/>
          <w:jc w:val="center"/>
        </w:trPr>
        <w:tc>
          <w:tcPr>
            <w:tcW w:w="1695" w:type="pct"/>
            <w:shd w:val="clear" w:color="auto" w:fill="C2D69B" w:themeFill="accent3" w:themeFillTint="99"/>
            <w:tcMar>
              <w:top w:w="0" w:type="dxa"/>
              <w:left w:w="0" w:type="dxa"/>
              <w:bottom w:w="0" w:type="dxa"/>
              <w:right w:w="0" w:type="dxa"/>
            </w:tcMar>
            <w:vAlign w:val="center"/>
          </w:tcPr>
          <w:p w:rsidR="00BA318D" w:rsidRPr="0099428A" w:rsidRDefault="00BA318D" w:rsidP="000336A9">
            <w:pPr>
              <w:suppressAutoHyphens/>
              <w:autoSpaceDE w:val="0"/>
              <w:autoSpaceDN w:val="0"/>
              <w:adjustRightInd w:val="0"/>
              <w:jc w:val="center"/>
              <w:textAlignment w:val="center"/>
              <w:rPr>
                <w:b/>
                <w:bCs/>
                <w:color w:val="000000"/>
                <w:sz w:val="20"/>
                <w:szCs w:val="20"/>
              </w:rPr>
            </w:pPr>
            <w:r w:rsidRPr="0099428A">
              <w:rPr>
                <w:b/>
                <w:bCs/>
                <w:color w:val="000000"/>
                <w:sz w:val="20"/>
                <w:szCs w:val="20"/>
              </w:rPr>
              <w:t>Tasks</w:t>
            </w:r>
          </w:p>
        </w:tc>
        <w:tc>
          <w:tcPr>
            <w:tcW w:w="1199" w:type="pct"/>
            <w:gridSpan w:val="2"/>
            <w:shd w:val="clear" w:color="auto" w:fill="C2D69B" w:themeFill="accent3" w:themeFillTint="99"/>
            <w:tcMar>
              <w:top w:w="0" w:type="dxa"/>
              <w:left w:w="0" w:type="dxa"/>
              <w:bottom w:w="0" w:type="dxa"/>
              <w:right w:w="0" w:type="dxa"/>
            </w:tcMar>
            <w:vAlign w:val="center"/>
          </w:tcPr>
          <w:p w:rsidR="00BA318D" w:rsidRPr="0099428A" w:rsidRDefault="00BA318D" w:rsidP="000336A9">
            <w:pPr>
              <w:suppressAutoHyphens/>
              <w:autoSpaceDE w:val="0"/>
              <w:autoSpaceDN w:val="0"/>
              <w:adjustRightInd w:val="0"/>
              <w:jc w:val="center"/>
              <w:textAlignment w:val="center"/>
              <w:rPr>
                <w:b/>
                <w:bCs/>
                <w:color w:val="000000"/>
                <w:sz w:val="20"/>
                <w:szCs w:val="20"/>
              </w:rPr>
            </w:pPr>
            <w:r w:rsidRPr="0099428A">
              <w:rPr>
                <w:b/>
                <w:bCs/>
                <w:color w:val="000000"/>
                <w:sz w:val="20"/>
                <w:szCs w:val="20"/>
              </w:rPr>
              <w:t>Required Approvals</w:t>
            </w:r>
          </w:p>
        </w:tc>
        <w:tc>
          <w:tcPr>
            <w:tcW w:w="1576" w:type="pct"/>
            <w:shd w:val="clear" w:color="auto" w:fill="C2D69B" w:themeFill="accent3" w:themeFillTint="99"/>
            <w:vAlign w:val="center"/>
          </w:tcPr>
          <w:p w:rsidR="00BA318D" w:rsidRPr="0099428A" w:rsidRDefault="00BA318D" w:rsidP="000336A9">
            <w:pPr>
              <w:suppressAutoHyphens/>
              <w:autoSpaceDE w:val="0"/>
              <w:autoSpaceDN w:val="0"/>
              <w:adjustRightInd w:val="0"/>
              <w:jc w:val="center"/>
              <w:textAlignment w:val="center"/>
              <w:rPr>
                <w:b/>
                <w:bCs/>
                <w:color w:val="000000"/>
                <w:sz w:val="20"/>
                <w:szCs w:val="20"/>
              </w:rPr>
            </w:pPr>
            <w:r w:rsidRPr="0099428A">
              <w:rPr>
                <w:b/>
                <w:bCs/>
                <w:color w:val="000000"/>
                <w:sz w:val="20"/>
                <w:szCs w:val="20"/>
              </w:rPr>
              <w:t>Measurable Outcome(s)</w:t>
            </w:r>
          </w:p>
        </w:tc>
        <w:tc>
          <w:tcPr>
            <w:tcW w:w="530" w:type="pct"/>
            <w:shd w:val="clear" w:color="auto" w:fill="C2D69B" w:themeFill="accent3" w:themeFillTint="99"/>
            <w:tcMar>
              <w:top w:w="0" w:type="dxa"/>
              <w:left w:w="0" w:type="dxa"/>
              <w:bottom w:w="0" w:type="dxa"/>
              <w:right w:w="0" w:type="dxa"/>
            </w:tcMar>
            <w:vAlign w:val="center"/>
          </w:tcPr>
          <w:p w:rsidR="00BA318D" w:rsidRPr="0099428A" w:rsidRDefault="00BA318D" w:rsidP="000336A9">
            <w:pPr>
              <w:suppressAutoHyphens/>
              <w:autoSpaceDE w:val="0"/>
              <w:autoSpaceDN w:val="0"/>
              <w:adjustRightInd w:val="0"/>
              <w:jc w:val="center"/>
              <w:textAlignment w:val="center"/>
              <w:rPr>
                <w:b/>
                <w:bCs/>
                <w:color w:val="000000"/>
                <w:sz w:val="20"/>
                <w:szCs w:val="20"/>
                <w:u w:color="000000"/>
              </w:rPr>
            </w:pPr>
            <w:r w:rsidRPr="0099428A">
              <w:rPr>
                <w:b/>
                <w:bCs/>
                <w:color w:val="000000"/>
                <w:sz w:val="20"/>
                <w:szCs w:val="20"/>
                <w:u w:color="000000"/>
              </w:rPr>
              <w:t>Target Completion Date(s)</w:t>
            </w:r>
          </w:p>
        </w:tc>
      </w:tr>
      <w:tr w:rsidR="00BA318D" w:rsidRPr="0099428A" w:rsidTr="00E133AB">
        <w:trPr>
          <w:trHeight w:val="539"/>
          <w:jc w:val="center"/>
        </w:trPr>
        <w:tc>
          <w:tcPr>
            <w:tcW w:w="1695" w:type="pct"/>
            <w:vMerge w:val="restart"/>
            <w:shd w:val="clear" w:color="auto" w:fill="auto"/>
            <w:tcMar>
              <w:top w:w="90" w:type="dxa"/>
              <w:left w:w="90" w:type="dxa"/>
              <w:bottom w:w="90" w:type="dxa"/>
              <w:right w:w="90" w:type="dxa"/>
            </w:tcMar>
          </w:tcPr>
          <w:p w:rsidR="00BA318D" w:rsidRPr="0099428A" w:rsidRDefault="00BA318D" w:rsidP="000336A9">
            <w:pPr>
              <w:numPr>
                <w:ilvl w:val="0"/>
                <w:numId w:val="3"/>
              </w:numPr>
              <w:suppressAutoHyphens/>
              <w:autoSpaceDE w:val="0"/>
              <w:autoSpaceDN w:val="0"/>
              <w:adjustRightInd w:val="0"/>
              <w:spacing w:after="200" w:line="276" w:lineRule="auto"/>
              <w:textAlignment w:val="center"/>
              <w:rPr>
                <w:color w:val="000000"/>
                <w:sz w:val="20"/>
                <w:szCs w:val="20"/>
              </w:rPr>
            </w:pPr>
            <w:r w:rsidRPr="0099428A">
              <w:rPr>
                <w:color w:val="000000"/>
                <w:sz w:val="20"/>
                <w:szCs w:val="20"/>
              </w:rPr>
              <w:t>Develop a policy targeting density at the midpoint or higher of the density range</w:t>
            </w:r>
            <w:r>
              <w:rPr>
                <w:color w:val="000000"/>
                <w:sz w:val="20"/>
                <w:szCs w:val="20"/>
              </w:rPr>
              <w:t xml:space="preserve"> (taking into account site restrictions)</w:t>
            </w:r>
          </w:p>
        </w:tc>
        <w:tc>
          <w:tcPr>
            <w:tcW w:w="643" w:type="pct"/>
            <w:shd w:val="clear" w:color="auto" w:fill="auto"/>
            <w:tcMar>
              <w:top w:w="90" w:type="dxa"/>
              <w:left w:w="90" w:type="dxa"/>
              <w:bottom w:w="90" w:type="dxa"/>
              <w:right w:w="90" w:type="dxa"/>
            </w:tcMar>
            <w:vAlign w:val="center"/>
          </w:tcPr>
          <w:p w:rsidR="00BA318D" w:rsidRPr="0099428A" w:rsidRDefault="00BA318D" w:rsidP="000336A9">
            <w:pPr>
              <w:suppressAutoHyphens/>
              <w:autoSpaceDE w:val="0"/>
              <w:autoSpaceDN w:val="0"/>
              <w:adjustRightInd w:val="0"/>
              <w:jc w:val="center"/>
              <w:textAlignment w:val="center"/>
              <w:rPr>
                <w:color w:val="000000"/>
                <w:sz w:val="20"/>
                <w:szCs w:val="20"/>
              </w:rPr>
            </w:pPr>
            <w:r w:rsidRPr="0099428A">
              <w:rPr>
                <w:color w:val="000000"/>
                <w:sz w:val="20"/>
                <w:szCs w:val="20"/>
              </w:rPr>
              <w:t>Local</w:t>
            </w:r>
          </w:p>
        </w:tc>
        <w:tc>
          <w:tcPr>
            <w:tcW w:w="556" w:type="pct"/>
            <w:shd w:val="clear" w:color="auto" w:fill="auto"/>
            <w:vAlign w:val="center"/>
          </w:tcPr>
          <w:p w:rsidR="00BA318D" w:rsidRPr="0099428A" w:rsidRDefault="00BA318D" w:rsidP="000336A9">
            <w:pPr>
              <w:suppressAutoHyphens/>
              <w:autoSpaceDE w:val="0"/>
              <w:autoSpaceDN w:val="0"/>
              <w:adjustRightInd w:val="0"/>
              <w:jc w:val="center"/>
              <w:textAlignment w:val="center"/>
              <w:rPr>
                <w:color w:val="000000"/>
                <w:sz w:val="20"/>
                <w:szCs w:val="20"/>
              </w:rPr>
            </w:pPr>
            <w:r>
              <w:rPr>
                <w:color w:val="000000"/>
                <w:sz w:val="20"/>
                <w:szCs w:val="20"/>
              </w:rPr>
              <w:t>X</w:t>
            </w:r>
          </w:p>
        </w:tc>
        <w:tc>
          <w:tcPr>
            <w:tcW w:w="1576" w:type="pct"/>
            <w:vMerge w:val="restart"/>
            <w:shd w:val="clear" w:color="auto" w:fill="auto"/>
            <w:tcMar>
              <w:top w:w="90" w:type="dxa"/>
              <w:left w:w="90" w:type="dxa"/>
              <w:bottom w:w="90" w:type="dxa"/>
              <w:right w:w="90" w:type="dxa"/>
            </w:tcMar>
          </w:tcPr>
          <w:p w:rsidR="00BA318D" w:rsidRPr="0099428A" w:rsidRDefault="00BA318D" w:rsidP="000336A9">
            <w:pPr>
              <w:numPr>
                <w:ilvl w:val="0"/>
                <w:numId w:val="3"/>
              </w:numPr>
              <w:suppressAutoHyphens/>
              <w:autoSpaceDE w:val="0"/>
              <w:autoSpaceDN w:val="0"/>
              <w:adjustRightInd w:val="0"/>
              <w:spacing w:after="200" w:line="276" w:lineRule="auto"/>
              <w:textAlignment w:val="center"/>
              <w:rPr>
                <w:color w:val="000000"/>
                <w:sz w:val="20"/>
                <w:szCs w:val="20"/>
              </w:rPr>
            </w:pPr>
            <w:r w:rsidRPr="0099428A">
              <w:rPr>
                <w:color w:val="000000"/>
                <w:sz w:val="20"/>
                <w:szCs w:val="20"/>
              </w:rPr>
              <w:t>Future developments will reach greater densities, thereby increasing the housing supply</w:t>
            </w:r>
            <w:r>
              <w:rPr>
                <w:color w:val="000000"/>
                <w:sz w:val="20"/>
                <w:szCs w:val="20"/>
              </w:rPr>
              <w:t>.</w:t>
            </w:r>
          </w:p>
        </w:tc>
        <w:tc>
          <w:tcPr>
            <w:tcW w:w="530" w:type="pct"/>
            <w:vMerge w:val="restart"/>
            <w:shd w:val="clear" w:color="auto" w:fill="auto"/>
            <w:tcMar>
              <w:top w:w="90" w:type="dxa"/>
              <w:left w:w="90" w:type="dxa"/>
              <w:bottom w:w="90" w:type="dxa"/>
              <w:right w:w="90" w:type="dxa"/>
            </w:tcMar>
          </w:tcPr>
          <w:p w:rsidR="00BA318D" w:rsidRPr="0099428A" w:rsidRDefault="00BA318D" w:rsidP="000336A9">
            <w:pPr>
              <w:suppressAutoHyphens/>
              <w:autoSpaceDE w:val="0"/>
              <w:autoSpaceDN w:val="0"/>
              <w:adjustRightInd w:val="0"/>
              <w:jc w:val="center"/>
              <w:textAlignment w:val="center"/>
              <w:rPr>
                <w:color w:val="000000"/>
                <w:sz w:val="20"/>
                <w:szCs w:val="20"/>
              </w:rPr>
            </w:pPr>
          </w:p>
        </w:tc>
      </w:tr>
      <w:tr w:rsidR="00BA318D" w:rsidRPr="0099428A" w:rsidTr="00E133AB">
        <w:trPr>
          <w:trHeight w:val="530"/>
          <w:jc w:val="center"/>
        </w:trPr>
        <w:tc>
          <w:tcPr>
            <w:tcW w:w="1695" w:type="pct"/>
            <w:vMerge/>
            <w:shd w:val="clear" w:color="auto" w:fill="auto"/>
            <w:tcMar>
              <w:top w:w="90" w:type="dxa"/>
              <w:left w:w="90" w:type="dxa"/>
              <w:bottom w:w="90" w:type="dxa"/>
              <w:right w:w="90" w:type="dxa"/>
            </w:tcMar>
          </w:tcPr>
          <w:p w:rsidR="00BA318D" w:rsidRPr="0099428A" w:rsidRDefault="00BA318D" w:rsidP="000336A9">
            <w:pPr>
              <w:numPr>
                <w:ilvl w:val="0"/>
                <w:numId w:val="3"/>
              </w:numPr>
              <w:suppressAutoHyphens/>
              <w:autoSpaceDE w:val="0"/>
              <w:autoSpaceDN w:val="0"/>
              <w:adjustRightInd w:val="0"/>
              <w:spacing w:after="200" w:line="276" w:lineRule="auto"/>
              <w:textAlignment w:val="center"/>
              <w:rPr>
                <w:color w:val="000000"/>
                <w:sz w:val="20"/>
                <w:szCs w:val="20"/>
              </w:rPr>
            </w:pPr>
          </w:p>
        </w:tc>
        <w:tc>
          <w:tcPr>
            <w:tcW w:w="643" w:type="pct"/>
            <w:shd w:val="clear" w:color="auto" w:fill="auto"/>
            <w:tcMar>
              <w:top w:w="90" w:type="dxa"/>
              <w:left w:w="90" w:type="dxa"/>
              <w:bottom w:w="90" w:type="dxa"/>
              <w:right w:w="90" w:type="dxa"/>
            </w:tcMar>
            <w:vAlign w:val="center"/>
          </w:tcPr>
          <w:p w:rsidR="00BA318D" w:rsidRPr="0099428A" w:rsidRDefault="00BA318D" w:rsidP="000336A9">
            <w:pPr>
              <w:suppressAutoHyphens/>
              <w:autoSpaceDE w:val="0"/>
              <w:autoSpaceDN w:val="0"/>
              <w:adjustRightInd w:val="0"/>
              <w:jc w:val="center"/>
              <w:textAlignment w:val="center"/>
              <w:rPr>
                <w:color w:val="000000"/>
                <w:sz w:val="20"/>
                <w:szCs w:val="20"/>
              </w:rPr>
            </w:pPr>
            <w:r w:rsidRPr="0099428A">
              <w:rPr>
                <w:color w:val="000000"/>
                <w:sz w:val="20"/>
                <w:szCs w:val="20"/>
              </w:rPr>
              <w:t>State</w:t>
            </w:r>
          </w:p>
        </w:tc>
        <w:tc>
          <w:tcPr>
            <w:tcW w:w="556" w:type="pct"/>
            <w:shd w:val="clear" w:color="auto" w:fill="auto"/>
            <w:vAlign w:val="center"/>
          </w:tcPr>
          <w:p w:rsidR="00BA318D" w:rsidRPr="0099428A" w:rsidRDefault="00BA318D" w:rsidP="000336A9">
            <w:pPr>
              <w:suppressAutoHyphens/>
              <w:autoSpaceDE w:val="0"/>
              <w:autoSpaceDN w:val="0"/>
              <w:adjustRightInd w:val="0"/>
              <w:jc w:val="center"/>
              <w:textAlignment w:val="center"/>
              <w:rPr>
                <w:color w:val="000000"/>
                <w:sz w:val="20"/>
                <w:szCs w:val="20"/>
              </w:rPr>
            </w:pPr>
          </w:p>
        </w:tc>
        <w:tc>
          <w:tcPr>
            <w:tcW w:w="1576" w:type="pct"/>
            <w:vMerge/>
            <w:shd w:val="clear" w:color="auto" w:fill="auto"/>
            <w:tcMar>
              <w:top w:w="90" w:type="dxa"/>
              <w:left w:w="90" w:type="dxa"/>
              <w:bottom w:w="90" w:type="dxa"/>
              <w:right w:w="90" w:type="dxa"/>
            </w:tcMar>
          </w:tcPr>
          <w:p w:rsidR="00BA318D" w:rsidRPr="0099428A" w:rsidRDefault="00BA318D" w:rsidP="000336A9">
            <w:pPr>
              <w:numPr>
                <w:ilvl w:val="0"/>
                <w:numId w:val="3"/>
              </w:numPr>
              <w:suppressAutoHyphens/>
              <w:autoSpaceDE w:val="0"/>
              <w:autoSpaceDN w:val="0"/>
              <w:adjustRightInd w:val="0"/>
              <w:spacing w:after="200" w:line="276" w:lineRule="auto"/>
              <w:textAlignment w:val="center"/>
              <w:rPr>
                <w:color w:val="000000"/>
                <w:sz w:val="20"/>
                <w:szCs w:val="20"/>
              </w:rPr>
            </w:pPr>
          </w:p>
        </w:tc>
        <w:tc>
          <w:tcPr>
            <w:tcW w:w="530" w:type="pct"/>
            <w:vMerge/>
            <w:shd w:val="clear" w:color="auto" w:fill="auto"/>
            <w:tcMar>
              <w:top w:w="90" w:type="dxa"/>
              <w:left w:w="90" w:type="dxa"/>
              <w:bottom w:w="90" w:type="dxa"/>
              <w:right w:w="90" w:type="dxa"/>
            </w:tcMar>
          </w:tcPr>
          <w:p w:rsidR="00BA318D" w:rsidRPr="0099428A" w:rsidRDefault="00BA318D" w:rsidP="000336A9">
            <w:pPr>
              <w:suppressAutoHyphens/>
              <w:autoSpaceDE w:val="0"/>
              <w:autoSpaceDN w:val="0"/>
              <w:adjustRightInd w:val="0"/>
              <w:jc w:val="center"/>
              <w:textAlignment w:val="center"/>
              <w:rPr>
                <w:color w:val="000000"/>
                <w:sz w:val="20"/>
                <w:szCs w:val="20"/>
              </w:rPr>
            </w:pPr>
          </w:p>
        </w:tc>
      </w:tr>
      <w:tr w:rsidR="00BA318D" w:rsidRPr="0099428A" w:rsidTr="00E133AB">
        <w:trPr>
          <w:trHeight w:val="539"/>
          <w:jc w:val="center"/>
        </w:trPr>
        <w:tc>
          <w:tcPr>
            <w:tcW w:w="1695" w:type="pct"/>
            <w:vMerge/>
            <w:shd w:val="clear" w:color="auto" w:fill="auto"/>
            <w:tcMar>
              <w:top w:w="90" w:type="dxa"/>
              <w:left w:w="90" w:type="dxa"/>
              <w:bottom w:w="90" w:type="dxa"/>
              <w:right w:w="90" w:type="dxa"/>
            </w:tcMar>
          </w:tcPr>
          <w:p w:rsidR="00BA318D" w:rsidRPr="0099428A" w:rsidRDefault="00BA318D" w:rsidP="000336A9">
            <w:pPr>
              <w:numPr>
                <w:ilvl w:val="0"/>
                <w:numId w:val="3"/>
              </w:numPr>
              <w:suppressAutoHyphens/>
              <w:autoSpaceDE w:val="0"/>
              <w:autoSpaceDN w:val="0"/>
              <w:adjustRightInd w:val="0"/>
              <w:spacing w:after="200" w:line="276" w:lineRule="auto"/>
              <w:textAlignment w:val="center"/>
              <w:rPr>
                <w:color w:val="000000"/>
                <w:sz w:val="20"/>
                <w:szCs w:val="20"/>
              </w:rPr>
            </w:pPr>
          </w:p>
        </w:tc>
        <w:tc>
          <w:tcPr>
            <w:tcW w:w="643" w:type="pct"/>
            <w:shd w:val="clear" w:color="auto" w:fill="auto"/>
            <w:tcMar>
              <w:top w:w="90" w:type="dxa"/>
              <w:left w:w="90" w:type="dxa"/>
              <w:bottom w:w="90" w:type="dxa"/>
              <w:right w:w="90" w:type="dxa"/>
            </w:tcMar>
            <w:vAlign w:val="center"/>
          </w:tcPr>
          <w:p w:rsidR="00BA318D" w:rsidRPr="0099428A" w:rsidRDefault="00BA318D" w:rsidP="000336A9">
            <w:pPr>
              <w:suppressAutoHyphens/>
              <w:autoSpaceDE w:val="0"/>
              <w:autoSpaceDN w:val="0"/>
              <w:adjustRightInd w:val="0"/>
              <w:jc w:val="center"/>
              <w:textAlignment w:val="center"/>
              <w:rPr>
                <w:color w:val="000000"/>
                <w:sz w:val="20"/>
                <w:szCs w:val="20"/>
              </w:rPr>
            </w:pPr>
            <w:r w:rsidRPr="0099428A">
              <w:rPr>
                <w:color w:val="000000"/>
                <w:sz w:val="20"/>
                <w:szCs w:val="20"/>
              </w:rPr>
              <w:t>Voter</w:t>
            </w:r>
          </w:p>
        </w:tc>
        <w:tc>
          <w:tcPr>
            <w:tcW w:w="556" w:type="pct"/>
            <w:shd w:val="clear" w:color="auto" w:fill="auto"/>
            <w:vAlign w:val="center"/>
          </w:tcPr>
          <w:p w:rsidR="00BA318D" w:rsidRPr="0099428A" w:rsidRDefault="00BA318D" w:rsidP="000336A9">
            <w:pPr>
              <w:suppressAutoHyphens/>
              <w:autoSpaceDE w:val="0"/>
              <w:autoSpaceDN w:val="0"/>
              <w:adjustRightInd w:val="0"/>
              <w:jc w:val="center"/>
              <w:textAlignment w:val="center"/>
              <w:rPr>
                <w:color w:val="000000"/>
                <w:sz w:val="20"/>
                <w:szCs w:val="20"/>
              </w:rPr>
            </w:pPr>
          </w:p>
        </w:tc>
        <w:tc>
          <w:tcPr>
            <w:tcW w:w="1576" w:type="pct"/>
            <w:vMerge/>
            <w:shd w:val="clear" w:color="auto" w:fill="auto"/>
            <w:tcMar>
              <w:top w:w="90" w:type="dxa"/>
              <w:left w:w="90" w:type="dxa"/>
              <w:bottom w:w="90" w:type="dxa"/>
              <w:right w:w="90" w:type="dxa"/>
            </w:tcMar>
          </w:tcPr>
          <w:p w:rsidR="00BA318D" w:rsidRPr="0099428A" w:rsidRDefault="00BA318D" w:rsidP="000336A9">
            <w:pPr>
              <w:numPr>
                <w:ilvl w:val="0"/>
                <w:numId w:val="3"/>
              </w:numPr>
              <w:suppressAutoHyphens/>
              <w:autoSpaceDE w:val="0"/>
              <w:autoSpaceDN w:val="0"/>
              <w:adjustRightInd w:val="0"/>
              <w:spacing w:after="200" w:line="276" w:lineRule="auto"/>
              <w:textAlignment w:val="center"/>
              <w:rPr>
                <w:color w:val="000000"/>
                <w:sz w:val="20"/>
                <w:szCs w:val="20"/>
              </w:rPr>
            </w:pPr>
          </w:p>
        </w:tc>
        <w:tc>
          <w:tcPr>
            <w:tcW w:w="530" w:type="pct"/>
            <w:vMerge/>
            <w:shd w:val="clear" w:color="auto" w:fill="auto"/>
            <w:tcMar>
              <w:top w:w="90" w:type="dxa"/>
              <w:left w:w="90" w:type="dxa"/>
              <w:bottom w:w="90" w:type="dxa"/>
              <w:right w:w="90" w:type="dxa"/>
            </w:tcMar>
          </w:tcPr>
          <w:p w:rsidR="00BA318D" w:rsidRPr="0099428A" w:rsidRDefault="00BA318D" w:rsidP="000336A9">
            <w:pPr>
              <w:suppressAutoHyphens/>
              <w:autoSpaceDE w:val="0"/>
              <w:autoSpaceDN w:val="0"/>
              <w:adjustRightInd w:val="0"/>
              <w:jc w:val="center"/>
              <w:textAlignment w:val="center"/>
              <w:rPr>
                <w:color w:val="000000"/>
                <w:sz w:val="20"/>
                <w:szCs w:val="20"/>
              </w:rPr>
            </w:pPr>
          </w:p>
        </w:tc>
      </w:tr>
      <w:tr w:rsidR="00BA318D" w:rsidRPr="0099428A" w:rsidTr="00E133AB">
        <w:trPr>
          <w:trHeight w:val="521"/>
          <w:jc w:val="center"/>
        </w:trPr>
        <w:tc>
          <w:tcPr>
            <w:tcW w:w="1695" w:type="pct"/>
            <w:vMerge w:val="restart"/>
            <w:shd w:val="clear" w:color="auto" w:fill="auto"/>
            <w:tcMar>
              <w:top w:w="90" w:type="dxa"/>
              <w:left w:w="90" w:type="dxa"/>
              <w:bottom w:w="90" w:type="dxa"/>
              <w:right w:w="90" w:type="dxa"/>
            </w:tcMar>
          </w:tcPr>
          <w:p w:rsidR="00BA318D" w:rsidRPr="0099428A" w:rsidRDefault="00BA318D" w:rsidP="000336A9">
            <w:pPr>
              <w:numPr>
                <w:ilvl w:val="0"/>
                <w:numId w:val="3"/>
              </w:numPr>
              <w:suppressAutoHyphens/>
              <w:autoSpaceDE w:val="0"/>
              <w:autoSpaceDN w:val="0"/>
              <w:adjustRightInd w:val="0"/>
              <w:spacing w:after="200" w:line="276" w:lineRule="auto"/>
              <w:textAlignment w:val="center"/>
              <w:rPr>
                <w:color w:val="000000"/>
                <w:sz w:val="20"/>
                <w:szCs w:val="20"/>
              </w:rPr>
            </w:pPr>
            <w:r w:rsidRPr="0099428A">
              <w:rPr>
                <w:color w:val="000000"/>
                <w:sz w:val="20"/>
                <w:szCs w:val="20"/>
              </w:rPr>
              <w:t>Identify sites that can exceed densities in an affordable housing overlay zone or similar method</w:t>
            </w:r>
          </w:p>
        </w:tc>
        <w:tc>
          <w:tcPr>
            <w:tcW w:w="643" w:type="pct"/>
            <w:shd w:val="clear" w:color="auto" w:fill="auto"/>
            <w:tcMar>
              <w:top w:w="90" w:type="dxa"/>
              <w:left w:w="90" w:type="dxa"/>
              <w:bottom w:w="90" w:type="dxa"/>
              <w:right w:w="90" w:type="dxa"/>
            </w:tcMar>
            <w:vAlign w:val="center"/>
          </w:tcPr>
          <w:p w:rsidR="00BA318D" w:rsidRPr="0099428A" w:rsidRDefault="00BA318D" w:rsidP="000336A9">
            <w:pPr>
              <w:suppressAutoHyphens/>
              <w:autoSpaceDE w:val="0"/>
              <w:autoSpaceDN w:val="0"/>
              <w:adjustRightInd w:val="0"/>
              <w:jc w:val="center"/>
              <w:textAlignment w:val="center"/>
              <w:rPr>
                <w:color w:val="000000"/>
                <w:sz w:val="20"/>
                <w:szCs w:val="20"/>
              </w:rPr>
            </w:pPr>
            <w:r w:rsidRPr="0099428A">
              <w:rPr>
                <w:color w:val="000000"/>
                <w:sz w:val="20"/>
                <w:szCs w:val="20"/>
              </w:rPr>
              <w:t>Local</w:t>
            </w:r>
          </w:p>
        </w:tc>
        <w:tc>
          <w:tcPr>
            <w:tcW w:w="556" w:type="pct"/>
            <w:shd w:val="clear" w:color="auto" w:fill="auto"/>
            <w:vAlign w:val="center"/>
          </w:tcPr>
          <w:p w:rsidR="00BA318D" w:rsidRPr="0099428A" w:rsidRDefault="00BA318D" w:rsidP="000336A9">
            <w:pPr>
              <w:suppressAutoHyphens/>
              <w:autoSpaceDE w:val="0"/>
              <w:autoSpaceDN w:val="0"/>
              <w:adjustRightInd w:val="0"/>
              <w:jc w:val="center"/>
              <w:textAlignment w:val="center"/>
              <w:rPr>
                <w:color w:val="000000"/>
                <w:sz w:val="20"/>
                <w:szCs w:val="20"/>
              </w:rPr>
            </w:pPr>
            <w:r>
              <w:rPr>
                <w:color w:val="000000"/>
                <w:sz w:val="20"/>
                <w:szCs w:val="20"/>
              </w:rPr>
              <w:t>X</w:t>
            </w:r>
          </w:p>
        </w:tc>
        <w:tc>
          <w:tcPr>
            <w:tcW w:w="1576" w:type="pct"/>
            <w:vMerge w:val="restart"/>
            <w:shd w:val="clear" w:color="auto" w:fill="auto"/>
            <w:tcMar>
              <w:top w:w="90" w:type="dxa"/>
              <w:left w:w="90" w:type="dxa"/>
              <w:bottom w:w="90" w:type="dxa"/>
              <w:right w:w="90" w:type="dxa"/>
            </w:tcMar>
          </w:tcPr>
          <w:p w:rsidR="00BA318D" w:rsidRPr="0099428A" w:rsidRDefault="00BA318D" w:rsidP="000336A9">
            <w:pPr>
              <w:numPr>
                <w:ilvl w:val="0"/>
                <w:numId w:val="3"/>
              </w:numPr>
              <w:suppressAutoHyphens/>
              <w:autoSpaceDE w:val="0"/>
              <w:autoSpaceDN w:val="0"/>
              <w:adjustRightInd w:val="0"/>
              <w:spacing w:after="200" w:line="276" w:lineRule="auto"/>
              <w:textAlignment w:val="center"/>
              <w:rPr>
                <w:color w:val="000000"/>
                <w:sz w:val="20"/>
                <w:szCs w:val="20"/>
              </w:rPr>
            </w:pPr>
            <w:r w:rsidRPr="0099428A">
              <w:rPr>
                <w:color w:val="000000"/>
                <w:sz w:val="20"/>
                <w:szCs w:val="20"/>
              </w:rPr>
              <w:t>Provides transparency for developers while allowing synergies with proximity, transit, and employment centers</w:t>
            </w:r>
            <w:r>
              <w:rPr>
                <w:color w:val="000000"/>
                <w:sz w:val="20"/>
                <w:szCs w:val="20"/>
              </w:rPr>
              <w:t>.</w:t>
            </w:r>
          </w:p>
        </w:tc>
        <w:tc>
          <w:tcPr>
            <w:tcW w:w="530" w:type="pct"/>
            <w:vMerge w:val="restart"/>
            <w:shd w:val="clear" w:color="auto" w:fill="auto"/>
            <w:tcMar>
              <w:top w:w="90" w:type="dxa"/>
              <w:left w:w="90" w:type="dxa"/>
              <w:bottom w:w="90" w:type="dxa"/>
              <w:right w:w="90" w:type="dxa"/>
            </w:tcMar>
          </w:tcPr>
          <w:p w:rsidR="00BA318D" w:rsidRPr="0099428A" w:rsidRDefault="00BA318D" w:rsidP="000336A9">
            <w:pPr>
              <w:rPr>
                <w:sz w:val="20"/>
                <w:szCs w:val="20"/>
              </w:rPr>
            </w:pPr>
          </w:p>
        </w:tc>
      </w:tr>
      <w:tr w:rsidR="00BA318D" w:rsidRPr="0099428A" w:rsidTr="00E133AB">
        <w:trPr>
          <w:trHeight w:val="539"/>
          <w:jc w:val="center"/>
        </w:trPr>
        <w:tc>
          <w:tcPr>
            <w:tcW w:w="1695" w:type="pct"/>
            <w:vMerge/>
            <w:shd w:val="clear" w:color="auto" w:fill="auto"/>
            <w:tcMar>
              <w:top w:w="90" w:type="dxa"/>
              <w:left w:w="90" w:type="dxa"/>
              <w:bottom w:w="90" w:type="dxa"/>
              <w:right w:w="90" w:type="dxa"/>
            </w:tcMar>
          </w:tcPr>
          <w:p w:rsidR="00BA318D" w:rsidRPr="0099428A" w:rsidRDefault="00BA318D" w:rsidP="000336A9">
            <w:pPr>
              <w:numPr>
                <w:ilvl w:val="0"/>
                <w:numId w:val="3"/>
              </w:numPr>
              <w:suppressAutoHyphens/>
              <w:autoSpaceDE w:val="0"/>
              <w:autoSpaceDN w:val="0"/>
              <w:adjustRightInd w:val="0"/>
              <w:spacing w:after="200" w:line="276" w:lineRule="auto"/>
              <w:textAlignment w:val="center"/>
              <w:rPr>
                <w:color w:val="000000"/>
                <w:sz w:val="20"/>
                <w:szCs w:val="20"/>
              </w:rPr>
            </w:pPr>
          </w:p>
        </w:tc>
        <w:tc>
          <w:tcPr>
            <w:tcW w:w="643" w:type="pct"/>
            <w:shd w:val="clear" w:color="auto" w:fill="auto"/>
            <w:tcMar>
              <w:top w:w="90" w:type="dxa"/>
              <w:left w:w="90" w:type="dxa"/>
              <w:bottom w:w="90" w:type="dxa"/>
              <w:right w:w="90" w:type="dxa"/>
            </w:tcMar>
            <w:vAlign w:val="center"/>
          </w:tcPr>
          <w:p w:rsidR="00BA318D" w:rsidRPr="0099428A" w:rsidRDefault="00BA318D" w:rsidP="000336A9">
            <w:pPr>
              <w:suppressAutoHyphens/>
              <w:autoSpaceDE w:val="0"/>
              <w:autoSpaceDN w:val="0"/>
              <w:adjustRightInd w:val="0"/>
              <w:jc w:val="center"/>
              <w:textAlignment w:val="center"/>
              <w:rPr>
                <w:color w:val="000000"/>
                <w:sz w:val="20"/>
                <w:szCs w:val="20"/>
              </w:rPr>
            </w:pPr>
            <w:r w:rsidRPr="0099428A">
              <w:rPr>
                <w:color w:val="000000"/>
                <w:sz w:val="20"/>
                <w:szCs w:val="20"/>
              </w:rPr>
              <w:t>State</w:t>
            </w:r>
          </w:p>
        </w:tc>
        <w:tc>
          <w:tcPr>
            <w:tcW w:w="556" w:type="pct"/>
            <w:shd w:val="clear" w:color="auto" w:fill="auto"/>
            <w:vAlign w:val="center"/>
          </w:tcPr>
          <w:p w:rsidR="00BA318D" w:rsidRPr="0099428A" w:rsidRDefault="00BA318D" w:rsidP="000336A9">
            <w:pPr>
              <w:suppressAutoHyphens/>
              <w:autoSpaceDE w:val="0"/>
              <w:autoSpaceDN w:val="0"/>
              <w:adjustRightInd w:val="0"/>
              <w:jc w:val="center"/>
              <w:textAlignment w:val="center"/>
              <w:rPr>
                <w:color w:val="000000"/>
                <w:sz w:val="20"/>
                <w:szCs w:val="20"/>
              </w:rPr>
            </w:pPr>
          </w:p>
        </w:tc>
        <w:tc>
          <w:tcPr>
            <w:tcW w:w="1576" w:type="pct"/>
            <w:vMerge/>
            <w:shd w:val="clear" w:color="auto" w:fill="auto"/>
            <w:tcMar>
              <w:top w:w="90" w:type="dxa"/>
              <w:left w:w="90" w:type="dxa"/>
              <w:bottom w:w="90" w:type="dxa"/>
              <w:right w:w="90" w:type="dxa"/>
            </w:tcMar>
          </w:tcPr>
          <w:p w:rsidR="00BA318D" w:rsidRPr="0099428A" w:rsidRDefault="00BA318D" w:rsidP="000336A9">
            <w:pPr>
              <w:numPr>
                <w:ilvl w:val="0"/>
                <w:numId w:val="3"/>
              </w:numPr>
              <w:suppressAutoHyphens/>
              <w:autoSpaceDE w:val="0"/>
              <w:autoSpaceDN w:val="0"/>
              <w:adjustRightInd w:val="0"/>
              <w:spacing w:after="200" w:line="276" w:lineRule="auto"/>
              <w:textAlignment w:val="center"/>
              <w:rPr>
                <w:color w:val="000000"/>
                <w:sz w:val="20"/>
                <w:szCs w:val="20"/>
              </w:rPr>
            </w:pPr>
          </w:p>
        </w:tc>
        <w:tc>
          <w:tcPr>
            <w:tcW w:w="530" w:type="pct"/>
            <w:vMerge/>
            <w:shd w:val="clear" w:color="auto" w:fill="auto"/>
            <w:tcMar>
              <w:top w:w="90" w:type="dxa"/>
              <w:left w:w="90" w:type="dxa"/>
              <w:bottom w:w="90" w:type="dxa"/>
              <w:right w:w="90" w:type="dxa"/>
            </w:tcMar>
          </w:tcPr>
          <w:p w:rsidR="00BA318D" w:rsidRPr="0099428A" w:rsidRDefault="00BA318D" w:rsidP="000336A9">
            <w:pPr>
              <w:rPr>
                <w:sz w:val="20"/>
                <w:szCs w:val="20"/>
              </w:rPr>
            </w:pPr>
          </w:p>
        </w:tc>
      </w:tr>
      <w:tr w:rsidR="00BA318D" w:rsidRPr="0099428A" w:rsidTr="00E133AB">
        <w:trPr>
          <w:trHeight w:val="503"/>
          <w:jc w:val="center"/>
        </w:trPr>
        <w:tc>
          <w:tcPr>
            <w:tcW w:w="1695" w:type="pct"/>
            <w:vMerge/>
            <w:shd w:val="clear" w:color="auto" w:fill="auto"/>
            <w:tcMar>
              <w:top w:w="90" w:type="dxa"/>
              <w:left w:w="90" w:type="dxa"/>
              <w:bottom w:w="90" w:type="dxa"/>
              <w:right w:w="90" w:type="dxa"/>
            </w:tcMar>
          </w:tcPr>
          <w:p w:rsidR="00BA318D" w:rsidRPr="0099428A" w:rsidRDefault="00BA318D" w:rsidP="000336A9">
            <w:pPr>
              <w:numPr>
                <w:ilvl w:val="0"/>
                <w:numId w:val="3"/>
              </w:numPr>
              <w:suppressAutoHyphens/>
              <w:autoSpaceDE w:val="0"/>
              <w:autoSpaceDN w:val="0"/>
              <w:adjustRightInd w:val="0"/>
              <w:spacing w:after="200" w:line="276" w:lineRule="auto"/>
              <w:textAlignment w:val="center"/>
              <w:rPr>
                <w:color w:val="000000"/>
                <w:sz w:val="20"/>
                <w:szCs w:val="20"/>
              </w:rPr>
            </w:pPr>
          </w:p>
        </w:tc>
        <w:tc>
          <w:tcPr>
            <w:tcW w:w="643" w:type="pct"/>
            <w:shd w:val="clear" w:color="auto" w:fill="auto"/>
            <w:tcMar>
              <w:top w:w="90" w:type="dxa"/>
              <w:left w:w="90" w:type="dxa"/>
              <w:bottom w:w="90" w:type="dxa"/>
              <w:right w:w="90" w:type="dxa"/>
            </w:tcMar>
            <w:vAlign w:val="center"/>
          </w:tcPr>
          <w:p w:rsidR="00BA318D" w:rsidRPr="0099428A" w:rsidRDefault="00BA318D" w:rsidP="000336A9">
            <w:pPr>
              <w:suppressAutoHyphens/>
              <w:autoSpaceDE w:val="0"/>
              <w:autoSpaceDN w:val="0"/>
              <w:adjustRightInd w:val="0"/>
              <w:jc w:val="center"/>
              <w:textAlignment w:val="center"/>
              <w:rPr>
                <w:color w:val="000000"/>
                <w:sz w:val="20"/>
                <w:szCs w:val="20"/>
              </w:rPr>
            </w:pPr>
            <w:r w:rsidRPr="0099428A">
              <w:rPr>
                <w:color w:val="000000"/>
                <w:sz w:val="20"/>
                <w:szCs w:val="20"/>
              </w:rPr>
              <w:t>Voter</w:t>
            </w:r>
          </w:p>
        </w:tc>
        <w:tc>
          <w:tcPr>
            <w:tcW w:w="556" w:type="pct"/>
            <w:shd w:val="clear" w:color="auto" w:fill="auto"/>
            <w:vAlign w:val="center"/>
          </w:tcPr>
          <w:p w:rsidR="00BA318D" w:rsidRPr="0099428A" w:rsidRDefault="00BA318D" w:rsidP="000336A9">
            <w:pPr>
              <w:suppressAutoHyphens/>
              <w:autoSpaceDE w:val="0"/>
              <w:autoSpaceDN w:val="0"/>
              <w:adjustRightInd w:val="0"/>
              <w:jc w:val="center"/>
              <w:textAlignment w:val="center"/>
              <w:rPr>
                <w:color w:val="000000"/>
                <w:sz w:val="20"/>
                <w:szCs w:val="20"/>
              </w:rPr>
            </w:pPr>
          </w:p>
        </w:tc>
        <w:tc>
          <w:tcPr>
            <w:tcW w:w="1576" w:type="pct"/>
            <w:vMerge/>
            <w:shd w:val="clear" w:color="auto" w:fill="auto"/>
            <w:tcMar>
              <w:top w:w="90" w:type="dxa"/>
              <w:left w:w="90" w:type="dxa"/>
              <w:bottom w:w="90" w:type="dxa"/>
              <w:right w:w="90" w:type="dxa"/>
            </w:tcMar>
          </w:tcPr>
          <w:p w:rsidR="00BA318D" w:rsidRPr="0099428A" w:rsidRDefault="00BA318D" w:rsidP="000336A9">
            <w:pPr>
              <w:numPr>
                <w:ilvl w:val="0"/>
                <w:numId w:val="3"/>
              </w:numPr>
              <w:suppressAutoHyphens/>
              <w:autoSpaceDE w:val="0"/>
              <w:autoSpaceDN w:val="0"/>
              <w:adjustRightInd w:val="0"/>
              <w:spacing w:after="200" w:line="276" w:lineRule="auto"/>
              <w:textAlignment w:val="center"/>
              <w:rPr>
                <w:color w:val="000000"/>
                <w:sz w:val="20"/>
                <w:szCs w:val="20"/>
              </w:rPr>
            </w:pPr>
          </w:p>
        </w:tc>
        <w:tc>
          <w:tcPr>
            <w:tcW w:w="530" w:type="pct"/>
            <w:vMerge/>
            <w:shd w:val="clear" w:color="auto" w:fill="auto"/>
            <w:tcMar>
              <w:top w:w="90" w:type="dxa"/>
              <w:left w:w="90" w:type="dxa"/>
              <w:bottom w:w="90" w:type="dxa"/>
              <w:right w:w="90" w:type="dxa"/>
            </w:tcMar>
          </w:tcPr>
          <w:p w:rsidR="00BA318D" w:rsidRPr="0099428A" w:rsidRDefault="00BA318D" w:rsidP="000336A9">
            <w:pPr>
              <w:rPr>
                <w:sz w:val="20"/>
                <w:szCs w:val="20"/>
              </w:rPr>
            </w:pPr>
          </w:p>
        </w:tc>
      </w:tr>
      <w:tr w:rsidR="00BA318D" w:rsidRPr="0099428A" w:rsidTr="00BA318D">
        <w:trPr>
          <w:trHeight w:val="475"/>
          <w:jc w:val="center"/>
        </w:trPr>
        <w:tc>
          <w:tcPr>
            <w:tcW w:w="5000" w:type="pct"/>
            <w:gridSpan w:val="5"/>
            <w:shd w:val="clear" w:color="auto" w:fill="C2D69B" w:themeFill="accent3" w:themeFillTint="99"/>
            <w:tcMar>
              <w:top w:w="0" w:type="dxa"/>
              <w:left w:w="0" w:type="dxa"/>
              <w:bottom w:w="0" w:type="dxa"/>
              <w:right w:w="0" w:type="dxa"/>
            </w:tcMar>
            <w:vAlign w:val="center"/>
          </w:tcPr>
          <w:p w:rsidR="00BA318D" w:rsidRPr="0099428A" w:rsidRDefault="00BA318D" w:rsidP="00BA318D">
            <w:pPr>
              <w:suppressAutoHyphens/>
              <w:autoSpaceDE w:val="0"/>
              <w:autoSpaceDN w:val="0"/>
              <w:adjustRightInd w:val="0"/>
              <w:jc w:val="center"/>
              <w:textAlignment w:val="center"/>
              <w:rPr>
                <w:b/>
                <w:bCs/>
                <w:color w:val="000000"/>
                <w:sz w:val="20"/>
                <w:szCs w:val="20"/>
              </w:rPr>
            </w:pPr>
            <w:r w:rsidRPr="0099428A">
              <w:rPr>
                <w:b/>
                <w:bCs/>
                <w:color w:val="000000"/>
                <w:sz w:val="20"/>
                <w:szCs w:val="20"/>
              </w:rPr>
              <w:t>STRATEGY # 4:</w:t>
            </w:r>
          </w:p>
          <w:p w:rsidR="00BA318D" w:rsidRPr="0099428A" w:rsidRDefault="00BA318D" w:rsidP="00BA318D">
            <w:pPr>
              <w:jc w:val="center"/>
              <w:rPr>
                <w:b/>
                <w:bCs/>
                <w:sz w:val="20"/>
                <w:szCs w:val="20"/>
              </w:rPr>
            </w:pPr>
            <w:r w:rsidRPr="0099428A">
              <w:rPr>
                <w:b/>
                <w:bCs/>
                <w:color w:val="000000"/>
                <w:sz w:val="20"/>
                <w:szCs w:val="20"/>
              </w:rPr>
              <w:t>IMPLEMENT NON-MONETARY PRODUCTION OPPORTUNITIES</w:t>
            </w:r>
          </w:p>
        </w:tc>
      </w:tr>
      <w:tr w:rsidR="00BA318D" w:rsidRPr="0099428A" w:rsidTr="00BA318D">
        <w:trPr>
          <w:trHeight w:val="475"/>
          <w:jc w:val="center"/>
        </w:trPr>
        <w:tc>
          <w:tcPr>
            <w:tcW w:w="5000" w:type="pct"/>
            <w:gridSpan w:val="5"/>
            <w:shd w:val="clear" w:color="auto" w:fill="C2D69B" w:themeFill="accent3" w:themeFillTint="99"/>
            <w:tcMar>
              <w:top w:w="0" w:type="dxa"/>
              <w:left w:w="0" w:type="dxa"/>
              <w:bottom w:w="0" w:type="dxa"/>
              <w:right w:w="0" w:type="dxa"/>
            </w:tcMar>
            <w:vAlign w:val="center"/>
          </w:tcPr>
          <w:p w:rsidR="00BA318D" w:rsidRPr="0099428A" w:rsidRDefault="00BA318D" w:rsidP="000336A9">
            <w:pPr>
              <w:rPr>
                <w:b/>
                <w:bCs/>
                <w:sz w:val="20"/>
                <w:szCs w:val="20"/>
              </w:rPr>
            </w:pPr>
            <w:r w:rsidRPr="0099428A">
              <w:rPr>
                <w:b/>
                <w:bCs/>
                <w:sz w:val="20"/>
                <w:szCs w:val="20"/>
              </w:rPr>
              <w:t xml:space="preserve"> Action Step #3:  Prioritize Methods to Fast Track Development Processes</w:t>
            </w:r>
          </w:p>
        </w:tc>
      </w:tr>
      <w:tr w:rsidR="00BA318D" w:rsidRPr="0099428A" w:rsidTr="00E133AB">
        <w:trPr>
          <w:trHeight w:val="503"/>
          <w:jc w:val="center"/>
        </w:trPr>
        <w:tc>
          <w:tcPr>
            <w:tcW w:w="1695" w:type="pct"/>
            <w:shd w:val="clear" w:color="auto" w:fill="C2D69B" w:themeFill="accent3" w:themeFillTint="99"/>
            <w:tcMar>
              <w:top w:w="0" w:type="dxa"/>
              <w:left w:w="0" w:type="dxa"/>
              <w:bottom w:w="0" w:type="dxa"/>
              <w:right w:w="0" w:type="dxa"/>
            </w:tcMar>
            <w:vAlign w:val="center"/>
          </w:tcPr>
          <w:p w:rsidR="00BA318D" w:rsidRPr="0099428A" w:rsidRDefault="00BA318D" w:rsidP="000336A9">
            <w:pPr>
              <w:suppressAutoHyphens/>
              <w:autoSpaceDE w:val="0"/>
              <w:autoSpaceDN w:val="0"/>
              <w:adjustRightInd w:val="0"/>
              <w:jc w:val="center"/>
              <w:textAlignment w:val="center"/>
              <w:rPr>
                <w:b/>
                <w:bCs/>
                <w:color w:val="000000"/>
                <w:sz w:val="20"/>
                <w:szCs w:val="20"/>
              </w:rPr>
            </w:pPr>
            <w:r w:rsidRPr="0099428A">
              <w:rPr>
                <w:b/>
                <w:bCs/>
                <w:color w:val="000000"/>
                <w:sz w:val="20"/>
                <w:szCs w:val="20"/>
              </w:rPr>
              <w:t>Tasks</w:t>
            </w:r>
          </w:p>
        </w:tc>
        <w:tc>
          <w:tcPr>
            <w:tcW w:w="1199" w:type="pct"/>
            <w:gridSpan w:val="2"/>
            <w:shd w:val="clear" w:color="auto" w:fill="C2D69B" w:themeFill="accent3" w:themeFillTint="99"/>
            <w:tcMar>
              <w:top w:w="0" w:type="dxa"/>
              <w:left w:w="0" w:type="dxa"/>
              <w:bottom w:w="0" w:type="dxa"/>
              <w:right w:w="0" w:type="dxa"/>
            </w:tcMar>
            <w:vAlign w:val="center"/>
          </w:tcPr>
          <w:p w:rsidR="00BA318D" w:rsidRPr="0099428A" w:rsidRDefault="00BA318D" w:rsidP="000336A9">
            <w:pPr>
              <w:suppressAutoHyphens/>
              <w:autoSpaceDE w:val="0"/>
              <w:autoSpaceDN w:val="0"/>
              <w:adjustRightInd w:val="0"/>
              <w:jc w:val="center"/>
              <w:textAlignment w:val="center"/>
              <w:rPr>
                <w:b/>
                <w:bCs/>
                <w:color w:val="000000"/>
                <w:sz w:val="20"/>
                <w:szCs w:val="20"/>
              </w:rPr>
            </w:pPr>
            <w:r w:rsidRPr="0099428A">
              <w:rPr>
                <w:b/>
                <w:bCs/>
                <w:color w:val="000000"/>
                <w:sz w:val="20"/>
                <w:szCs w:val="20"/>
              </w:rPr>
              <w:t>Required Approvals</w:t>
            </w:r>
          </w:p>
        </w:tc>
        <w:tc>
          <w:tcPr>
            <w:tcW w:w="1576" w:type="pct"/>
            <w:shd w:val="clear" w:color="auto" w:fill="C2D69B" w:themeFill="accent3" w:themeFillTint="99"/>
            <w:vAlign w:val="center"/>
          </w:tcPr>
          <w:p w:rsidR="00BA318D" w:rsidRPr="0099428A" w:rsidRDefault="00BA318D" w:rsidP="000336A9">
            <w:pPr>
              <w:suppressAutoHyphens/>
              <w:autoSpaceDE w:val="0"/>
              <w:autoSpaceDN w:val="0"/>
              <w:adjustRightInd w:val="0"/>
              <w:jc w:val="center"/>
              <w:textAlignment w:val="center"/>
              <w:rPr>
                <w:b/>
                <w:bCs/>
                <w:color w:val="000000"/>
                <w:sz w:val="20"/>
                <w:szCs w:val="20"/>
              </w:rPr>
            </w:pPr>
            <w:r w:rsidRPr="0099428A">
              <w:rPr>
                <w:b/>
                <w:bCs/>
                <w:color w:val="000000"/>
                <w:sz w:val="20"/>
                <w:szCs w:val="20"/>
              </w:rPr>
              <w:t>Measurable Outcome(s)</w:t>
            </w:r>
          </w:p>
        </w:tc>
        <w:tc>
          <w:tcPr>
            <w:tcW w:w="530" w:type="pct"/>
            <w:shd w:val="clear" w:color="auto" w:fill="C2D69B" w:themeFill="accent3" w:themeFillTint="99"/>
            <w:tcMar>
              <w:top w:w="0" w:type="dxa"/>
              <w:left w:w="0" w:type="dxa"/>
              <w:bottom w:w="0" w:type="dxa"/>
              <w:right w:w="0" w:type="dxa"/>
            </w:tcMar>
            <w:vAlign w:val="center"/>
          </w:tcPr>
          <w:p w:rsidR="00BA318D" w:rsidRPr="0099428A" w:rsidRDefault="00BA318D" w:rsidP="000336A9">
            <w:pPr>
              <w:suppressAutoHyphens/>
              <w:autoSpaceDE w:val="0"/>
              <w:autoSpaceDN w:val="0"/>
              <w:adjustRightInd w:val="0"/>
              <w:jc w:val="center"/>
              <w:textAlignment w:val="center"/>
              <w:rPr>
                <w:b/>
                <w:bCs/>
                <w:color w:val="000000"/>
                <w:sz w:val="20"/>
                <w:szCs w:val="20"/>
                <w:u w:color="000000"/>
              </w:rPr>
            </w:pPr>
            <w:r w:rsidRPr="0099428A">
              <w:rPr>
                <w:b/>
                <w:bCs/>
                <w:color w:val="000000"/>
                <w:sz w:val="20"/>
                <w:szCs w:val="20"/>
                <w:u w:color="000000"/>
              </w:rPr>
              <w:t>Target Completion Date(s)</w:t>
            </w:r>
          </w:p>
        </w:tc>
      </w:tr>
      <w:tr w:rsidR="00BA318D" w:rsidRPr="0099428A" w:rsidTr="00E133AB">
        <w:trPr>
          <w:trHeight w:val="431"/>
          <w:jc w:val="center"/>
        </w:trPr>
        <w:tc>
          <w:tcPr>
            <w:tcW w:w="1695" w:type="pct"/>
            <w:vMerge w:val="restart"/>
            <w:shd w:val="clear" w:color="auto" w:fill="auto"/>
            <w:tcMar>
              <w:top w:w="90" w:type="dxa"/>
              <w:left w:w="90" w:type="dxa"/>
              <w:bottom w:w="90" w:type="dxa"/>
              <w:right w:w="90" w:type="dxa"/>
            </w:tcMar>
          </w:tcPr>
          <w:p w:rsidR="00BA318D" w:rsidRPr="0099428A" w:rsidRDefault="00BA318D" w:rsidP="000336A9">
            <w:pPr>
              <w:numPr>
                <w:ilvl w:val="0"/>
                <w:numId w:val="2"/>
              </w:numPr>
              <w:suppressAutoHyphens/>
              <w:autoSpaceDE w:val="0"/>
              <w:autoSpaceDN w:val="0"/>
              <w:adjustRightInd w:val="0"/>
              <w:spacing w:after="200" w:line="276" w:lineRule="auto"/>
              <w:textAlignment w:val="center"/>
              <w:rPr>
                <w:color w:val="000000"/>
                <w:sz w:val="20"/>
                <w:szCs w:val="20"/>
              </w:rPr>
            </w:pPr>
            <w:r w:rsidRPr="0099428A">
              <w:rPr>
                <w:color w:val="000000"/>
                <w:sz w:val="20"/>
                <w:szCs w:val="20"/>
              </w:rPr>
              <w:t>Review timelines for all development processes, including permitting and inspections</w:t>
            </w:r>
          </w:p>
        </w:tc>
        <w:tc>
          <w:tcPr>
            <w:tcW w:w="643" w:type="pct"/>
            <w:shd w:val="clear" w:color="auto" w:fill="auto"/>
            <w:tcMar>
              <w:top w:w="90" w:type="dxa"/>
              <w:left w:w="90" w:type="dxa"/>
              <w:bottom w:w="90" w:type="dxa"/>
              <w:right w:w="90" w:type="dxa"/>
            </w:tcMar>
            <w:vAlign w:val="center"/>
          </w:tcPr>
          <w:p w:rsidR="00BA318D" w:rsidRPr="0099428A" w:rsidRDefault="00BA318D" w:rsidP="000336A9">
            <w:pPr>
              <w:suppressAutoHyphens/>
              <w:autoSpaceDE w:val="0"/>
              <w:autoSpaceDN w:val="0"/>
              <w:adjustRightInd w:val="0"/>
              <w:jc w:val="center"/>
              <w:textAlignment w:val="center"/>
              <w:rPr>
                <w:color w:val="000000"/>
                <w:sz w:val="20"/>
                <w:szCs w:val="20"/>
              </w:rPr>
            </w:pPr>
            <w:r w:rsidRPr="0099428A">
              <w:rPr>
                <w:color w:val="000000"/>
                <w:sz w:val="20"/>
                <w:szCs w:val="20"/>
              </w:rPr>
              <w:t>Local</w:t>
            </w:r>
          </w:p>
        </w:tc>
        <w:tc>
          <w:tcPr>
            <w:tcW w:w="556" w:type="pct"/>
            <w:shd w:val="clear" w:color="auto" w:fill="auto"/>
            <w:vAlign w:val="center"/>
          </w:tcPr>
          <w:p w:rsidR="00BA318D" w:rsidRPr="0099428A" w:rsidRDefault="00BA318D" w:rsidP="000336A9">
            <w:pPr>
              <w:suppressAutoHyphens/>
              <w:autoSpaceDE w:val="0"/>
              <w:autoSpaceDN w:val="0"/>
              <w:adjustRightInd w:val="0"/>
              <w:jc w:val="center"/>
              <w:textAlignment w:val="center"/>
              <w:rPr>
                <w:color w:val="000000"/>
                <w:sz w:val="20"/>
                <w:szCs w:val="20"/>
              </w:rPr>
            </w:pPr>
            <w:r>
              <w:rPr>
                <w:color w:val="000000"/>
                <w:sz w:val="20"/>
                <w:szCs w:val="20"/>
              </w:rPr>
              <w:t>X</w:t>
            </w:r>
          </w:p>
        </w:tc>
        <w:tc>
          <w:tcPr>
            <w:tcW w:w="1576" w:type="pct"/>
            <w:vMerge w:val="restart"/>
            <w:shd w:val="clear" w:color="auto" w:fill="auto"/>
            <w:tcMar>
              <w:top w:w="90" w:type="dxa"/>
              <w:left w:w="90" w:type="dxa"/>
              <w:bottom w:w="90" w:type="dxa"/>
              <w:right w:w="90" w:type="dxa"/>
            </w:tcMar>
          </w:tcPr>
          <w:p w:rsidR="00BA318D" w:rsidRPr="0099428A" w:rsidRDefault="00BA318D" w:rsidP="00A34E2F">
            <w:pPr>
              <w:numPr>
                <w:ilvl w:val="0"/>
                <w:numId w:val="2"/>
              </w:numPr>
              <w:suppressAutoHyphens/>
              <w:autoSpaceDE w:val="0"/>
              <w:autoSpaceDN w:val="0"/>
              <w:adjustRightInd w:val="0"/>
              <w:spacing w:after="200" w:line="276" w:lineRule="auto"/>
              <w:textAlignment w:val="center"/>
              <w:rPr>
                <w:color w:val="000000"/>
                <w:sz w:val="20"/>
                <w:szCs w:val="20"/>
              </w:rPr>
            </w:pPr>
            <w:r>
              <w:rPr>
                <w:color w:val="000000"/>
                <w:sz w:val="20"/>
                <w:szCs w:val="20"/>
              </w:rPr>
              <w:t xml:space="preserve">Recommendations for </w:t>
            </w:r>
            <w:r w:rsidRPr="0099428A">
              <w:rPr>
                <w:color w:val="000000"/>
                <w:sz w:val="20"/>
                <w:szCs w:val="20"/>
              </w:rPr>
              <w:t xml:space="preserve">streamlining and fast tracking </w:t>
            </w:r>
            <w:r>
              <w:rPr>
                <w:color w:val="000000"/>
                <w:sz w:val="20"/>
                <w:szCs w:val="20"/>
              </w:rPr>
              <w:t>.the development process are implemented.</w:t>
            </w:r>
          </w:p>
        </w:tc>
        <w:tc>
          <w:tcPr>
            <w:tcW w:w="530" w:type="pct"/>
            <w:vMerge w:val="restart"/>
            <w:shd w:val="clear" w:color="auto" w:fill="auto"/>
            <w:tcMar>
              <w:top w:w="90" w:type="dxa"/>
              <w:left w:w="90" w:type="dxa"/>
              <w:bottom w:w="90" w:type="dxa"/>
              <w:right w:w="90" w:type="dxa"/>
            </w:tcMar>
          </w:tcPr>
          <w:p w:rsidR="00BA318D" w:rsidRPr="0099428A" w:rsidRDefault="00BA318D" w:rsidP="000336A9">
            <w:pPr>
              <w:autoSpaceDE w:val="0"/>
              <w:autoSpaceDN w:val="0"/>
              <w:adjustRightInd w:val="0"/>
              <w:spacing w:line="288" w:lineRule="auto"/>
              <w:textAlignment w:val="center"/>
              <w:rPr>
                <w:color w:val="000000"/>
                <w:sz w:val="20"/>
                <w:szCs w:val="20"/>
              </w:rPr>
            </w:pPr>
          </w:p>
        </w:tc>
      </w:tr>
      <w:tr w:rsidR="00BA318D" w:rsidRPr="0099428A" w:rsidTr="00E133AB">
        <w:trPr>
          <w:trHeight w:val="449"/>
          <w:jc w:val="center"/>
        </w:trPr>
        <w:tc>
          <w:tcPr>
            <w:tcW w:w="1695" w:type="pct"/>
            <w:vMerge/>
            <w:shd w:val="clear" w:color="auto" w:fill="auto"/>
            <w:tcMar>
              <w:top w:w="90" w:type="dxa"/>
              <w:left w:w="90" w:type="dxa"/>
              <w:bottom w:w="90" w:type="dxa"/>
              <w:right w:w="90" w:type="dxa"/>
            </w:tcMar>
          </w:tcPr>
          <w:p w:rsidR="00BA318D" w:rsidRPr="0099428A" w:rsidRDefault="00BA318D" w:rsidP="000336A9">
            <w:pPr>
              <w:numPr>
                <w:ilvl w:val="0"/>
                <w:numId w:val="2"/>
              </w:numPr>
              <w:suppressAutoHyphens/>
              <w:autoSpaceDE w:val="0"/>
              <w:autoSpaceDN w:val="0"/>
              <w:adjustRightInd w:val="0"/>
              <w:spacing w:after="200" w:line="276" w:lineRule="auto"/>
              <w:textAlignment w:val="center"/>
              <w:rPr>
                <w:color w:val="000000"/>
                <w:sz w:val="20"/>
                <w:szCs w:val="20"/>
              </w:rPr>
            </w:pPr>
          </w:p>
        </w:tc>
        <w:tc>
          <w:tcPr>
            <w:tcW w:w="643" w:type="pct"/>
            <w:shd w:val="clear" w:color="auto" w:fill="auto"/>
            <w:tcMar>
              <w:top w:w="90" w:type="dxa"/>
              <w:left w:w="90" w:type="dxa"/>
              <w:bottom w:w="90" w:type="dxa"/>
              <w:right w:w="90" w:type="dxa"/>
            </w:tcMar>
            <w:vAlign w:val="center"/>
          </w:tcPr>
          <w:p w:rsidR="00BA318D" w:rsidRPr="0099428A" w:rsidRDefault="00BA318D" w:rsidP="000336A9">
            <w:pPr>
              <w:suppressAutoHyphens/>
              <w:autoSpaceDE w:val="0"/>
              <w:autoSpaceDN w:val="0"/>
              <w:adjustRightInd w:val="0"/>
              <w:jc w:val="center"/>
              <w:textAlignment w:val="center"/>
              <w:rPr>
                <w:color w:val="000000"/>
                <w:sz w:val="20"/>
                <w:szCs w:val="20"/>
              </w:rPr>
            </w:pPr>
            <w:r w:rsidRPr="0099428A">
              <w:rPr>
                <w:color w:val="000000"/>
                <w:sz w:val="20"/>
                <w:szCs w:val="20"/>
              </w:rPr>
              <w:t>State</w:t>
            </w:r>
          </w:p>
        </w:tc>
        <w:tc>
          <w:tcPr>
            <w:tcW w:w="556" w:type="pct"/>
            <w:shd w:val="clear" w:color="auto" w:fill="auto"/>
            <w:vAlign w:val="center"/>
          </w:tcPr>
          <w:p w:rsidR="00BA318D" w:rsidRPr="0099428A" w:rsidRDefault="00BA318D" w:rsidP="000336A9">
            <w:pPr>
              <w:suppressAutoHyphens/>
              <w:autoSpaceDE w:val="0"/>
              <w:autoSpaceDN w:val="0"/>
              <w:adjustRightInd w:val="0"/>
              <w:jc w:val="center"/>
              <w:textAlignment w:val="center"/>
              <w:rPr>
                <w:color w:val="000000"/>
                <w:sz w:val="20"/>
                <w:szCs w:val="20"/>
              </w:rPr>
            </w:pPr>
          </w:p>
        </w:tc>
        <w:tc>
          <w:tcPr>
            <w:tcW w:w="1576" w:type="pct"/>
            <w:vMerge/>
            <w:shd w:val="clear" w:color="auto" w:fill="auto"/>
            <w:tcMar>
              <w:top w:w="90" w:type="dxa"/>
              <w:left w:w="90" w:type="dxa"/>
              <w:bottom w:w="90" w:type="dxa"/>
              <w:right w:w="90" w:type="dxa"/>
            </w:tcMar>
          </w:tcPr>
          <w:p w:rsidR="00BA318D" w:rsidRPr="0099428A" w:rsidRDefault="00BA318D" w:rsidP="000336A9">
            <w:pPr>
              <w:numPr>
                <w:ilvl w:val="0"/>
                <w:numId w:val="2"/>
              </w:numPr>
              <w:suppressAutoHyphens/>
              <w:autoSpaceDE w:val="0"/>
              <w:autoSpaceDN w:val="0"/>
              <w:adjustRightInd w:val="0"/>
              <w:spacing w:after="200" w:line="276" w:lineRule="auto"/>
              <w:textAlignment w:val="center"/>
              <w:rPr>
                <w:color w:val="000000"/>
                <w:sz w:val="20"/>
                <w:szCs w:val="20"/>
              </w:rPr>
            </w:pPr>
          </w:p>
        </w:tc>
        <w:tc>
          <w:tcPr>
            <w:tcW w:w="530" w:type="pct"/>
            <w:vMerge/>
            <w:shd w:val="clear" w:color="auto" w:fill="auto"/>
            <w:tcMar>
              <w:top w:w="90" w:type="dxa"/>
              <w:left w:w="90" w:type="dxa"/>
              <w:bottom w:w="90" w:type="dxa"/>
              <w:right w:w="90" w:type="dxa"/>
            </w:tcMar>
          </w:tcPr>
          <w:p w:rsidR="00BA318D" w:rsidRPr="0099428A" w:rsidRDefault="00BA318D" w:rsidP="000336A9">
            <w:pPr>
              <w:autoSpaceDE w:val="0"/>
              <w:autoSpaceDN w:val="0"/>
              <w:adjustRightInd w:val="0"/>
              <w:spacing w:line="288" w:lineRule="auto"/>
              <w:textAlignment w:val="center"/>
              <w:rPr>
                <w:color w:val="000000"/>
                <w:sz w:val="20"/>
                <w:szCs w:val="20"/>
              </w:rPr>
            </w:pPr>
          </w:p>
        </w:tc>
      </w:tr>
      <w:tr w:rsidR="00BA318D" w:rsidRPr="0099428A" w:rsidTr="00E133AB">
        <w:trPr>
          <w:trHeight w:val="350"/>
          <w:jc w:val="center"/>
        </w:trPr>
        <w:tc>
          <w:tcPr>
            <w:tcW w:w="1695" w:type="pct"/>
            <w:vMerge/>
            <w:shd w:val="clear" w:color="auto" w:fill="auto"/>
            <w:tcMar>
              <w:top w:w="90" w:type="dxa"/>
              <w:left w:w="90" w:type="dxa"/>
              <w:bottom w:w="90" w:type="dxa"/>
              <w:right w:w="90" w:type="dxa"/>
            </w:tcMar>
          </w:tcPr>
          <w:p w:rsidR="00BA318D" w:rsidRPr="0099428A" w:rsidRDefault="00BA318D" w:rsidP="000336A9">
            <w:pPr>
              <w:numPr>
                <w:ilvl w:val="0"/>
                <w:numId w:val="2"/>
              </w:numPr>
              <w:suppressAutoHyphens/>
              <w:autoSpaceDE w:val="0"/>
              <w:autoSpaceDN w:val="0"/>
              <w:adjustRightInd w:val="0"/>
              <w:spacing w:after="200" w:line="276" w:lineRule="auto"/>
              <w:textAlignment w:val="center"/>
              <w:rPr>
                <w:color w:val="000000"/>
                <w:sz w:val="20"/>
                <w:szCs w:val="20"/>
              </w:rPr>
            </w:pPr>
          </w:p>
        </w:tc>
        <w:tc>
          <w:tcPr>
            <w:tcW w:w="643" w:type="pct"/>
            <w:shd w:val="clear" w:color="auto" w:fill="auto"/>
            <w:tcMar>
              <w:top w:w="90" w:type="dxa"/>
              <w:left w:w="90" w:type="dxa"/>
              <w:bottom w:w="90" w:type="dxa"/>
              <w:right w:w="90" w:type="dxa"/>
            </w:tcMar>
            <w:vAlign w:val="center"/>
          </w:tcPr>
          <w:p w:rsidR="00BA318D" w:rsidRPr="0099428A" w:rsidRDefault="00BA318D" w:rsidP="000336A9">
            <w:pPr>
              <w:suppressAutoHyphens/>
              <w:autoSpaceDE w:val="0"/>
              <w:autoSpaceDN w:val="0"/>
              <w:adjustRightInd w:val="0"/>
              <w:jc w:val="center"/>
              <w:textAlignment w:val="center"/>
              <w:rPr>
                <w:color w:val="000000"/>
                <w:sz w:val="20"/>
                <w:szCs w:val="20"/>
              </w:rPr>
            </w:pPr>
            <w:r w:rsidRPr="0099428A">
              <w:rPr>
                <w:color w:val="000000"/>
                <w:sz w:val="20"/>
                <w:szCs w:val="20"/>
              </w:rPr>
              <w:t>Voter</w:t>
            </w:r>
          </w:p>
        </w:tc>
        <w:tc>
          <w:tcPr>
            <w:tcW w:w="556" w:type="pct"/>
            <w:shd w:val="clear" w:color="auto" w:fill="auto"/>
            <w:vAlign w:val="center"/>
          </w:tcPr>
          <w:p w:rsidR="00BA318D" w:rsidRPr="0099428A" w:rsidRDefault="00BA318D" w:rsidP="000336A9">
            <w:pPr>
              <w:suppressAutoHyphens/>
              <w:autoSpaceDE w:val="0"/>
              <w:autoSpaceDN w:val="0"/>
              <w:adjustRightInd w:val="0"/>
              <w:jc w:val="center"/>
              <w:textAlignment w:val="center"/>
              <w:rPr>
                <w:color w:val="000000"/>
                <w:sz w:val="20"/>
                <w:szCs w:val="20"/>
              </w:rPr>
            </w:pPr>
          </w:p>
        </w:tc>
        <w:tc>
          <w:tcPr>
            <w:tcW w:w="1576" w:type="pct"/>
            <w:vMerge/>
            <w:shd w:val="clear" w:color="auto" w:fill="auto"/>
            <w:tcMar>
              <w:top w:w="90" w:type="dxa"/>
              <w:left w:w="90" w:type="dxa"/>
              <w:bottom w:w="90" w:type="dxa"/>
              <w:right w:w="90" w:type="dxa"/>
            </w:tcMar>
          </w:tcPr>
          <w:p w:rsidR="00BA318D" w:rsidRPr="0099428A" w:rsidRDefault="00BA318D" w:rsidP="000336A9">
            <w:pPr>
              <w:numPr>
                <w:ilvl w:val="0"/>
                <w:numId w:val="2"/>
              </w:numPr>
              <w:suppressAutoHyphens/>
              <w:autoSpaceDE w:val="0"/>
              <w:autoSpaceDN w:val="0"/>
              <w:adjustRightInd w:val="0"/>
              <w:spacing w:after="200" w:line="276" w:lineRule="auto"/>
              <w:textAlignment w:val="center"/>
              <w:rPr>
                <w:color w:val="000000"/>
                <w:sz w:val="20"/>
                <w:szCs w:val="20"/>
              </w:rPr>
            </w:pPr>
          </w:p>
        </w:tc>
        <w:tc>
          <w:tcPr>
            <w:tcW w:w="530" w:type="pct"/>
            <w:vMerge/>
            <w:shd w:val="clear" w:color="auto" w:fill="auto"/>
            <w:tcMar>
              <w:top w:w="90" w:type="dxa"/>
              <w:left w:w="90" w:type="dxa"/>
              <w:bottom w:w="90" w:type="dxa"/>
              <w:right w:w="90" w:type="dxa"/>
            </w:tcMar>
          </w:tcPr>
          <w:p w:rsidR="00BA318D" w:rsidRPr="0099428A" w:rsidRDefault="00BA318D" w:rsidP="000336A9">
            <w:pPr>
              <w:autoSpaceDE w:val="0"/>
              <w:autoSpaceDN w:val="0"/>
              <w:adjustRightInd w:val="0"/>
              <w:spacing w:line="288" w:lineRule="auto"/>
              <w:textAlignment w:val="center"/>
              <w:rPr>
                <w:color w:val="000000"/>
                <w:sz w:val="20"/>
                <w:szCs w:val="20"/>
              </w:rPr>
            </w:pPr>
          </w:p>
        </w:tc>
      </w:tr>
      <w:tr w:rsidR="00BA318D" w:rsidRPr="0099428A" w:rsidTr="00E133AB">
        <w:trPr>
          <w:trHeight w:val="350"/>
          <w:jc w:val="center"/>
        </w:trPr>
        <w:tc>
          <w:tcPr>
            <w:tcW w:w="1695" w:type="pct"/>
            <w:vMerge w:val="restart"/>
            <w:shd w:val="clear" w:color="auto" w:fill="auto"/>
            <w:tcMar>
              <w:top w:w="90" w:type="dxa"/>
              <w:left w:w="90" w:type="dxa"/>
              <w:bottom w:w="90" w:type="dxa"/>
              <w:right w:w="90" w:type="dxa"/>
            </w:tcMar>
          </w:tcPr>
          <w:p w:rsidR="00BA318D" w:rsidRPr="0099428A" w:rsidRDefault="00BA318D" w:rsidP="00A34E2F">
            <w:pPr>
              <w:numPr>
                <w:ilvl w:val="0"/>
                <w:numId w:val="2"/>
              </w:numPr>
              <w:suppressAutoHyphens/>
              <w:autoSpaceDE w:val="0"/>
              <w:autoSpaceDN w:val="0"/>
              <w:adjustRightInd w:val="0"/>
              <w:spacing w:after="200" w:line="276" w:lineRule="auto"/>
              <w:textAlignment w:val="center"/>
              <w:rPr>
                <w:color w:val="000000"/>
                <w:sz w:val="20"/>
                <w:szCs w:val="20"/>
              </w:rPr>
            </w:pPr>
            <w:r>
              <w:rPr>
                <w:color w:val="000000"/>
                <w:sz w:val="20"/>
                <w:szCs w:val="20"/>
              </w:rPr>
              <w:t xml:space="preserve">Continue to reach out to </w:t>
            </w:r>
            <w:r w:rsidRPr="0099428A">
              <w:rPr>
                <w:color w:val="000000"/>
                <w:sz w:val="20"/>
                <w:szCs w:val="20"/>
              </w:rPr>
              <w:t>developers, architects, and contractors to obtain feedback on timelines to prioritize their modifications</w:t>
            </w:r>
          </w:p>
        </w:tc>
        <w:tc>
          <w:tcPr>
            <w:tcW w:w="643" w:type="pct"/>
            <w:tcBorders>
              <w:bottom w:val="single" w:sz="4" w:space="0" w:color="000000"/>
            </w:tcBorders>
            <w:shd w:val="clear" w:color="auto" w:fill="auto"/>
            <w:tcMar>
              <w:top w:w="90" w:type="dxa"/>
              <w:left w:w="90" w:type="dxa"/>
              <w:bottom w:w="90" w:type="dxa"/>
              <w:right w:w="90" w:type="dxa"/>
            </w:tcMar>
            <w:vAlign w:val="center"/>
          </w:tcPr>
          <w:p w:rsidR="00BA318D" w:rsidRPr="0099428A" w:rsidRDefault="00BA318D" w:rsidP="000336A9">
            <w:pPr>
              <w:suppressAutoHyphens/>
              <w:autoSpaceDE w:val="0"/>
              <w:autoSpaceDN w:val="0"/>
              <w:adjustRightInd w:val="0"/>
              <w:jc w:val="center"/>
              <w:textAlignment w:val="center"/>
              <w:rPr>
                <w:color w:val="000000"/>
                <w:sz w:val="20"/>
                <w:szCs w:val="20"/>
              </w:rPr>
            </w:pPr>
            <w:r w:rsidRPr="0099428A">
              <w:rPr>
                <w:color w:val="000000"/>
                <w:sz w:val="20"/>
                <w:szCs w:val="20"/>
              </w:rPr>
              <w:t>Local</w:t>
            </w:r>
          </w:p>
        </w:tc>
        <w:tc>
          <w:tcPr>
            <w:tcW w:w="556" w:type="pct"/>
            <w:tcBorders>
              <w:bottom w:val="single" w:sz="4" w:space="0" w:color="000000"/>
            </w:tcBorders>
            <w:shd w:val="clear" w:color="auto" w:fill="auto"/>
            <w:vAlign w:val="center"/>
          </w:tcPr>
          <w:p w:rsidR="00BA318D" w:rsidRPr="0099428A" w:rsidRDefault="00BA318D" w:rsidP="000336A9">
            <w:pPr>
              <w:suppressAutoHyphens/>
              <w:autoSpaceDE w:val="0"/>
              <w:autoSpaceDN w:val="0"/>
              <w:adjustRightInd w:val="0"/>
              <w:jc w:val="center"/>
              <w:textAlignment w:val="center"/>
              <w:rPr>
                <w:color w:val="000000"/>
                <w:sz w:val="20"/>
                <w:szCs w:val="20"/>
              </w:rPr>
            </w:pPr>
            <w:r>
              <w:rPr>
                <w:color w:val="000000"/>
                <w:sz w:val="20"/>
                <w:szCs w:val="20"/>
              </w:rPr>
              <w:t>X</w:t>
            </w:r>
          </w:p>
        </w:tc>
        <w:tc>
          <w:tcPr>
            <w:tcW w:w="1576" w:type="pct"/>
            <w:vMerge w:val="restart"/>
            <w:shd w:val="clear" w:color="auto" w:fill="auto"/>
            <w:tcMar>
              <w:top w:w="90" w:type="dxa"/>
              <w:left w:w="90" w:type="dxa"/>
              <w:bottom w:w="90" w:type="dxa"/>
              <w:right w:w="90" w:type="dxa"/>
            </w:tcMar>
          </w:tcPr>
          <w:p w:rsidR="00BA318D" w:rsidRPr="0099428A" w:rsidRDefault="00BA318D" w:rsidP="000336A9">
            <w:pPr>
              <w:numPr>
                <w:ilvl w:val="0"/>
                <w:numId w:val="2"/>
              </w:numPr>
              <w:suppressAutoHyphens/>
              <w:autoSpaceDE w:val="0"/>
              <w:autoSpaceDN w:val="0"/>
              <w:adjustRightInd w:val="0"/>
              <w:spacing w:after="200" w:line="276" w:lineRule="auto"/>
              <w:textAlignment w:val="center"/>
              <w:rPr>
                <w:color w:val="000000"/>
                <w:sz w:val="20"/>
                <w:szCs w:val="20"/>
              </w:rPr>
            </w:pPr>
            <w:r w:rsidRPr="0099428A">
              <w:rPr>
                <w:color w:val="000000"/>
                <w:sz w:val="20"/>
                <w:szCs w:val="20"/>
              </w:rPr>
              <w:t>Further streamlining and fast tracking is achieved</w:t>
            </w:r>
            <w:r>
              <w:rPr>
                <w:color w:val="000000"/>
                <w:sz w:val="20"/>
                <w:szCs w:val="20"/>
              </w:rPr>
              <w:t>.</w:t>
            </w:r>
          </w:p>
        </w:tc>
        <w:tc>
          <w:tcPr>
            <w:tcW w:w="530" w:type="pct"/>
            <w:vMerge w:val="restart"/>
            <w:shd w:val="clear" w:color="auto" w:fill="auto"/>
            <w:tcMar>
              <w:top w:w="90" w:type="dxa"/>
              <w:left w:w="90" w:type="dxa"/>
              <w:bottom w:w="90" w:type="dxa"/>
              <w:right w:w="90" w:type="dxa"/>
            </w:tcMar>
          </w:tcPr>
          <w:p w:rsidR="00BA318D" w:rsidRPr="0099428A" w:rsidRDefault="00BA318D" w:rsidP="000336A9">
            <w:pPr>
              <w:autoSpaceDE w:val="0"/>
              <w:autoSpaceDN w:val="0"/>
              <w:adjustRightInd w:val="0"/>
              <w:spacing w:line="288" w:lineRule="auto"/>
              <w:textAlignment w:val="center"/>
              <w:rPr>
                <w:color w:val="000000"/>
                <w:sz w:val="20"/>
                <w:szCs w:val="20"/>
              </w:rPr>
            </w:pPr>
          </w:p>
        </w:tc>
      </w:tr>
      <w:tr w:rsidR="00BA318D" w:rsidRPr="0099428A" w:rsidTr="00E133AB">
        <w:trPr>
          <w:trHeight w:val="449"/>
          <w:jc w:val="center"/>
        </w:trPr>
        <w:tc>
          <w:tcPr>
            <w:tcW w:w="1695" w:type="pct"/>
            <w:vMerge/>
            <w:shd w:val="clear" w:color="auto" w:fill="auto"/>
            <w:tcMar>
              <w:top w:w="90" w:type="dxa"/>
              <w:left w:w="90" w:type="dxa"/>
              <w:bottom w:w="90" w:type="dxa"/>
              <w:right w:w="90" w:type="dxa"/>
            </w:tcMar>
          </w:tcPr>
          <w:p w:rsidR="00BA318D" w:rsidRPr="0099428A" w:rsidRDefault="00BA318D" w:rsidP="000336A9">
            <w:pPr>
              <w:numPr>
                <w:ilvl w:val="0"/>
                <w:numId w:val="2"/>
              </w:numPr>
              <w:suppressAutoHyphens/>
              <w:autoSpaceDE w:val="0"/>
              <w:autoSpaceDN w:val="0"/>
              <w:adjustRightInd w:val="0"/>
              <w:spacing w:after="200" w:line="276" w:lineRule="auto"/>
              <w:textAlignment w:val="center"/>
              <w:rPr>
                <w:color w:val="000000"/>
                <w:sz w:val="20"/>
                <w:szCs w:val="20"/>
              </w:rPr>
            </w:pPr>
          </w:p>
        </w:tc>
        <w:tc>
          <w:tcPr>
            <w:tcW w:w="643" w:type="pct"/>
            <w:tcBorders>
              <w:bottom w:val="single" w:sz="4" w:space="0" w:color="000000"/>
            </w:tcBorders>
            <w:shd w:val="clear" w:color="auto" w:fill="auto"/>
            <w:tcMar>
              <w:top w:w="90" w:type="dxa"/>
              <w:left w:w="90" w:type="dxa"/>
              <w:bottom w:w="90" w:type="dxa"/>
              <w:right w:w="90" w:type="dxa"/>
            </w:tcMar>
            <w:vAlign w:val="center"/>
          </w:tcPr>
          <w:p w:rsidR="00BA318D" w:rsidRPr="0099428A" w:rsidRDefault="00BA318D" w:rsidP="000336A9">
            <w:pPr>
              <w:suppressAutoHyphens/>
              <w:autoSpaceDE w:val="0"/>
              <w:autoSpaceDN w:val="0"/>
              <w:adjustRightInd w:val="0"/>
              <w:jc w:val="center"/>
              <w:textAlignment w:val="center"/>
              <w:rPr>
                <w:color w:val="000000"/>
                <w:sz w:val="20"/>
                <w:szCs w:val="20"/>
              </w:rPr>
            </w:pPr>
            <w:r w:rsidRPr="0099428A">
              <w:rPr>
                <w:color w:val="000000"/>
                <w:sz w:val="20"/>
                <w:szCs w:val="20"/>
              </w:rPr>
              <w:t>State</w:t>
            </w:r>
          </w:p>
        </w:tc>
        <w:tc>
          <w:tcPr>
            <w:tcW w:w="556" w:type="pct"/>
            <w:tcBorders>
              <w:bottom w:val="single" w:sz="4" w:space="0" w:color="000000"/>
            </w:tcBorders>
            <w:shd w:val="clear" w:color="auto" w:fill="auto"/>
            <w:vAlign w:val="center"/>
          </w:tcPr>
          <w:p w:rsidR="00BA318D" w:rsidRPr="0099428A" w:rsidRDefault="00BA318D" w:rsidP="000336A9">
            <w:pPr>
              <w:suppressAutoHyphens/>
              <w:autoSpaceDE w:val="0"/>
              <w:autoSpaceDN w:val="0"/>
              <w:adjustRightInd w:val="0"/>
              <w:jc w:val="center"/>
              <w:textAlignment w:val="center"/>
              <w:rPr>
                <w:color w:val="000000"/>
                <w:sz w:val="20"/>
                <w:szCs w:val="20"/>
              </w:rPr>
            </w:pPr>
          </w:p>
        </w:tc>
        <w:tc>
          <w:tcPr>
            <w:tcW w:w="1576" w:type="pct"/>
            <w:vMerge/>
            <w:shd w:val="clear" w:color="auto" w:fill="auto"/>
            <w:tcMar>
              <w:top w:w="90" w:type="dxa"/>
              <w:left w:w="90" w:type="dxa"/>
              <w:bottom w:w="90" w:type="dxa"/>
              <w:right w:w="90" w:type="dxa"/>
            </w:tcMar>
          </w:tcPr>
          <w:p w:rsidR="00BA318D" w:rsidRPr="0099428A" w:rsidRDefault="00BA318D" w:rsidP="000336A9">
            <w:pPr>
              <w:numPr>
                <w:ilvl w:val="0"/>
                <w:numId w:val="2"/>
              </w:numPr>
              <w:suppressAutoHyphens/>
              <w:autoSpaceDE w:val="0"/>
              <w:autoSpaceDN w:val="0"/>
              <w:adjustRightInd w:val="0"/>
              <w:spacing w:after="200" w:line="276" w:lineRule="auto"/>
              <w:textAlignment w:val="center"/>
              <w:rPr>
                <w:color w:val="000000"/>
                <w:sz w:val="20"/>
                <w:szCs w:val="20"/>
              </w:rPr>
            </w:pPr>
          </w:p>
        </w:tc>
        <w:tc>
          <w:tcPr>
            <w:tcW w:w="530" w:type="pct"/>
            <w:vMerge/>
            <w:shd w:val="clear" w:color="auto" w:fill="auto"/>
            <w:tcMar>
              <w:top w:w="90" w:type="dxa"/>
              <w:left w:w="90" w:type="dxa"/>
              <w:bottom w:w="90" w:type="dxa"/>
              <w:right w:w="90" w:type="dxa"/>
            </w:tcMar>
          </w:tcPr>
          <w:p w:rsidR="00BA318D" w:rsidRPr="0099428A" w:rsidRDefault="00BA318D" w:rsidP="000336A9">
            <w:pPr>
              <w:autoSpaceDE w:val="0"/>
              <w:autoSpaceDN w:val="0"/>
              <w:adjustRightInd w:val="0"/>
              <w:spacing w:line="288" w:lineRule="auto"/>
              <w:textAlignment w:val="center"/>
              <w:rPr>
                <w:color w:val="000000"/>
                <w:sz w:val="20"/>
                <w:szCs w:val="20"/>
              </w:rPr>
            </w:pPr>
          </w:p>
        </w:tc>
      </w:tr>
      <w:tr w:rsidR="00BA318D" w:rsidRPr="0099428A" w:rsidTr="00E133AB">
        <w:trPr>
          <w:trHeight w:val="386"/>
          <w:jc w:val="center"/>
        </w:trPr>
        <w:tc>
          <w:tcPr>
            <w:tcW w:w="1695" w:type="pct"/>
            <w:vMerge/>
            <w:tcBorders>
              <w:bottom w:val="single" w:sz="4" w:space="0" w:color="000000"/>
            </w:tcBorders>
            <w:shd w:val="clear" w:color="auto" w:fill="auto"/>
            <w:tcMar>
              <w:top w:w="90" w:type="dxa"/>
              <w:left w:w="90" w:type="dxa"/>
              <w:bottom w:w="90" w:type="dxa"/>
              <w:right w:w="90" w:type="dxa"/>
            </w:tcMar>
          </w:tcPr>
          <w:p w:rsidR="00BA318D" w:rsidRPr="0099428A" w:rsidRDefault="00BA318D" w:rsidP="000336A9">
            <w:pPr>
              <w:numPr>
                <w:ilvl w:val="0"/>
                <w:numId w:val="2"/>
              </w:numPr>
              <w:suppressAutoHyphens/>
              <w:autoSpaceDE w:val="0"/>
              <w:autoSpaceDN w:val="0"/>
              <w:adjustRightInd w:val="0"/>
              <w:spacing w:after="200" w:line="276" w:lineRule="auto"/>
              <w:textAlignment w:val="center"/>
              <w:rPr>
                <w:color w:val="000000"/>
                <w:sz w:val="20"/>
                <w:szCs w:val="20"/>
              </w:rPr>
            </w:pPr>
          </w:p>
        </w:tc>
        <w:tc>
          <w:tcPr>
            <w:tcW w:w="643" w:type="pct"/>
            <w:tcBorders>
              <w:bottom w:val="single" w:sz="4" w:space="0" w:color="000000"/>
            </w:tcBorders>
            <w:shd w:val="clear" w:color="auto" w:fill="auto"/>
            <w:tcMar>
              <w:top w:w="90" w:type="dxa"/>
              <w:left w:w="90" w:type="dxa"/>
              <w:bottom w:w="90" w:type="dxa"/>
              <w:right w:w="90" w:type="dxa"/>
            </w:tcMar>
            <w:vAlign w:val="center"/>
          </w:tcPr>
          <w:p w:rsidR="00BA318D" w:rsidRPr="0099428A" w:rsidRDefault="00BA318D" w:rsidP="000336A9">
            <w:pPr>
              <w:suppressAutoHyphens/>
              <w:autoSpaceDE w:val="0"/>
              <w:autoSpaceDN w:val="0"/>
              <w:adjustRightInd w:val="0"/>
              <w:jc w:val="center"/>
              <w:textAlignment w:val="center"/>
              <w:rPr>
                <w:color w:val="000000"/>
                <w:sz w:val="20"/>
                <w:szCs w:val="20"/>
              </w:rPr>
            </w:pPr>
            <w:r w:rsidRPr="0099428A">
              <w:rPr>
                <w:color w:val="000000"/>
                <w:sz w:val="20"/>
                <w:szCs w:val="20"/>
              </w:rPr>
              <w:t>Voter</w:t>
            </w:r>
          </w:p>
        </w:tc>
        <w:tc>
          <w:tcPr>
            <w:tcW w:w="556" w:type="pct"/>
            <w:tcBorders>
              <w:bottom w:val="single" w:sz="4" w:space="0" w:color="000000"/>
            </w:tcBorders>
            <w:shd w:val="clear" w:color="auto" w:fill="auto"/>
            <w:vAlign w:val="center"/>
          </w:tcPr>
          <w:p w:rsidR="00BA318D" w:rsidRPr="0099428A" w:rsidRDefault="00BA318D" w:rsidP="000336A9">
            <w:pPr>
              <w:suppressAutoHyphens/>
              <w:autoSpaceDE w:val="0"/>
              <w:autoSpaceDN w:val="0"/>
              <w:adjustRightInd w:val="0"/>
              <w:jc w:val="center"/>
              <w:textAlignment w:val="center"/>
              <w:rPr>
                <w:color w:val="000000"/>
                <w:sz w:val="20"/>
                <w:szCs w:val="20"/>
              </w:rPr>
            </w:pPr>
          </w:p>
        </w:tc>
        <w:tc>
          <w:tcPr>
            <w:tcW w:w="1576" w:type="pct"/>
            <w:vMerge/>
            <w:tcBorders>
              <w:bottom w:val="single" w:sz="4" w:space="0" w:color="000000"/>
            </w:tcBorders>
            <w:shd w:val="clear" w:color="auto" w:fill="auto"/>
            <w:tcMar>
              <w:top w:w="90" w:type="dxa"/>
              <w:left w:w="90" w:type="dxa"/>
              <w:bottom w:w="90" w:type="dxa"/>
              <w:right w:w="90" w:type="dxa"/>
            </w:tcMar>
          </w:tcPr>
          <w:p w:rsidR="00BA318D" w:rsidRPr="0099428A" w:rsidRDefault="00BA318D" w:rsidP="000336A9">
            <w:pPr>
              <w:numPr>
                <w:ilvl w:val="0"/>
                <w:numId w:val="2"/>
              </w:numPr>
              <w:suppressAutoHyphens/>
              <w:autoSpaceDE w:val="0"/>
              <w:autoSpaceDN w:val="0"/>
              <w:adjustRightInd w:val="0"/>
              <w:spacing w:after="200" w:line="276" w:lineRule="auto"/>
              <w:textAlignment w:val="center"/>
              <w:rPr>
                <w:color w:val="000000"/>
                <w:sz w:val="20"/>
                <w:szCs w:val="20"/>
              </w:rPr>
            </w:pPr>
          </w:p>
        </w:tc>
        <w:tc>
          <w:tcPr>
            <w:tcW w:w="530" w:type="pct"/>
            <w:vMerge/>
            <w:tcBorders>
              <w:bottom w:val="single" w:sz="4" w:space="0" w:color="000000"/>
            </w:tcBorders>
            <w:shd w:val="clear" w:color="auto" w:fill="auto"/>
            <w:tcMar>
              <w:top w:w="90" w:type="dxa"/>
              <w:left w:w="90" w:type="dxa"/>
              <w:bottom w:w="90" w:type="dxa"/>
              <w:right w:w="90" w:type="dxa"/>
            </w:tcMar>
          </w:tcPr>
          <w:p w:rsidR="00BA318D" w:rsidRPr="0099428A" w:rsidRDefault="00BA318D" w:rsidP="000336A9">
            <w:pPr>
              <w:autoSpaceDE w:val="0"/>
              <w:autoSpaceDN w:val="0"/>
              <w:adjustRightInd w:val="0"/>
              <w:spacing w:line="288" w:lineRule="auto"/>
              <w:textAlignment w:val="center"/>
              <w:rPr>
                <w:color w:val="000000"/>
                <w:sz w:val="20"/>
                <w:szCs w:val="20"/>
              </w:rPr>
            </w:pPr>
          </w:p>
        </w:tc>
      </w:tr>
      <w:tr w:rsidR="00BA318D" w:rsidRPr="0099428A" w:rsidTr="00BA318D">
        <w:trPr>
          <w:trHeight w:val="60"/>
          <w:jc w:val="center"/>
        </w:trPr>
        <w:tc>
          <w:tcPr>
            <w:tcW w:w="5000" w:type="pct"/>
            <w:gridSpan w:val="5"/>
            <w:shd w:val="clear" w:color="auto" w:fill="C2D69B" w:themeFill="accent3" w:themeFillTint="99"/>
            <w:tcMar>
              <w:top w:w="90" w:type="dxa"/>
              <w:left w:w="90" w:type="dxa"/>
              <w:bottom w:w="90" w:type="dxa"/>
              <w:right w:w="90" w:type="dxa"/>
            </w:tcMar>
            <w:vAlign w:val="center"/>
          </w:tcPr>
          <w:p w:rsidR="00BA318D" w:rsidRPr="0099428A" w:rsidRDefault="00BA318D" w:rsidP="000336A9">
            <w:pPr>
              <w:autoSpaceDE w:val="0"/>
              <w:autoSpaceDN w:val="0"/>
              <w:adjustRightInd w:val="0"/>
              <w:spacing w:line="288" w:lineRule="auto"/>
              <w:textAlignment w:val="center"/>
              <w:rPr>
                <w:color w:val="000000"/>
                <w:sz w:val="20"/>
                <w:szCs w:val="20"/>
              </w:rPr>
            </w:pPr>
            <w:r w:rsidRPr="0099428A">
              <w:rPr>
                <w:b/>
                <w:bCs/>
                <w:color w:val="000000"/>
                <w:sz w:val="20"/>
                <w:szCs w:val="20"/>
              </w:rPr>
              <w:t>Action Step #4:  Hold Article 34 Election</w:t>
            </w:r>
          </w:p>
        </w:tc>
      </w:tr>
      <w:tr w:rsidR="00BA318D" w:rsidRPr="0099428A" w:rsidTr="00E133AB">
        <w:trPr>
          <w:trHeight w:val="60"/>
          <w:jc w:val="center"/>
        </w:trPr>
        <w:tc>
          <w:tcPr>
            <w:tcW w:w="1695" w:type="pct"/>
            <w:shd w:val="clear" w:color="auto" w:fill="C2D69B" w:themeFill="accent3" w:themeFillTint="99"/>
            <w:tcMar>
              <w:top w:w="90" w:type="dxa"/>
              <w:left w:w="90" w:type="dxa"/>
              <w:bottom w:w="90" w:type="dxa"/>
              <w:right w:w="90" w:type="dxa"/>
            </w:tcMar>
            <w:vAlign w:val="center"/>
          </w:tcPr>
          <w:p w:rsidR="00BA318D" w:rsidRPr="0099428A" w:rsidRDefault="00BA318D" w:rsidP="000336A9">
            <w:pPr>
              <w:suppressAutoHyphens/>
              <w:autoSpaceDE w:val="0"/>
              <w:autoSpaceDN w:val="0"/>
              <w:adjustRightInd w:val="0"/>
              <w:jc w:val="center"/>
              <w:textAlignment w:val="center"/>
              <w:rPr>
                <w:b/>
                <w:bCs/>
                <w:color w:val="000000"/>
                <w:sz w:val="20"/>
                <w:szCs w:val="20"/>
              </w:rPr>
            </w:pPr>
            <w:r w:rsidRPr="0099428A">
              <w:rPr>
                <w:b/>
                <w:bCs/>
                <w:color w:val="000000"/>
                <w:sz w:val="20"/>
                <w:szCs w:val="20"/>
              </w:rPr>
              <w:t>Tasks</w:t>
            </w:r>
          </w:p>
        </w:tc>
        <w:tc>
          <w:tcPr>
            <w:tcW w:w="1199" w:type="pct"/>
            <w:gridSpan w:val="2"/>
            <w:shd w:val="clear" w:color="auto" w:fill="C2D69B" w:themeFill="accent3" w:themeFillTint="99"/>
            <w:tcMar>
              <w:top w:w="90" w:type="dxa"/>
              <w:left w:w="90" w:type="dxa"/>
              <w:bottom w:w="90" w:type="dxa"/>
              <w:right w:w="90" w:type="dxa"/>
            </w:tcMar>
            <w:vAlign w:val="center"/>
          </w:tcPr>
          <w:p w:rsidR="00BA318D" w:rsidRPr="0099428A" w:rsidRDefault="00BA318D" w:rsidP="000336A9">
            <w:pPr>
              <w:suppressAutoHyphens/>
              <w:autoSpaceDE w:val="0"/>
              <w:autoSpaceDN w:val="0"/>
              <w:adjustRightInd w:val="0"/>
              <w:jc w:val="center"/>
              <w:textAlignment w:val="center"/>
              <w:rPr>
                <w:b/>
                <w:bCs/>
                <w:color w:val="000000"/>
                <w:sz w:val="20"/>
                <w:szCs w:val="20"/>
              </w:rPr>
            </w:pPr>
            <w:r w:rsidRPr="0099428A">
              <w:rPr>
                <w:b/>
                <w:bCs/>
                <w:color w:val="000000"/>
                <w:sz w:val="20"/>
                <w:szCs w:val="20"/>
              </w:rPr>
              <w:t>Required Approvals</w:t>
            </w:r>
          </w:p>
        </w:tc>
        <w:tc>
          <w:tcPr>
            <w:tcW w:w="1576" w:type="pct"/>
            <w:shd w:val="clear" w:color="auto" w:fill="C2D69B" w:themeFill="accent3" w:themeFillTint="99"/>
            <w:vAlign w:val="center"/>
          </w:tcPr>
          <w:p w:rsidR="00BA318D" w:rsidRPr="0099428A" w:rsidRDefault="00BA318D" w:rsidP="000336A9">
            <w:pPr>
              <w:suppressAutoHyphens/>
              <w:autoSpaceDE w:val="0"/>
              <w:autoSpaceDN w:val="0"/>
              <w:adjustRightInd w:val="0"/>
              <w:jc w:val="center"/>
              <w:textAlignment w:val="center"/>
              <w:rPr>
                <w:b/>
                <w:bCs/>
                <w:color w:val="000000"/>
                <w:sz w:val="20"/>
                <w:szCs w:val="20"/>
              </w:rPr>
            </w:pPr>
            <w:r w:rsidRPr="0099428A">
              <w:rPr>
                <w:b/>
                <w:bCs/>
                <w:color w:val="000000"/>
                <w:sz w:val="20"/>
                <w:szCs w:val="20"/>
              </w:rPr>
              <w:t>Measurable Outcome(s)</w:t>
            </w:r>
          </w:p>
        </w:tc>
        <w:tc>
          <w:tcPr>
            <w:tcW w:w="530" w:type="pct"/>
            <w:shd w:val="clear" w:color="auto" w:fill="C2D69B" w:themeFill="accent3" w:themeFillTint="99"/>
            <w:tcMar>
              <w:top w:w="90" w:type="dxa"/>
              <w:left w:w="90" w:type="dxa"/>
              <w:bottom w:w="90" w:type="dxa"/>
              <w:right w:w="90" w:type="dxa"/>
            </w:tcMar>
            <w:vAlign w:val="center"/>
          </w:tcPr>
          <w:p w:rsidR="00BA318D" w:rsidRPr="0099428A" w:rsidRDefault="00BA318D" w:rsidP="000336A9">
            <w:pPr>
              <w:suppressAutoHyphens/>
              <w:autoSpaceDE w:val="0"/>
              <w:autoSpaceDN w:val="0"/>
              <w:adjustRightInd w:val="0"/>
              <w:ind w:right="-90"/>
              <w:jc w:val="center"/>
              <w:textAlignment w:val="center"/>
              <w:rPr>
                <w:b/>
                <w:bCs/>
                <w:color w:val="000000"/>
                <w:sz w:val="20"/>
                <w:szCs w:val="20"/>
                <w:u w:color="000000"/>
              </w:rPr>
            </w:pPr>
            <w:r w:rsidRPr="0099428A">
              <w:rPr>
                <w:b/>
                <w:bCs/>
                <w:color w:val="000000"/>
                <w:sz w:val="20"/>
                <w:szCs w:val="20"/>
                <w:u w:color="000000"/>
              </w:rPr>
              <w:t>Target Completion Date(s)</w:t>
            </w:r>
          </w:p>
        </w:tc>
      </w:tr>
      <w:tr w:rsidR="00BA318D" w:rsidRPr="0099428A" w:rsidTr="00E133AB">
        <w:trPr>
          <w:trHeight w:val="440"/>
          <w:jc w:val="center"/>
        </w:trPr>
        <w:tc>
          <w:tcPr>
            <w:tcW w:w="1695" w:type="pct"/>
            <w:vMerge w:val="restart"/>
            <w:shd w:val="clear" w:color="auto" w:fill="auto"/>
            <w:tcMar>
              <w:top w:w="90" w:type="dxa"/>
              <w:left w:w="90" w:type="dxa"/>
              <w:bottom w:w="90" w:type="dxa"/>
              <w:right w:w="90" w:type="dxa"/>
            </w:tcMar>
          </w:tcPr>
          <w:p w:rsidR="00BA318D" w:rsidRPr="0099428A" w:rsidRDefault="00BA318D" w:rsidP="000336A9">
            <w:pPr>
              <w:numPr>
                <w:ilvl w:val="0"/>
                <w:numId w:val="2"/>
              </w:numPr>
              <w:suppressAutoHyphens/>
              <w:autoSpaceDE w:val="0"/>
              <w:autoSpaceDN w:val="0"/>
              <w:adjustRightInd w:val="0"/>
              <w:spacing w:after="200" w:line="276" w:lineRule="auto"/>
              <w:textAlignment w:val="center"/>
              <w:rPr>
                <w:color w:val="000000"/>
                <w:sz w:val="20"/>
                <w:szCs w:val="20"/>
              </w:rPr>
            </w:pPr>
            <w:r w:rsidRPr="0099428A">
              <w:rPr>
                <w:color w:val="000000"/>
                <w:sz w:val="20"/>
                <w:szCs w:val="20"/>
              </w:rPr>
              <w:t>Initiate Countywide vote on Article 34 authorization to regulate 100% of affordable units</w:t>
            </w:r>
          </w:p>
        </w:tc>
        <w:tc>
          <w:tcPr>
            <w:tcW w:w="643" w:type="pct"/>
            <w:tcBorders>
              <w:bottom w:val="single" w:sz="4" w:space="0" w:color="000000"/>
            </w:tcBorders>
            <w:shd w:val="clear" w:color="auto" w:fill="auto"/>
            <w:tcMar>
              <w:top w:w="90" w:type="dxa"/>
              <w:left w:w="90" w:type="dxa"/>
              <w:bottom w:w="90" w:type="dxa"/>
              <w:right w:w="90" w:type="dxa"/>
            </w:tcMar>
            <w:vAlign w:val="center"/>
          </w:tcPr>
          <w:p w:rsidR="00BA318D" w:rsidRPr="0099428A" w:rsidRDefault="00BA318D" w:rsidP="000336A9">
            <w:pPr>
              <w:suppressAutoHyphens/>
              <w:autoSpaceDE w:val="0"/>
              <w:autoSpaceDN w:val="0"/>
              <w:adjustRightInd w:val="0"/>
              <w:jc w:val="center"/>
              <w:textAlignment w:val="center"/>
              <w:rPr>
                <w:color w:val="000000"/>
                <w:sz w:val="20"/>
                <w:szCs w:val="20"/>
              </w:rPr>
            </w:pPr>
            <w:r w:rsidRPr="0099428A">
              <w:rPr>
                <w:color w:val="000000"/>
                <w:sz w:val="20"/>
                <w:szCs w:val="20"/>
              </w:rPr>
              <w:t>Local</w:t>
            </w:r>
          </w:p>
        </w:tc>
        <w:tc>
          <w:tcPr>
            <w:tcW w:w="556" w:type="pct"/>
            <w:tcBorders>
              <w:bottom w:val="single" w:sz="4" w:space="0" w:color="000000"/>
            </w:tcBorders>
            <w:shd w:val="clear" w:color="auto" w:fill="auto"/>
            <w:vAlign w:val="center"/>
          </w:tcPr>
          <w:p w:rsidR="00BA318D" w:rsidRPr="0099428A" w:rsidRDefault="00BA318D" w:rsidP="000336A9">
            <w:pPr>
              <w:suppressAutoHyphens/>
              <w:autoSpaceDE w:val="0"/>
              <w:autoSpaceDN w:val="0"/>
              <w:adjustRightInd w:val="0"/>
              <w:jc w:val="center"/>
              <w:textAlignment w:val="center"/>
              <w:rPr>
                <w:color w:val="000000"/>
                <w:sz w:val="20"/>
                <w:szCs w:val="20"/>
              </w:rPr>
            </w:pPr>
            <w:r>
              <w:rPr>
                <w:color w:val="000000"/>
                <w:sz w:val="20"/>
                <w:szCs w:val="20"/>
              </w:rPr>
              <w:t>X</w:t>
            </w:r>
          </w:p>
        </w:tc>
        <w:tc>
          <w:tcPr>
            <w:tcW w:w="1576" w:type="pct"/>
            <w:vMerge w:val="restart"/>
            <w:shd w:val="clear" w:color="auto" w:fill="auto"/>
            <w:tcMar>
              <w:top w:w="90" w:type="dxa"/>
              <w:left w:w="90" w:type="dxa"/>
              <w:bottom w:w="90" w:type="dxa"/>
              <w:right w:w="90" w:type="dxa"/>
            </w:tcMar>
          </w:tcPr>
          <w:p w:rsidR="00BA318D" w:rsidRPr="0099428A" w:rsidRDefault="00BA318D" w:rsidP="00781F11">
            <w:pPr>
              <w:numPr>
                <w:ilvl w:val="0"/>
                <w:numId w:val="2"/>
              </w:numPr>
              <w:suppressAutoHyphens/>
              <w:autoSpaceDE w:val="0"/>
              <w:autoSpaceDN w:val="0"/>
              <w:adjustRightInd w:val="0"/>
              <w:spacing w:after="200" w:line="276" w:lineRule="auto"/>
              <w:textAlignment w:val="center"/>
              <w:rPr>
                <w:color w:val="000000"/>
                <w:sz w:val="20"/>
                <w:szCs w:val="20"/>
              </w:rPr>
            </w:pPr>
            <w:r>
              <w:rPr>
                <w:color w:val="000000"/>
                <w:sz w:val="20"/>
                <w:szCs w:val="20"/>
              </w:rPr>
              <w:t>Article 34 election approved which a</w:t>
            </w:r>
            <w:r w:rsidRPr="0099428A">
              <w:rPr>
                <w:color w:val="000000"/>
                <w:sz w:val="20"/>
                <w:szCs w:val="20"/>
              </w:rPr>
              <w:t>llows developers to apply for federal and state funds for 100% of affordable units, thereby maximizing funding from non-local sources and improving project feasibility</w:t>
            </w:r>
            <w:r>
              <w:rPr>
                <w:color w:val="000000"/>
                <w:sz w:val="20"/>
                <w:szCs w:val="20"/>
              </w:rPr>
              <w:t>.</w:t>
            </w:r>
          </w:p>
        </w:tc>
        <w:tc>
          <w:tcPr>
            <w:tcW w:w="530" w:type="pct"/>
            <w:vMerge w:val="restart"/>
            <w:shd w:val="clear" w:color="auto" w:fill="auto"/>
            <w:tcMar>
              <w:top w:w="90" w:type="dxa"/>
              <w:left w:w="90" w:type="dxa"/>
              <w:bottom w:w="90" w:type="dxa"/>
              <w:right w:w="90" w:type="dxa"/>
            </w:tcMar>
          </w:tcPr>
          <w:p w:rsidR="00BA318D" w:rsidRPr="0099428A" w:rsidRDefault="00BA318D" w:rsidP="000336A9">
            <w:pPr>
              <w:autoSpaceDE w:val="0"/>
              <w:autoSpaceDN w:val="0"/>
              <w:adjustRightInd w:val="0"/>
              <w:spacing w:line="288" w:lineRule="auto"/>
              <w:textAlignment w:val="center"/>
              <w:rPr>
                <w:color w:val="000000"/>
                <w:sz w:val="20"/>
                <w:szCs w:val="20"/>
              </w:rPr>
            </w:pPr>
          </w:p>
        </w:tc>
      </w:tr>
      <w:tr w:rsidR="00BA318D" w:rsidRPr="0099428A" w:rsidTr="00E133AB">
        <w:trPr>
          <w:trHeight w:val="422"/>
          <w:jc w:val="center"/>
        </w:trPr>
        <w:tc>
          <w:tcPr>
            <w:tcW w:w="1695" w:type="pct"/>
            <w:vMerge/>
            <w:shd w:val="clear" w:color="auto" w:fill="auto"/>
            <w:tcMar>
              <w:top w:w="90" w:type="dxa"/>
              <w:left w:w="90" w:type="dxa"/>
              <w:bottom w:w="90" w:type="dxa"/>
              <w:right w:w="90" w:type="dxa"/>
            </w:tcMar>
          </w:tcPr>
          <w:p w:rsidR="00BA318D" w:rsidRPr="0099428A" w:rsidRDefault="00BA318D" w:rsidP="000336A9">
            <w:pPr>
              <w:numPr>
                <w:ilvl w:val="0"/>
                <w:numId w:val="2"/>
              </w:numPr>
              <w:suppressAutoHyphens/>
              <w:autoSpaceDE w:val="0"/>
              <w:autoSpaceDN w:val="0"/>
              <w:adjustRightInd w:val="0"/>
              <w:spacing w:after="200" w:line="276" w:lineRule="auto"/>
              <w:textAlignment w:val="center"/>
              <w:rPr>
                <w:color w:val="000000"/>
                <w:sz w:val="20"/>
                <w:szCs w:val="20"/>
              </w:rPr>
            </w:pPr>
          </w:p>
        </w:tc>
        <w:tc>
          <w:tcPr>
            <w:tcW w:w="643" w:type="pct"/>
            <w:tcBorders>
              <w:bottom w:val="single" w:sz="4" w:space="0" w:color="000000"/>
            </w:tcBorders>
            <w:shd w:val="clear" w:color="auto" w:fill="auto"/>
            <w:tcMar>
              <w:top w:w="90" w:type="dxa"/>
              <w:left w:w="90" w:type="dxa"/>
              <w:bottom w:w="90" w:type="dxa"/>
              <w:right w:w="90" w:type="dxa"/>
            </w:tcMar>
            <w:vAlign w:val="center"/>
          </w:tcPr>
          <w:p w:rsidR="00BA318D" w:rsidRPr="0099428A" w:rsidRDefault="00BA318D" w:rsidP="000336A9">
            <w:pPr>
              <w:suppressAutoHyphens/>
              <w:autoSpaceDE w:val="0"/>
              <w:autoSpaceDN w:val="0"/>
              <w:adjustRightInd w:val="0"/>
              <w:jc w:val="center"/>
              <w:textAlignment w:val="center"/>
              <w:rPr>
                <w:color w:val="000000"/>
                <w:sz w:val="20"/>
                <w:szCs w:val="20"/>
              </w:rPr>
            </w:pPr>
            <w:r w:rsidRPr="0099428A">
              <w:rPr>
                <w:color w:val="000000"/>
                <w:sz w:val="20"/>
                <w:szCs w:val="20"/>
              </w:rPr>
              <w:t>State</w:t>
            </w:r>
          </w:p>
        </w:tc>
        <w:tc>
          <w:tcPr>
            <w:tcW w:w="556" w:type="pct"/>
            <w:tcBorders>
              <w:bottom w:val="single" w:sz="4" w:space="0" w:color="000000"/>
            </w:tcBorders>
            <w:shd w:val="clear" w:color="auto" w:fill="auto"/>
            <w:vAlign w:val="center"/>
          </w:tcPr>
          <w:p w:rsidR="00BA318D" w:rsidRPr="0099428A" w:rsidRDefault="00BA318D" w:rsidP="000336A9">
            <w:pPr>
              <w:suppressAutoHyphens/>
              <w:autoSpaceDE w:val="0"/>
              <w:autoSpaceDN w:val="0"/>
              <w:adjustRightInd w:val="0"/>
              <w:jc w:val="center"/>
              <w:textAlignment w:val="center"/>
              <w:rPr>
                <w:color w:val="000000"/>
                <w:sz w:val="20"/>
                <w:szCs w:val="20"/>
              </w:rPr>
            </w:pPr>
          </w:p>
        </w:tc>
        <w:tc>
          <w:tcPr>
            <w:tcW w:w="1576" w:type="pct"/>
            <w:vMerge/>
            <w:shd w:val="clear" w:color="auto" w:fill="auto"/>
            <w:tcMar>
              <w:top w:w="90" w:type="dxa"/>
              <w:left w:w="90" w:type="dxa"/>
              <w:bottom w:w="90" w:type="dxa"/>
              <w:right w:w="90" w:type="dxa"/>
            </w:tcMar>
          </w:tcPr>
          <w:p w:rsidR="00BA318D" w:rsidRPr="0099428A" w:rsidRDefault="00BA318D" w:rsidP="000336A9">
            <w:pPr>
              <w:numPr>
                <w:ilvl w:val="0"/>
                <w:numId w:val="2"/>
              </w:numPr>
              <w:suppressAutoHyphens/>
              <w:autoSpaceDE w:val="0"/>
              <w:autoSpaceDN w:val="0"/>
              <w:adjustRightInd w:val="0"/>
              <w:spacing w:after="200" w:line="276" w:lineRule="auto"/>
              <w:textAlignment w:val="center"/>
              <w:rPr>
                <w:color w:val="000000"/>
                <w:sz w:val="20"/>
                <w:szCs w:val="20"/>
              </w:rPr>
            </w:pPr>
          </w:p>
        </w:tc>
        <w:tc>
          <w:tcPr>
            <w:tcW w:w="530" w:type="pct"/>
            <w:vMerge/>
            <w:shd w:val="clear" w:color="auto" w:fill="auto"/>
            <w:tcMar>
              <w:top w:w="90" w:type="dxa"/>
              <w:left w:w="90" w:type="dxa"/>
              <w:bottom w:w="90" w:type="dxa"/>
              <w:right w:w="90" w:type="dxa"/>
            </w:tcMar>
          </w:tcPr>
          <w:p w:rsidR="00BA318D" w:rsidRPr="0099428A" w:rsidRDefault="00BA318D" w:rsidP="000336A9">
            <w:pPr>
              <w:autoSpaceDE w:val="0"/>
              <w:autoSpaceDN w:val="0"/>
              <w:adjustRightInd w:val="0"/>
              <w:spacing w:line="288" w:lineRule="auto"/>
              <w:textAlignment w:val="center"/>
              <w:rPr>
                <w:color w:val="000000"/>
                <w:sz w:val="20"/>
                <w:szCs w:val="20"/>
              </w:rPr>
            </w:pPr>
          </w:p>
        </w:tc>
      </w:tr>
      <w:tr w:rsidR="00BA318D" w:rsidRPr="0099428A" w:rsidTr="00E133AB">
        <w:trPr>
          <w:trHeight w:val="629"/>
          <w:jc w:val="center"/>
        </w:trPr>
        <w:tc>
          <w:tcPr>
            <w:tcW w:w="1695" w:type="pct"/>
            <w:vMerge/>
            <w:tcBorders>
              <w:bottom w:val="single" w:sz="4" w:space="0" w:color="000000"/>
            </w:tcBorders>
            <w:shd w:val="clear" w:color="auto" w:fill="auto"/>
            <w:tcMar>
              <w:top w:w="90" w:type="dxa"/>
              <w:left w:w="90" w:type="dxa"/>
              <w:bottom w:w="90" w:type="dxa"/>
              <w:right w:w="90" w:type="dxa"/>
            </w:tcMar>
          </w:tcPr>
          <w:p w:rsidR="00BA318D" w:rsidRPr="0099428A" w:rsidRDefault="00BA318D" w:rsidP="000336A9">
            <w:pPr>
              <w:numPr>
                <w:ilvl w:val="0"/>
                <w:numId w:val="2"/>
              </w:numPr>
              <w:suppressAutoHyphens/>
              <w:autoSpaceDE w:val="0"/>
              <w:autoSpaceDN w:val="0"/>
              <w:adjustRightInd w:val="0"/>
              <w:spacing w:after="200" w:line="276" w:lineRule="auto"/>
              <w:textAlignment w:val="center"/>
              <w:rPr>
                <w:color w:val="000000"/>
                <w:sz w:val="20"/>
                <w:szCs w:val="20"/>
              </w:rPr>
            </w:pPr>
          </w:p>
        </w:tc>
        <w:tc>
          <w:tcPr>
            <w:tcW w:w="643" w:type="pct"/>
            <w:tcBorders>
              <w:bottom w:val="single" w:sz="4" w:space="0" w:color="000000"/>
            </w:tcBorders>
            <w:shd w:val="clear" w:color="auto" w:fill="auto"/>
            <w:tcMar>
              <w:top w:w="90" w:type="dxa"/>
              <w:left w:w="90" w:type="dxa"/>
              <w:bottom w:w="90" w:type="dxa"/>
              <w:right w:w="90" w:type="dxa"/>
            </w:tcMar>
            <w:vAlign w:val="center"/>
          </w:tcPr>
          <w:p w:rsidR="00BA318D" w:rsidRPr="0099428A" w:rsidRDefault="00BA318D" w:rsidP="000336A9">
            <w:pPr>
              <w:suppressAutoHyphens/>
              <w:autoSpaceDE w:val="0"/>
              <w:autoSpaceDN w:val="0"/>
              <w:adjustRightInd w:val="0"/>
              <w:jc w:val="center"/>
              <w:textAlignment w:val="center"/>
              <w:rPr>
                <w:color w:val="000000"/>
                <w:sz w:val="20"/>
                <w:szCs w:val="20"/>
              </w:rPr>
            </w:pPr>
            <w:r w:rsidRPr="0099428A">
              <w:rPr>
                <w:color w:val="000000"/>
                <w:sz w:val="20"/>
                <w:szCs w:val="20"/>
              </w:rPr>
              <w:t>Voter</w:t>
            </w:r>
          </w:p>
        </w:tc>
        <w:tc>
          <w:tcPr>
            <w:tcW w:w="556" w:type="pct"/>
            <w:tcBorders>
              <w:bottom w:val="single" w:sz="4" w:space="0" w:color="000000"/>
            </w:tcBorders>
            <w:shd w:val="clear" w:color="auto" w:fill="auto"/>
            <w:vAlign w:val="center"/>
          </w:tcPr>
          <w:p w:rsidR="00BA318D" w:rsidRPr="0099428A" w:rsidRDefault="00BA318D" w:rsidP="000336A9">
            <w:pPr>
              <w:suppressAutoHyphens/>
              <w:autoSpaceDE w:val="0"/>
              <w:autoSpaceDN w:val="0"/>
              <w:adjustRightInd w:val="0"/>
              <w:jc w:val="center"/>
              <w:textAlignment w:val="center"/>
              <w:rPr>
                <w:color w:val="000000"/>
                <w:sz w:val="20"/>
                <w:szCs w:val="20"/>
              </w:rPr>
            </w:pPr>
            <w:r>
              <w:rPr>
                <w:color w:val="000000"/>
                <w:sz w:val="20"/>
                <w:szCs w:val="20"/>
              </w:rPr>
              <w:t>X</w:t>
            </w:r>
          </w:p>
        </w:tc>
        <w:tc>
          <w:tcPr>
            <w:tcW w:w="1576" w:type="pct"/>
            <w:vMerge/>
            <w:tcBorders>
              <w:bottom w:val="single" w:sz="4" w:space="0" w:color="000000"/>
            </w:tcBorders>
            <w:shd w:val="clear" w:color="auto" w:fill="auto"/>
            <w:tcMar>
              <w:top w:w="90" w:type="dxa"/>
              <w:left w:w="90" w:type="dxa"/>
              <w:bottom w:w="90" w:type="dxa"/>
              <w:right w:w="90" w:type="dxa"/>
            </w:tcMar>
          </w:tcPr>
          <w:p w:rsidR="00BA318D" w:rsidRPr="0099428A" w:rsidRDefault="00BA318D" w:rsidP="000336A9">
            <w:pPr>
              <w:numPr>
                <w:ilvl w:val="0"/>
                <w:numId w:val="2"/>
              </w:numPr>
              <w:suppressAutoHyphens/>
              <w:autoSpaceDE w:val="0"/>
              <w:autoSpaceDN w:val="0"/>
              <w:adjustRightInd w:val="0"/>
              <w:spacing w:after="200" w:line="276" w:lineRule="auto"/>
              <w:textAlignment w:val="center"/>
              <w:rPr>
                <w:color w:val="000000"/>
                <w:sz w:val="20"/>
                <w:szCs w:val="20"/>
              </w:rPr>
            </w:pPr>
          </w:p>
        </w:tc>
        <w:tc>
          <w:tcPr>
            <w:tcW w:w="530" w:type="pct"/>
            <w:vMerge/>
            <w:tcBorders>
              <w:bottom w:val="single" w:sz="4" w:space="0" w:color="000000"/>
            </w:tcBorders>
            <w:shd w:val="clear" w:color="auto" w:fill="auto"/>
            <w:tcMar>
              <w:top w:w="90" w:type="dxa"/>
              <w:left w:w="90" w:type="dxa"/>
              <w:bottom w:w="90" w:type="dxa"/>
              <w:right w:w="90" w:type="dxa"/>
            </w:tcMar>
          </w:tcPr>
          <w:p w:rsidR="00BA318D" w:rsidRPr="0099428A" w:rsidRDefault="00BA318D" w:rsidP="000336A9">
            <w:pPr>
              <w:autoSpaceDE w:val="0"/>
              <w:autoSpaceDN w:val="0"/>
              <w:adjustRightInd w:val="0"/>
              <w:spacing w:line="288" w:lineRule="auto"/>
              <w:textAlignment w:val="center"/>
              <w:rPr>
                <w:color w:val="000000"/>
                <w:sz w:val="20"/>
                <w:szCs w:val="20"/>
              </w:rPr>
            </w:pPr>
          </w:p>
        </w:tc>
      </w:tr>
      <w:tr w:rsidR="00BA318D" w:rsidRPr="0099428A" w:rsidTr="00E133AB">
        <w:trPr>
          <w:trHeight w:val="475"/>
          <w:jc w:val="center"/>
        </w:trPr>
        <w:tc>
          <w:tcPr>
            <w:tcW w:w="5000" w:type="pct"/>
            <w:gridSpan w:val="5"/>
            <w:shd w:val="clear" w:color="auto" w:fill="C2D69B" w:themeFill="accent3" w:themeFillTint="99"/>
            <w:tcMar>
              <w:top w:w="0" w:type="dxa"/>
              <w:left w:w="0" w:type="dxa"/>
              <w:bottom w:w="0" w:type="dxa"/>
              <w:right w:w="0" w:type="dxa"/>
            </w:tcMar>
            <w:vAlign w:val="center"/>
          </w:tcPr>
          <w:p w:rsidR="00BA318D" w:rsidRPr="0099428A" w:rsidRDefault="00BA318D" w:rsidP="000336A9">
            <w:pPr>
              <w:suppressAutoHyphens/>
              <w:autoSpaceDE w:val="0"/>
              <w:autoSpaceDN w:val="0"/>
              <w:adjustRightInd w:val="0"/>
              <w:textAlignment w:val="center"/>
              <w:rPr>
                <w:b/>
                <w:bCs/>
                <w:color w:val="000000"/>
                <w:sz w:val="20"/>
                <w:szCs w:val="20"/>
              </w:rPr>
            </w:pPr>
            <w:r w:rsidRPr="0099428A">
              <w:rPr>
                <w:b/>
                <w:bCs/>
                <w:color w:val="000000"/>
                <w:sz w:val="20"/>
                <w:szCs w:val="20"/>
              </w:rPr>
              <w:t xml:space="preserve"> Action Step #5:  Promote Employee Housing</w:t>
            </w:r>
          </w:p>
        </w:tc>
      </w:tr>
      <w:tr w:rsidR="00BA318D" w:rsidRPr="0099428A" w:rsidTr="00E133AB">
        <w:trPr>
          <w:trHeight w:val="503"/>
          <w:jc w:val="center"/>
        </w:trPr>
        <w:tc>
          <w:tcPr>
            <w:tcW w:w="1695" w:type="pct"/>
            <w:shd w:val="clear" w:color="auto" w:fill="C2D69B" w:themeFill="accent3" w:themeFillTint="99"/>
            <w:tcMar>
              <w:top w:w="0" w:type="dxa"/>
              <w:left w:w="0" w:type="dxa"/>
              <w:bottom w:w="0" w:type="dxa"/>
              <w:right w:w="0" w:type="dxa"/>
            </w:tcMar>
            <w:vAlign w:val="center"/>
          </w:tcPr>
          <w:p w:rsidR="00BA318D" w:rsidRPr="0099428A" w:rsidRDefault="00BA318D" w:rsidP="000336A9">
            <w:pPr>
              <w:suppressAutoHyphens/>
              <w:autoSpaceDE w:val="0"/>
              <w:autoSpaceDN w:val="0"/>
              <w:adjustRightInd w:val="0"/>
              <w:jc w:val="center"/>
              <w:textAlignment w:val="center"/>
              <w:rPr>
                <w:b/>
                <w:bCs/>
                <w:color w:val="000000"/>
                <w:sz w:val="20"/>
                <w:szCs w:val="20"/>
              </w:rPr>
            </w:pPr>
            <w:r w:rsidRPr="0099428A">
              <w:rPr>
                <w:b/>
                <w:bCs/>
                <w:color w:val="000000"/>
                <w:sz w:val="20"/>
                <w:szCs w:val="20"/>
              </w:rPr>
              <w:t>Tasks</w:t>
            </w:r>
          </w:p>
        </w:tc>
        <w:tc>
          <w:tcPr>
            <w:tcW w:w="1199" w:type="pct"/>
            <w:gridSpan w:val="2"/>
            <w:shd w:val="clear" w:color="auto" w:fill="C2D69B" w:themeFill="accent3" w:themeFillTint="99"/>
            <w:tcMar>
              <w:top w:w="0" w:type="dxa"/>
              <w:left w:w="0" w:type="dxa"/>
              <w:bottom w:w="0" w:type="dxa"/>
              <w:right w:w="0" w:type="dxa"/>
            </w:tcMar>
            <w:vAlign w:val="center"/>
          </w:tcPr>
          <w:p w:rsidR="00BA318D" w:rsidRPr="0099428A" w:rsidRDefault="00BA318D" w:rsidP="000336A9">
            <w:pPr>
              <w:suppressAutoHyphens/>
              <w:autoSpaceDE w:val="0"/>
              <w:autoSpaceDN w:val="0"/>
              <w:adjustRightInd w:val="0"/>
              <w:jc w:val="center"/>
              <w:textAlignment w:val="center"/>
              <w:rPr>
                <w:b/>
                <w:bCs/>
                <w:color w:val="000000"/>
                <w:sz w:val="20"/>
                <w:szCs w:val="20"/>
              </w:rPr>
            </w:pPr>
            <w:r w:rsidRPr="0099428A">
              <w:rPr>
                <w:b/>
                <w:bCs/>
                <w:color w:val="000000"/>
                <w:sz w:val="20"/>
                <w:szCs w:val="20"/>
              </w:rPr>
              <w:t>Required Approvals</w:t>
            </w:r>
          </w:p>
        </w:tc>
        <w:tc>
          <w:tcPr>
            <w:tcW w:w="1576" w:type="pct"/>
            <w:shd w:val="clear" w:color="auto" w:fill="C2D69B" w:themeFill="accent3" w:themeFillTint="99"/>
            <w:vAlign w:val="center"/>
          </w:tcPr>
          <w:p w:rsidR="00BA318D" w:rsidRPr="0099428A" w:rsidRDefault="00BA318D" w:rsidP="000336A9">
            <w:pPr>
              <w:suppressAutoHyphens/>
              <w:autoSpaceDE w:val="0"/>
              <w:autoSpaceDN w:val="0"/>
              <w:adjustRightInd w:val="0"/>
              <w:jc w:val="center"/>
              <w:textAlignment w:val="center"/>
              <w:rPr>
                <w:b/>
                <w:bCs/>
                <w:color w:val="000000"/>
                <w:sz w:val="20"/>
                <w:szCs w:val="20"/>
              </w:rPr>
            </w:pPr>
            <w:r w:rsidRPr="0099428A">
              <w:rPr>
                <w:b/>
                <w:bCs/>
                <w:color w:val="000000"/>
                <w:sz w:val="20"/>
                <w:szCs w:val="20"/>
              </w:rPr>
              <w:t>Measurable Outcome(s)</w:t>
            </w:r>
          </w:p>
        </w:tc>
        <w:tc>
          <w:tcPr>
            <w:tcW w:w="530" w:type="pct"/>
            <w:shd w:val="clear" w:color="auto" w:fill="C2D69B" w:themeFill="accent3" w:themeFillTint="99"/>
            <w:tcMar>
              <w:top w:w="0" w:type="dxa"/>
              <w:left w:w="0" w:type="dxa"/>
              <w:bottom w:w="0" w:type="dxa"/>
              <w:right w:w="0" w:type="dxa"/>
            </w:tcMar>
            <w:vAlign w:val="center"/>
          </w:tcPr>
          <w:p w:rsidR="00BA318D" w:rsidRPr="0099428A" w:rsidRDefault="00BA318D" w:rsidP="000336A9">
            <w:pPr>
              <w:suppressAutoHyphens/>
              <w:autoSpaceDE w:val="0"/>
              <w:autoSpaceDN w:val="0"/>
              <w:adjustRightInd w:val="0"/>
              <w:jc w:val="center"/>
              <w:textAlignment w:val="center"/>
              <w:rPr>
                <w:b/>
                <w:bCs/>
                <w:color w:val="000000"/>
                <w:sz w:val="20"/>
                <w:szCs w:val="20"/>
                <w:u w:color="000000"/>
              </w:rPr>
            </w:pPr>
            <w:r w:rsidRPr="0099428A">
              <w:rPr>
                <w:b/>
                <w:bCs/>
                <w:color w:val="000000"/>
                <w:sz w:val="20"/>
                <w:szCs w:val="20"/>
                <w:u w:color="000000"/>
              </w:rPr>
              <w:t>Target Completion Date(s)</w:t>
            </w:r>
          </w:p>
        </w:tc>
      </w:tr>
      <w:tr w:rsidR="00BA318D" w:rsidRPr="0099428A" w:rsidTr="00E133AB">
        <w:trPr>
          <w:trHeight w:val="413"/>
          <w:jc w:val="center"/>
        </w:trPr>
        <w:tc>
          <w:tcPr>
            <w:tcW w:w="1695" w:type="pct"/>
            <w:vMerge w:val="restart"/>
            <w:shd w:val="clear" w:color="auto" w:fill="auto"/>
            <w:tcMar>
              <w:top w:w="90" w:type="dxa"/>
              <w:left w:w="90" w:type="dxa"/>
              <w:bottom w:w="90" w:type="dxa"/>
              <w:right w:w="90" w:type="dxa"/>
            </w:tcMar>
          </w:tcPr>
          <w:p w:rsidR="00BA318D" w:rsidRPr="0099428A" w:rsidRDefault="00BA318D" w:rsidP="000336A9">
            <w:pPr>
              <w:numPr>
                <w:ilvl w:val="0"/>
                <w:numId w:val="2"/>
              </w:numPr>
              <w:suppressAutoHyphens/>
              <w:autoSpaceDE w:val="0"/>
              <w:autoSpaceDN w:val="0"/>
              <w:adjustRightInd w:val="0"/>
              <w:spacing w:after="200" w:line="276" w:lineRule="auto"/>
              <w:textAlignment w:val="center"/>
              <w:rPr>
                <w:color w:val="000000"/>
                <w:sz w:val="20"/>
                <w:szCs w:val="20"/>
              </w:rPr>
            </w:pPr>
            <w:r w:rsidRPr="0099428A">
              <w:rPr>
                <w:color w:val="000000"/>
                <w:sz w:val="20"/>
                <w:szCs w:val="20"/>
              </w:rPr>
              <w:t>Generate a policy whereby new or expanding employers must plan for employee housing</w:t>
            </w:r>
          </w:p>
        </w:tc>
        <w:tc>
          <w:tcPr>
            <w:tcW w:w="643" w:type="pct"/>
            <w:shd w:val="clear" w:color="auto" w:fill="auto"/>
            <w:tcMar>
              <w:top w:w="90" w:type="dxa"/>
              <w:left w:w="90" w:type="dxa"/>
              <w:bottom w:w="90" w:type="dxa"/>
              <w:right w:w="90" w:type="dxa"/>
            </w:tcMar>
            <w:vAlign w:val="center"/>
          </w:tcPr>
          <w:p w:rsidR="00BA318D" w:rsidRPr="0099428A" w:rsidRDefault="00BA318D" w:rsidP="000336A9">
            <w:pPr>
              <w:suppressAutoHyphens/>
              <w:autoSpaceDE w:val="0"/>
              <w:autoSpaceDN w:val="0"/>
              <w:adjustRightInd w:val="0"/>
              <w:jc w:val="center"/>
              <w:textAlignment w:val="center"/>
              <w:rPr>
                <w:color w:val="000000"/>
                <w:sz w:val="20"/>
                <w:szCs w:val="20"/>
              </w:rPr>
            </w:pPr>
            <w:r w:rsidRPr="0099428A">
              <w:rPr>
                <w:color w:val="000000"/>
                <w:sz w:val="20"/>
                <w:szCs w:val="20"/>
              </w:rPr>
              <w:t>Local</w:t>
            </w:r>
          </w:p>
        </w:tc>
        <w:tc>
          <w:tcPr>
            <w:tcW w:w="556" w:type="pct"/>
            <w:shd w:val="clear" w:color="auto" w:fill="auto"/>
            <w:vAlign w:val="center"/>
          </w:tcPr>
          <w:p w:rsidR="00BA318D" w:rsidRPr="0099428A" w:rsidRDefault="00BA318D" w:rsidP="000336A9">
            <w:pPr>
              <w:suppressAutoHyphens/>
              <w:autoSpaceDE w:val="0"/>
              <w:autoSpaceDN w:val="0"/>
              <w:adjustRightInd w:val="0"/>
              <w:jc w:val="center"/>
              <w:textAlignment w:val="center"/>
              <w:rPr>
                <w:color w:val="000000"/>
                <w:sz w:val="20"/>
                <w:szCs w:val="20"/>
              </w:rPr>
            </w:pPr>
            <w:r>
              <w:rPr>
                <w:color w:val="000000"/>
                <w:sz w:val="20"/>
                <w:szCs w:val="20"/>
              </w:rPr>
              <w:t>X</w:t>
            </w:r>
          </w:p>
        </w:tc>
        <w:tc>
          <w:tcPr>
            <w:tcW w:w="1576" w:type="pct"/>
            <w:vMerge w:val="restart"/>
            <w:shd w:val="clear" w:color="auto" w:fill="auto"/>
            <w:tcMar>
              <w:top w:w="90" w:type="dxa"/>
              <w:left w:w="90" w:type="dxa"/>
              <w:bottom w:w="90" w:type="dxa"/>
              <w:right w:w="90" w:type="dxa"/>
            </w:tcMar>
          </w:tcPr>
          <w:p w:rsidR="00BA318D" w:rsidRPr="0099428A" w:rsidRDefault="00BA318D" w:rsidP="000336A9">
            <w:pPr>
              <w:numPr>
                <w:ilvl w:val="0"/>
                <w:numId w:val="2"/>
              </w:numPr>
              <w:suppressAutoHyphens/>
              <w:autoSpaceDE w:val="0"/>
              <w:autoSpaceDN w:val="0"/>
              <w:adjustRightInd w:val="0"/>
              <w:spacing w:after="200" w:line="276" w:lineRule="auto"/>
              <w:textAlignment w:val="center"/>
              <w:rPr>
                <w:color w:val="000000"/>
                <w:sz w:val="20"/>
                <w:szCs w:val="20"/>
              </w:rPr>
            </w:pPr>
            <w:r w:rsidRPr="0099428A">
              <w:rPr>
                <w:color w:val="000000"/>
                <w:sz w:val="20"/>
                <w:szCs w:val="20"/>
              </w:rPr>
              <w:t>Workforce housing production goods are tied to place of employment</w:t>
            </w:r>
            <w:r>
              <w:rPr>
                <w:color w:val="000000"/>
                <w:sz w:val="20"/>
                <w:szCs w:val="20"/>
              </w:rPr>
              <w:t>.</w:t>
            </w:r>
          </w:p>
          <w:p w:rsidR="00BA318D" w:rsidRPr="0099428A" w:rsidRDefault="00BA318D" w:rsidP="000336A9">
            <w:pPr>
              <w:numPr>
                <w:ilvl w:val="0"/>
                <w:numId w:val="2"/>
              </w:numPr>
              <w:suppressAutoHyphens/>
              <w:autoSpaceDE w:val="0"/>
              <w:autoSpaceDN w:val="0"/>
              <w:adjustRightInd w:val="0"/>
              <w:spacing w:after="200" w:line="276" w:lineRule="auto"/>
              <w:textAlignment w:val="center"/>
              <w:rPr>
                <w:color w:val="000000"/>
                <w:sz w:val="20"/>
                <w:szCs w:val="20"/>
              </w:rPr>
            </w:pPr>
            <w:r w:rsidRPr="0099428A">
              <w:rPr>
                <w:color w:val="000000"/>
                <w:sz w:val="20"/>
                <w:szCs w:val="20"/>
              </w:rPr>
              <w:t>Efficient use of surplus land</w:t>
            </w:r>
            <w:r>
              <w:rPr>
                <w:color w:val="000000"/>
                <w:sz w:val="20"/>
                <w:szCs w:val="20"/>
              </w:rPr>
              <w:t>.</w:t>
            </w:r>
          </w:p>
        </w:tc>
        <w:tc>
          <w:tcPr>
            <w:tcW w:w="530" w:type="pct"/>
            <w:vMerge w:val="restart"/>
            <w:shd w:val="clear" w:color="auto" w:fill="auto"/>
            <w:tcMar>
              <w:top w:w="90" w:type="dxa"/>
              <w:left w:w="90" w:type="dxa"/>
              <w:bottom w:w="90" w:type="dxa"/>
              <w:right w:w="90" w:type="dxa"/>
            </w:tcMar>
          </w:tcPr>
          <w:p w:rsidR="00BA318D" w:rsidRPr="0099428A" w:rsidRDefault="00BA318D" w:rsidP="000336A9">
            <w:pPr>
              <w:autoSpaceDE w:val="0"/>
              <w:autoSpaceDN w:val="0"/>
              <w:adjustRightInd w:val="0"/>
              <w:spacing w:line="288" w:lineRule="auto"/>
              <w:textAlignment w:val="center"/>
              <w:rPr>
                <w:color w:val="000000"/>
                <w:sz w:val="20"/>
                <w:szCs w:val="20"/>
              </w:rPr>
            </w:pPr>
          </w:p>
        </w:tc>
      </w:tr>
      <w:tr w:rsidR="00BA318D" w:rsidRPr="0099428A" w:rsidTr="00E133AB">
        <w:trPr>
          <w:trHeight w:val="359"/>
          <w:jc w:val="center"/>
        </w:trPr>
        <w:tc>
          <w:tcPr>
            <w:tcW w:w="1695" w:type="pct"/>
            <w:vMerge/>
            <w:shd w:val="clear" w:color="auto" w:fill="auto"/>
            <w:tcMar>
              <w:top w:w="90" w:type="dxa"/>
              <w:left w:w="90" w:type="dxa"/>
              <w:bottom w:w="90" w:type="dxa"/>
              <w:right w:w="90" w:type="dxa"/>
            </w:tcMar>
          </w:tcPr>
          <w:p w:rsidR="00BA318D" w:rsidRPr="0099428A" w:rsidRDefault="00BA318D" w:rsidP="000336A9">
            <w:pPr>
              <w:numPr>
                <w:ilvl w:val="0"/>
                <w:numId w:val="2"/>
              </w:numPr>
              <w:suppressAutoHyphens/>
              <w:autoSpaceDE w:val="0"/>
              <w:autoSpaceDN w:val="0"/>
              <w:adjustRightInd w:val="0"/>
              <w:spacing w:after="200" w:line="276" w:lineRule="auto"/>
              <w:textAlignment w:val="center"/>
              <w:rPr>
                <w:color w:val="000000"/>
                <w:sz w:val="20"/>
                <w:szCs w:val="20"/>
              </w:rPr>
            </w:pPr>
          </w:p>
        </w:tc>
        <w:tc>
          <w:tcPr>
            <w:tcW w:w="643" w:type="pct"/>
            <w:shd w:val="clear" w:color="auto" w:fill="auto"/>
            <w:tcMar>
              <w:top w:w="90" w:type="dxa"/>
              <w:left w:w="90" w:type="dxa"/>
              <w:bottom w:w="90" w:type="dxa"/>
              <w:right w:w="90" w:type="dxa"/>
            </w:tcMar>
            <w:vAlign w:val="center"/>
          </w:tcPr>
          <w:p w:rsidR="00BA318D" w:rsidRPr="0099428A" w:rsidRDefault="00BA318D" w:rsidP="000336A9">
            <w:pPr>
              <w:suppressAutoHyphens/>
              <w:autoSpaceDE w:val="0"/>
              <w:autoSpaceDN w:val="0"/>
              <w:adjustRightInd w:val="0"/>
              <w:jc w:val="center"/>
              <w:textAlignment w:val="center"/>
              <w:rPr>
                <w:color w:val="000000"/>
                <w:sz w:val="20"/>
                <w:szCs w:val="20"/>
              </w:rPr>
            </w:pPr>
            <w:r w:rsidRPr="0099428A">
              <w:rPr>
                <w:color w:val="000000"/>
                <w:sz w:val="20"/>
                <w:szCs w:val="20"/>
              </w:rPr>
              <w:t>State</w:t>
            </w:r>
          </w:p>
        </w:tc>
        <w:tc>
          <w:tcPr>
            <w:tcW w:w="556" w:type="pct"/>
            <w:shd w:val="clear" w:color="auto" w:fill="auto"/>
            <w:vAlign w:val="center"/>
          </w:tcPr>
          <w:p w:rsidR="00BA318D" w:rsidRPr="0099428A" w:rsidRDefault="00BA318D" w:rsidP="000336A9">
            <w:pPr>
              <w:suppressAutoHyphens/>
              <w:autoSpaceDE w:val="0"/>
              <w:autoSpaceDN w:val="0"/>
              <w:adjustRightInd w:val="0"/>
              <w:jc w:val="center"/>
              <w:textAlignment w:val="center"/>
              <w:rPr>
                <w:color w:val="000000"/>
                <w:sz w:val="20"/>
                <w:szCs w:val="20"/>
              </w:rPr>
            </w:pPr>
          </w:p>
        </w:tc>
        <w:tc>
          <w:tcPr>
            <w:tcW w:w="1576" w:type="pct"/>
            <w:vMerge/>
            <w:shd w:val="clear" w:color="auto" w:fill="auto"/>
            <w:tcMar>
              <w:top w:w="90" w:type="dxa"/>
              <w:left w:w="90" w:type="dxa"/>
              <w:bottom w:w="90" w:type="dxa"/>
              <w:right w:w="90" w:type="dxa"/>
            </w:tcMar>
          </w:tcPr>
          <w:p w:rsidR="00BA318D" w:rsidRPr="0099428A" w:rsidRDefault="00BA318D" w:rsidP="000336A9">
            <w:pPr>
              <w:numPr>
                <w:ilvl w:val="0"/>
                <w:numId w:val="2"/>
              </w:numPr>
              <w:suppressAutoHyphens/>
              <w:autoSpaceDE w:val="0"/>
              <w:autoSpaceDN w:val="0"/>
              <w:adjustRightInd w:val="0"/>
              <w:spacing w:after="200" w:line="276" w:lineRule="auto"/>
              <w:textAlignment w:val="center"/>
              <w:rPr>
                <w:color w:val="000000"/>
                <w:sz w:val="20"/>
                <w:szCs w:val="20"/>
              </w:rPr>
            </w:pPr>
          </w:p>
        </w:tc>
        <w:tc>
          <w:tcPr>
            <w:tcW w:w="530" w:type="pct"/>
            <w:vMerge/>
            <w:shd w:val="clear" w:color="auto" w:fill="auto"/>
            <w:tcMar>
              <w:top w:w="90" w:type="dxa"/>
              <w:left w:w="90" w:type="dxa"/>
              <w:bottom w:w="90" w:type="dxa"/>
              <w:right w:w="90" w:type="dxa"/>
            </w:tcMar>
          </w:tcPr>
          <w:p w:rsidR="00BA318D" w:rsidRPr="0099428A" w:rsidRDefault="00BA318D" w:rsidP="000336A9">
            <w:pPr>
              <w:autoSpaceDE w:val="0"/>
              <w:autoSpaceDN w:val="0"/>
              <w:adjustRightInd w:val="0"/>
              <w:spacing w:line="288" w:lineRule="auto"/>
              <w:textAlignment w:val="center"/>
              <w:rPr>
                <w:color w:val="000000"/>
                <w:sz w:val="20"/>
                <w:szCs w:val="20"/>
              </w:rPr>
            </w:pPr>
          </w:p>
        </w:tc>
      </w:tr>
      <w:tr w:rsidR="00BA318D" w:rsidRPr="0099428A" w:rsidTr="00E133AB">
        <w:trPr>
          <w:trHeight w:val="377"/>
          <w:jc w:val="center"/>
        </w:trPr>
        <w:tc>
          <w:tcPr>
            <w:tcW w:w="1695" w:type="pct"/>
            <w:vMerge/>
            <w:shd w:val="clear" w:color="auto" w:fill="auto"/>
            <w:tcMar>
              <w:top w:w="90" w:type="dxa"/>
              <w:left w:w="90" w:type="dxa"/>
              <w:bottom w:w="90" w:type="dxa"/>
              <w:right w:w="90" w:type="dxa"/>
            </w:tcMar>
          </w:tcPr>
          <w:p w:rsidR="00BA318D" w:rsidRPr="0099428A" w:rsidRDefault="00BA318D" w:rsidP="000336A9">
            <w:pPr>
              <w:numPr>
                <w:ilvl w:val="0"/>
                <w:numId w:val="2"/>
              </w:numPr>
              <w:suppressAutoHyphens/>
              <w:autoSpaceDE w:val="0"/>
              <w:autoSpaceDN w:val="0"/>
              <w:adjustRightInd w:val="0"/>
              <w:spacing w:after="200" w:line="276" w:lineRule="auto"/>
              <w:textAlignment w:val="center"/>
              <w:rPr>
                <w:color w:val="000000"/>
                <w:sz w:val="20"/>
                <w:szCs w:val="20"/>
              </w:rPr>
            </w:pPr>
          </w:p>
        </w:tc>
        <w:tc>
          <w:tcPr>
            <w:tcW w:w="643" w:type="pct"/>
            <w:shd w:val="clear" w:color="auto" w:fill="auto"/>
            <w:tcMar>
              <w:top w:w="90" w:type="dxa"/>
              <w:left w:w="90" w:type="dxa"/>
              <w:bottom w:w="90" w:type="dxa"/>
              <w:right w:w="90" w:type="dxa"/>
            </w:tcMar>
            <w:vAlign w:val="center"/>
          </w:tcPr>
          <w:p w:rsidR="00BA318D" w:rsidRPr="0099428A" w:rsidRDefault="00BA318D" w:rsidP="000336A9">
            <w:pPr>
              <w:suppressAutoHyphens/>
              <w:autoSpaceDE w:val="0"/>
              <w:autoSpaceDN w:val="0"/>
              <w:adjustRightInd w:val="0"/>
              <w:jc w:val="center"/>
              <w:textAlignment w:val="center"/>
              <w:rPr>
                <w:color w:val="000000"/>
                <w:sz w:val="20"/>
                <w:szCs w:val="20"/>
              </w:rPr>
            </w:pPr>
            <w:r w:rsidRPr="0099428A">
              <w:rPr>
                <w:color w:val="000000"/>
                <w:sz w:val="20"/>
                <w:szCs w:val="20"/>
              </w:rPr>
              <w:t>Voter</w:t>
            </w:r>
          </w:p>
        </w:tc>
        <w:tc>
          <w:tcPr>
            <w:tcW w:w="556" w:type="pct"/>
            <w:shd w:val="clear" w:color="auto" w:fill="auto"/>
            <w:vAlign w:val="center"/>
          </w:tcPr>
          <w:p w:rsidR="00BA318D" w:rsidRPr="0099428A" w:rsidRDefault="00BA318D" w:rsidP="000336A9">
            <w:pPr>
              <w:suppressAutoHyphens/>
              <w:autoSpaceDE w:val="0"/>
              <w:autoSpaceDN w:val="0"/>
              <w:adjustRightInd w:val="0"/>
              <w:jc w:val="center"/>
              <w:textAlignment w:val="center"/>
              <w:rPr>
                <w:color w:val="000000"/>
                <w:sz w:val="20"/>
                <w:szCs w:val="20"/>
              </w:rPr>
            </w:pPr>
          </w:p>
        </w:tc>
        <w:tc>
          <w:tcPr>
            <w:tcW w:w="1576" w:type="pct"/>
            <w:vMerge/>
            <w:shd w:val="clear" w:color="auto" w:fill="auto"/>
            <w:tcMar>
              <w:top w:w="90" w:type="dxa"/>
              <w:left w:w="90" w:type="dxa"/>
              <w:bottom w:w="90" w:type="dxa"/>
              <w:right w:w="90" w:type="dxa"/>
            </w:tcMar>
          </w:tcPr>
          <w:p w:rsidR="00BA318D" w:rsidRPr="0099428A" w:rsidRDefault="00BA318D" w:rsidP="000336A9">
            <w:pPr>
              <w:numPr>
                <w:ilvl w:val="0"/>
                <w:numId w:val="2"/>
              </w:numPr>
              <w:suppressAutoHyphens/>
              <w:autoSpaceDE w:val="0"/>
              <w:autoSpaceDN w:val="0"/>
              <w:adjustRightInd w:val="0"/>
              <w:spacing w:after="200" w:line="276" w:lineRule="auto"/>
              <w:textAlignment w:val="center"/>
              <w:rPr>
                <w:color w:val="000000"/>
                <w:sz w:val="20"/>
                <w:szCs w:val="20"/>
              </w:rPr>
            </w:pPr>
          </w:p>
        </w:tc>
        <w:tc>
          <w:tcPr>
            <w:tcW w:w="530" w:type="pct"/>
            <w:vMerge/>
            <w:shd w:val="clear" w:color="auto" w:fill="auto"/>
            <w:tcMar>
              <w:top w:w="90" w:type="dxa"/>
              <w:left w:w="90" w:type="dxa"/>
              <w:bottom w:w="90" w:type="dxa"/>
              <w:right w:w="90" w:type="dxa"/>
            </w:tcMar>
          </w:tcPr>
          <w:p w:rsidR="00BA318D" w:rsidRPr="0099428A" w:rsidRDefault="00BA318D" w:rsidP="000336A9">
            <w:pPr>
              <w:autoSpaceDE w:val="0"/>
              <w:autoSpaceDN w:val="0"/>
              <w:adjustRightInd w:val="0"/>
              <w:spacing w:line="288" w:lineRule="auto"/>
              <w:textAlignment w:val="center"/>
              <w:rPr>
                <w:color w:val="000000"/>
                <w:sz w:val="20"/>
                <w:szCs w:val="20"/>
              </w:rPr>
            </w:pPr>
          </w:p>
        </w:tc>
      </w:tr>
      <w:tr w:rsidR="00BA318D" w:rsidRPr="0099428A" w:rsidTr="00E133AB">
        <w:trPr>
          <w:trHeight w:val="431"/>
          <w:jc w:val="center"/>
        </w:trPr>
        <w:tc>
          <w:tcPr>
            <w:tcW w:w="1695" w:type="pct"/>
            <w:vMerge w:val="restart"/>
            <w:shd w:val="clear" w:color="auto" w:fill="auto"/>
            <w:tcMar>
              <w:top w:w="90" w:type="dxa"/>
              <w:left w:w="90" w:type="dxa"/>
              <w:bottom w:w="90" w:type="dxa"/>
              <w:right w:w="90" w:type="dxa"/>
            </w:tcMar>
          </w:tcPr>
          <w:p w:rsidR="00BA318D" w:rsidRPr="0099428A" w:rsidRDefault="00BA318D" w:rsidP="000336A9">
            <w:pPr>
              <w:numPr>
                <w:ilvl w:val="0"/>
                <w:numId w:val="2"/>
              </w:numPr>
              <w:suppressAutoHyphens/>
              <w:autoSpaceDE w:val="0"/>
              <w:autoSpaceDN w:val="0"/>
              <w:adjustRightInd w:val="0"/>
              <w:spacing w:after="200" w:line="276" w:lineRule="auto"/>
              <w:textAlignment w:val="center"/>
              <w:rPr>
                <w:color w:val="000000"/>
                <w:sz w:val="20"/>
                <w:szCs w:val="20"/>
              </w:rPr>
            </w:pPr>
            <w:r w:rsidRPr="0099428A">
              <w:rPr>
                <w:color w:val="000000"/>
                <w:sz w:val="20"/>
                <w:szCs w:val="20"/>
              </w:rPr>
              <w:t>Outreach to existing major employers to identify opportunities for employee housing on-site or in proximate locations</w:t>
            </w:r>
          </w:p>
          <w:p w:rsidR="00BA318D" w:rsidRPr="0099428A" w:rsidRDefault="00BA318D" w:rsidP="000336A9">
            <w:pPr>
              <w:suppressAutoHyphens/>
              <w:autoSpaceDE w:val="0"/>
              <w:autoSpaceDN w:val="0"/>
              <w:adjustRightInd w:val="0"/>
              <w:textAlignment w:val="center"/>
              <w:rPr>
                <w:color w:val="000000"/>
                <w:sz w:val="20"/>
                <w:szCs w:val="20"/>
              </w:rPr>
            </w:pPr>
          </w:p>
        </w:tc>
        <w:tc>
          <w:tcPr>
            <w:tcW w:w="643" w:type="pct"/>
            <w:shd w:val="clear" w:color="auto" w:fill="auto"/>
            <w:tcMar>
              <w:top w:w="90" w:type="dxa"/>
              <w:left w:w="90" w:type="dxa"/>
              <w:bottom w:w="90" w:type="dxa"/>
              <w:right w:w="90" w:type="dxa"/>
            </w:tcMar>
            <w:vAlign w:val="center"/>
          </w:tcPr>
          <w:p w:rsidR="00BA318D" w:rsidRPr="0099428A" w:rsidRDefault="00BA318D" w:rsidP="000336A9">
            <w:pPr>
              <w:suppressAutoHyphens/>
              <w:autoSpaceDE w:val="0"/>
              <w:autoSpaceDN w:val="0"/>
              <w:adjustRightInd w:val="0"/>
              <w:jc w:val="center"/>
              <w:textAlignment w:val="center"/>
              <w:rPr>
                <w:color w:val="000000"/>
                <w:sz w:val="20"/>
                <w:szCs w:val="20"/>
              </w:rPr>
            </w:pPr>
            <w:r w:rsidRPr="0099428A">
              <w:rPr>
                <w:color w:val="000000"/>
                <w:sz w:val="20"/>
                <w:szCs w:val="20"/>
              </w:rPr>
              <w:t>Local</w:t>
            </w:r>
          </w:p>
        </w:tc>
        <w:tc>
          <w:tcPr>
            <w:tcW w:w="556" w:type="pct"/>
            <w:shd w:val="clear" w:color="auto" w:fill="auto"/>
            <w:vAlign w:val="center"/>
          </w:tcPr>
          <w:p w:rsidR="00BA318D" w:rsidRPr="0099428A" w:rsidRDefault="00BA318D" w:rsidP="000336A9">
            <w:pPr>
              <w:suppressAutoHyphens/>
              <w:autoSpaceDE w:val="0"/>
              <w:autoSpaceDN w:val="0"/>
              <w:adjustRightInd w:val="0"/>
              <w:jc w:val="center"/>
              <w:textAlignment w:val="center"/>
              <w:rPr>
                <w:color w:val="000000"/>
                <w:sz w:val="20"/>
                <w:szCs w:val="20"/>
              </w:rPr>
            </w:pPr>
            <w:r>
              <w:rPr>
                <w:color w:val="000000"/>
                <w:sz w:val="20"/>
                <w:szCs w:val="20"/>
              </w:rPr>
              <w:t>X</w:t>
            </w:r>
          </w:p>
        </w:tc>
        <w:tc>
          <w:tcPr>
            <w:tcW w:w="1576" w:type="pct"/>
            <w:vMerge w:val="restart"/>
            <w:shd w:val="clear" w:color="auto" w:fill="auto"/>
            <w:tcMar>
              <w:top w:w="90" w:type="dxa"/>
              <w:left w:w="90" w:type="dxa"/>
              <w:bottom w:w="90" w:type="dxa"/>
              <w:right w:w="90" w:type="dxa"/>
            </w:tcMar>
          </w:tcPr>
          <w:p w:rsidR="00BA318D" w:rsidRPr="0099428A" w:rsidRDefault="00BA318D" w:rsidP="000336A9">
            <w:pPr>
              <w:numPr>
                <w:ilvl w:val="0"/>
                <w:numId w:val="2"/>
              </w:numPr>
              <w:suppressAutoHyphens/>
              <w:autoSpaceDE w:val="0"/>
              <w:autoSpaceDN w:val="0"/>
              <w:adjustRightInd w:val="0"/>
              <w:spacing w:after="200" w:line="276" w:lineRule="auto"/>
              <w:textAlignment w:val="center"/>
              <w:rPr>
                <w:color w:val="000000"/>
                <w:sz w:val="20"/>
                <w:szCs w:val="20"/>
              </w:rPr>
            </w:pPr>
            <w:r w:rsidRPr="0099428A">
              <w:rPr>
                <w:color w:val="000000"/>
                <w:sz w:val="20"/>
                <w:szCs w:val="20"/>
              </w:rPr>
              <w:t xml:space="preserve">Workforce housing </w:t>
            </w:r>
            <w:r>
              <w:rPr>
                <w:color w:val="000000"/>
                <w:sz w:val="20"/>
                <w:szCs w:val="20"/>
              </w:rPr>
              <w:t xml:space="preserve">created on-site or near </w:t>
            </w:r>
            <w:r w:rsidRPr="0099428A">
              <w:rPr>
                <w:color w:val="000000"/>
                <w:sz w:val="20"/>
                <w:szCs w:val="20"/>
              </w:rPr>
              <w:t>place of employment</w:t>
            </w:r>
            <w:r>
              <w:rPr>
                <w:color w:val="000000"/>
                <w:sz w:val="20"/>
                <w:szCs w:val="20"/>
              </w:rPr>
              <w:t>.</w:t>
            </w:r>
          </w:p>
          <w:p w:rsidR="00BA318D" w:rsidRPr="0099428A" w:rsidRDefault="00BA318D" w:rsidP="000336A9">
            <w:pPr>
              <w:numPr>
                <w:ilvl w:val="0"/>
                <w:numId w:val="2"/>
              </w:numPr>
              <w:suppressAutoHyphens/>
              <w:autoSpaceDE w:val="0"/>
              <w:autoSpaceDN w:val="0"/>
              <w:adjustRightInd w:val="0"/>
              <w:spacing w:after="200" w:line="276" w:lineRule="auto"/>
              <w:textAlignment w:val="center"/>
              <w:rPr>
                <w:color w:val="000000"/>
                <w:sz w:val="20"/>
                <w:szCs w:val="20"/>
              </w:rPr>
            </w:pPr>
            <w:r w:rsidRPr="0099428A">
              <w:rPr>
                <w:color w:val="000000"/>
                <w:sz w:val="20"/>
                <w:szCs w:val="20"/>
              </w:rPr>
              <w:t>Efficient use of surplus land</w:t>
            </w:r>
            <w:r>
              <w:rPr>
                <w:color w:val="000000"/>
                <w:sz w:val="20"/>
                <w:szCs w:val="20"/>
              </w:rPr>
              <w:t>.</w:t>
            </w:r>
          </w:p>
        </w:tc>
        <w:tc>
          <w:tcPr>
            <w:tcW w:w="530" w:type="pct"/>
            <w:vMerge w:val="restart"/>
            <w:shd w:val="clear" w:color="auto" w:fill="auto"/>
            <w:tcMar>
              <w:top w:w="90" w:type="dxa"/>
              <w:left w:w="90" w:type="dxa"/>
              <w:bottom w:w="90" w:type="dxa"/>
              <w:right w:w="90" w:type="dxa"/>
            </w:tcMar>
          </w:tcPr>
          <w:p w:rsidR="00BA318D" w:rsidRPr="0099428A" w:rsidRDefault="00BA318D" w:rsidP="000336A9">
            <w:pPr>
              <w:autoSpaceDE w:val="0"/>
              <w:autoSpaceDN w:val="0"/>
              <w:adjustRightInd w:val="0"/>
              <w:spacing w:line="288" w:lineRule="auto"/>
              <w:textAlignment w:val="center"/>
              <w:rPr>
                <w:color w:val="000000"/>
                <w:sz w:val="20"/>
                <w:szCs w:val="20"/>
              </w:rPr>
            </w:pPr>
          </w:p>
        </w:tc>
      </w:tr>
      <w:tr w:rsidR="00BA318D" w:rsidRPr="0099428A" w:rsidTr="00E133AB">
        <w:trPr>
          <w:trHeight w:val="341"/>
          <w:jc w:val="center"/>
        </w:trPr>
        <w:tc>
          <w:tcPr>
            <w:tcW w:w="1695" w:type="pct"/>
            <w:vMerge/>
            <w:shd w:val="clear" w:color="auto" w:fill="auto"/>
            <w:tcMar>
              <w:top w:w="90" w:type="dxa"/>
              <w:left w:w="90" w:type="dxa"/>
              <w:bottom w:w="90" w:type="dxa"/>
              <w:right w:w="90" w:type="dxa"/>
            </w:tcMar>
          </w:tcPr>
          <w:p w:rsidR="00BA318D" w:rsidRPr="0099428A" w:rsidRDefault="00BA318D" w:rsidP="000336A9">
            <w:pPr>
              <w:numPr>
                <w:ilvl w:val="0"/>
                <w:numId w:val="2"/>
              </w:numPr>
              <w:suppressAutoHyphens/>
              <w:autoSpaceDE w:val="0"/>
              <w:autoSpaceDN w:val="0"/>
              <w:adjustRightInd w:val="0"/>
              <w:spacing w:after="200" w:line="276" w:lineRule="auto"/>
              <w:textAlignment w:val="center"/>
              <w:rPr>
                <w:color w:val="000000"/>
                <w:sz w:val="20"/>
                <w:szCs w:val="20"/>
              </w:rPr>
            </w:pPr>
          </w:p>
        </w:tc>
        <w:tc>
          <w:tcPr>
            <w:tcW w:w="643" w:type="pct"/>
            <w:shd w:val="clear" w:color="auto" w:fill="auto"/>
            <w:tcMar>
              <w:top w:w="90" w:type="dxa"/>
              <w:left w:w="90" w:type="dxa"/>
              <w:bottom w:w="90" w:type="dxa"/>
              <w:right w:w="90" w:type="dxa"/>
            </w:tcMar>
            <w:vAlign w:val="center"/>
          </w:tcPr>
          <w:p w:rsidR="00BA318D" w:rsidRPr="0099428A" w:rsidRDefault="00BA318D" w:rsidP="000336A9">
            <w:pPr>
              <w:suppressAutoHyphens/>
              <w:autoSpaceDE w:val="0"/>
              <w:autoSpaceDN w:val="0"/>
              <w:adjustRightInd w:val="0"/>
              <w:jc w:val="center"/>
              <w:textAlignment w:val="center"/>
              <w:rPr>
                <w:color w:val="000000"/>
                <w:sz w:val="20"/>
                <w:szCs w:val="20"/>
              </w:rPr>
            </w:pPr>
            <w:r w:rsidRPr="0099428A">
              <w:rPr>
                <w:color w:val="000000"/>
                <w:sz w:val="20"/>
                <w:szCs w:val="20"/>
              </w:rPr>
              <w:t>State</w:t>
            </w:r>
          </w:p>
        </w:tc>
        <w:tc>
          <w:tcPr>
            <w:tcW w:w="556" w:type="pct"/>
            <w:shd w:val="clear" w:color="auto" w:fill="auto"/>
            <w:vAlign w:val="center"/>
          </w:tcPr>
          <w:p w:rsidR="00BA318D" w:rsidRPr="0099428A" w:rsidRDefault="00BA318D" w:rsidP="000336A9">
            <w:pPr>
              <w:suppressAutoHyphens/>
              <w:autoSpaceDE w:val="0"/>
              <w:autoSpaceDN w:val="0"/>
              <w:adjustRightInd w:val="0"/>
              <w:jc w:val="center"/>
              <w:textAlignment w:val="center"/>
              <w:rPr>
                <w:color w:val="000000"/>
                <w:sz w:val="20"/>
                <w:szCs w:val="20"/>
              </w:rPr>
            </w:pPr>
          </w:p>
        </w:tc>
        <w:tc>
          <w:tcPr>
            <w:tcW w:w="1576" w:type="pct"/>
            <w:vMerge/>
            <w:shd w:val="clear" w:color="auto" w:fill="auto"/>
            <w:tcMar>
              <w:top w:w="90" w:type="dxa"/>
              <w:left w:w="90" w:type="dxa"/>
              <w:bottom w:w="90" w:type="dxa"/>
              <w:right w:w="90" w:type="dxa"/>
            </w:tcMar>
          </w:tcPr>
          <w:p w:rsidR="00BA318D" w:rsidRPr="0099428A" w:rsidRDefault="00BA318D" w:rsidP="000336A9">
            <w:pPr>
              <w:numPr>
                <w:ilvl w:val="0"/>
                <w:numId w:val="2"/>
              </w:numPr>
              <w:suppressAutoHyphens/>
              <w:autoSpaceDE w:val="0"/>
              <w:autoSpaceDN w:val="0"/>
              <w:adjustRightInd w:val="0"/>
              <w:spacing w:after="200" w:line="276" w:lineRule="auto"/>
              <w:textAlignment w:val="center"/>
              <w:rPr>
                <w:color w:val="000000"/>
                <w:sz w:val="20"/>
                <w:szCs w:val="20"/>
              </w:rPr>
            </w:pPr>
          </w:p>
        </w:tc>
        <w:tc>
          <w:tcPr>
            <w:tcW w:w="530" w:type="pct"/>
            <w:vMerge/>
            <w:shd w:val="clear" w:color="auto" w:fill="auto"/>
            <w:tcMar>
              <w:top w:w="90" w:type="dxa"/>
              <w:left w:w="90" w:type="dxa"/>
              <w:bottom w:w="90" w:type="dxa"/>
              <w:right w:w="90" w:type="dxa"/>
            </w:tcMar>
          </w:tcPr>
          <w:p w:rsidR="00BA318D" w:rsidRPr="0099428A" w:rsidRDefault="00BA318D" w:rsidP="000336A9">
            <w:pPr>
              <w:autoSpaceDE w:val="0"/>
              <w:autoSpaceDN w:val="0"/>
              <w:adjustRightInd w:val="0"/>
              <w:spacing w:line="288" w:lineRule="auto"/>
              <w:textAlignment w:val="center"/>
              <w:rPr>
                <w:color w:val="000000"/>
                <w:sz w:val="20"/>
                <w:szCs w:val="20"/>
              </w:rPr>
            </w:pPr>
          </w:p>
        </w:tc>
      </w:tr>
      <w:tr w:rsidR="00BA318D" w:rsidRPr="0099428A" w:rsidTr="00E133AB">
        <w:trPr>
          <w:trHeight w:val="449"/>
          <w:jc w:val="center"/>
        </w:trPr>
        <w:tc>
          <w:tcPr>
            <w:tcW w:w="1695" w:type="pct"/>
            <w:vMerge/>
            <w:shd w:val="clear" w:color="auto" w:fill="auto"/>
            <w:tcMar>
              <w:top w:w="90" w:type="dxa"/>
              <w:left w:w="90" w:type="dxa"/>
              <w:bottom w:w="90" w:type="dxa"/>
              <w:right w:w="90" w:type="dxa"/>
            </w:tcMar>
          </w:tcPr>
          <w:p w:rsidR="00BA318D" w:rsidRPr="0099428A" w:rsidRDefault="00BA318D" w:rsidP="000336A9">
            <w:pPr>
              <w:numPr>
                <w:ilvl w:val="0"/>
                <w:numId w:val="2"/>
              </w:numPr>
              <w:suppressAutoHyphens/>
              <w:autoSpaceDE w:val="0"/>
              <w:autoSpaceDN w:val="0"/>
              <w:adjustRightInd w:val="0"/>
              <w:spacing w:after="200" w:line="276" w:lineRule="auto"/>
              <w:textAlignment w:val="center"/>
              <w:rPr>
                <w:color w:val="000000"/>
                <w:sz w:val="20"/>
                <w:szCs w:val="20"/>
              </w:rPr>
            </w:pPr>
          </w:p>
        </w:tc>
        <w:tc>
          <w:tcPr>
            <w:tcW w:w="643" w:type="pct"/>
            <w:shd w:val="clear" w:color="auto" w:fill="auto"/>
            <w:tcMar>
              <w:top w:w="90" w:type="dxa"/>
              <w:left w:w="90" w:type="dxa"/>
              <w:bottom w:w="90" w:type="dxa"/>
              <w:right w:w="90" w:type="dxa"/>
            </w:tcMar>
            <w:vAlign w:val="center"/>
          </w:tcPr>
          <w:p w:rsidR="00BA318D" w:rsidRPr="0099428A" w:rsidRDefault="00BA318D" w:rsidP="000336A9">
            <w:pPr>
              <w:suppressAutoHyphens/>
              <w:autoSpaceDE w:val="0"/>
              <w:autoSpaceDN w:val="0"/>
              <w:adjustRightInd w:val="0"/>
              <w:jc w:val="center"/>
              <w:textAlignment w:val="center"/>
              <w:rPr>
                <w:color w:val="000000"/>
                <w:sz w:val="20"/>
                <w:szCs w:val="20"/>
              </w:rPr>
            </w:pPr>
            <w:r w:rsidRPr="0099428A">
              <w:rPr>
                <w:color w:val="000000"/>
                <w:sz w:val="20"/>
                <w:szCs w:val="20"/>
              </w:rPr>
              <w:t>Voter</w:t>
            </w:r>
          </w:p>
        </w:tc>
        <w:tc>
          <w:tcPr>
            <w:tcW w:w="556" w:type="pct"/>
            <w:shd w:val="clear" w:color="auto" w:fill="auto"/>
            <w:vAlign w:val="center"/>
          </w:tcPr>
          <w:p w:rsidR="00BA318D" w:rsidRPr="0099428A" w:rsidRDefault="00BA318D" w:rsidP="000336A9">
            <w:pPr>
              <w:suppressAutoHyphens/>
              <w:autoSpaceDE w:val="0"/>
              <w:autoSpaceDN w:val="0"/>
              <w:adjustRightInd w:val="0"/>
              <w:jc w:val="center"/>
              <w:textAlignment w:val="center"/>
              <w:rPr>
                <w:color w:val="000000"/>
                <w:sz w:val="20"/>
                <w:szCs w:val="20"/>
              </w:rPr>
            </w:pPr>
          </w:p>
        </w:tc>
        <w:tc>
          <w:tcPr>
            <w:tcW w:w="1576" w:type="pct"/>
            <w:vMerge/>
            <w:shd w:val="clear" w:color="auto" w:fill="auto"/>
            <w:tcMar>
              <w:top w:w="90" w:type="dxa"/>
              <w:left w:w="90" w:type="dxa"/>
              <w:bottom w:w="90" w:type="dxa"/>
              <w:right w:w="90" w:type="dxa"/>
            </w:tcMar>
          </w:tcPr>
          <w:p w:rsidR="00BA318D" w:rsidRPr="0099428A" w:rsidRDefault="00BA318D" w:rsidP="000336A9">
            <w:pPr>
              <w:numPr>
                <w:ilvl w:val="0"/>
                <w:numId w:val="2"/>
              </w:numPr>
              <w:suppressAutoHyphens/>
              <w:autoSpaceDE w:val="0"/>
              <w:autoSpaceDN w:val="0"/>
              <w:adjustRightInd w:val="0"/>
              <w:spacing w:after="200" w:line="276" w:lineRule="auto"/>
              <w:textAlignment w:val="center"/>
              <w:rPr>
                <w:color w:val="000000"/>
                <w:sz w:val="20"/>
                <w:szCs w:val="20"/>
              </w:rPr>
            </w:pPr>
          </w:p>
        </w:tc>
        <w:tc>
          <w:tcPr>
            <w:tcW w:w="530" w:type="pct"/>
            <w:vMerge/>
            <w:shd w:val="clear" w:color="auto" w:fill="auto"/>
            <w:tcMar>
              <w:top w:w="90" w:type="dxa"/>
              <w:left w:w="90" w:type="dxa"/>
              <w:bottom w:w="90" w:type="dxa"/>
              <w:right w:w="90" w:type="dxa"/>
            </w:tcMar>
          </w:tcPr>
          <w:p w:rsidR="00BA318D" w:rsidRPr="0099428A" w:rsidRDefault="00BA318D" w:rsidP="000336A9">
            <w:pPr>
              <w:autoSpaceDE w:val="0"/>
              <w:autoSpaceDN w:val="0"/>
              <w:adjustRightInd w:val="0"/>
              <w:spacing w:line="288" w:lineRule="auto"/>
              <w:textAlignment w:val="center"/>
              <w:rPr>
                <w:color w:val="000000"/>
                <w:sz w:val="20"/>
                <w:szCs w:val="20"/>
              </w:rPr>
            </w:pPr>
          </w:p>
        </w:tc>
      </w:tr>
      <w:tr w:rsidR="00E133AB" w:rsidRPr="0099428A" w:rsidTr="00E133AB">
        <w:trPr>
          <w:trHeight w:val="60"/>
          <w:jc w:val="center"/>
        </w:trPr>
        <w:tc>
          <w:tcPr>
            <w:tcW w:w="5000" w:type="pct"/>
            <w:gridSpan w:val="5"/>
            <w:shd w:val="clear" w:color="auto" w:fill="C2D69B" w:themeFill="accent3" w:themeFillTint="99"/>
            <w:tcMar>
              <w:top w:w="90" w:type="dxa"/>
              <w:left w:w="90" w:type="dxa"/>
              <w:bottom w:w="90" w:type="dxa"/>
              <w:right w:w="90" w:type="dxa"/>
            </w:tcMar>
            <w:vAlign w:val="center"/>
          </w:tcPr>
          <w:p w:rsidR="00E133AB" w:rsidRPr="0099428A" w:rsidRDefault="00E133AB" w:rsidP="00E133AB">
            <w:pPr>
              <w:suppressAutoHyphens/>
              <w:autoSpaceDE w:val="0"/>
              <w:autoSpaceDN w:val="0"/>
              <w:adjustRightInd w:val="0"/>
              <w:jc w:val="center"/>
              <w:textAlignment w:val="center"/>
              <w:rPr>
                <w:b/>
                <w:bCs/>
                <w:color w:val="000000"/>
                <w:sz w:val="20"/>
                <w:szCs w:val="20"/>
              </w:rPr>
            </w:pPr>
            <w:r w:rsidRPr="0099428A">
              <w:rPr>
                <w:b/>
                <w:bCs/>
                <w:color w:val="000000"/>
                <w:sz w:val="20"/>
                <w:szCs w:val="20"/>
              </w:rPr>
              <w:t>STRATEGY # 4:</w:t>
            </w:r>
          </w:p>
          <w:p w:rsidR="00E133AB" w:rsidRPr="0099428A" w:rsidDel="00E133AB" w:rsidRDefault="00E133AB" w:rsidP="00E133AB">
            <w:pPr>
              <w:autoSpaceDE w:val="0"/>
              <w:autoSpaceDN w:val="0"/>
              <w:adjustRightInd w:val="0"/>
              <w:spacing w:line="288" w:lineRule="auto"/>
              <w:jc w:val="center"/>
              <w:textAlignment w:val="center"/>
              <w:rPr>
                <w:b/>
                <w:bCs/>
                <w:color w:val="000000"/>
                <w:sz w:val="20"/>
                <w:szCs w:val="20"/>
              </w:rPr>
            </w:pPr>
            <w:r w:rsidRPr="0099428A">
              <w:rPr>
                <w:b/>
                <w:bCs/>
                <w:color w:val="000000"/>
                <w:sz w:val="20"/>
                <w:szCs w:val="20"/>
              </w:rPr>
              <w:t>IMPLEMENT NON-MONETARY PRODUCTION OPPORTUNITIES</w:t>
            </w:r>
          </w:p>
        </w:tc>
      </w:tr>
      <w:tr w:rsidR="00E133AB" w:rsidRPr="0099428A" w:rsidTr="00E133AB">
        <w:trPr>
          <w:trHeight w:val="60"/>
          <w:jc w:val="center"/>
        </w:trPr>
        <w:tc>
          <w:tcPr>
            <w:tcW w:w="5000" w:type="pct"/>
            <w:gridSpan w:val="5"/>
            <w:shd w:val="clear" w:color="auto" w:fill="C2D69B" w:themeFill="accent3" w:themeFillTint="99"/>
            <w:tcMar>
              <w:top w:w="90" w:type="dxa"/>
              <w:left w:w="90" w:type="dxa"/>
              <w:bottom w:w="90" w:type="dxa"/>
              <w:right w:w="90" w:type="dxa"/>
            </w:tcMar>
            <w:vAlign w:val="center"/>
          </w:tcPr>
          <w:p w:rsidR="00E133AB" w:rsidRPr="0099428A" w:rsidRDefault="00E133AB" w:rsidP="000336A9">
            <w:pPr>
              <w:autoSpaceDE w:val="0"/>
              <w:autoSpaceDN w:val="0"/>
              <w:adjustRightInd w:val="0"/>
              <w:spacing w:line="288" w:lineRule="auto"/>
              <w:textAlignment w:val="center"/>
              <w:rPr>
                <w:color w:val="000000"/>
                <w:sz w:val="20"/>
                <w:szCs w:val="20"/>
              </w:rPr>
            </w:pPr>
            <w:r w:rsidRPr="0099428A">
              <w:rPr>
                <w:b/>
                <w:bCs/>
                <w:color w:val="000000"/>
                <w:sz w:val="20"/>
                <w:szCs w:val="20"/>
              </w:rPr>
              <w:t>Action Step #6:  Generate Proximity Housing Incentives and Policies</w:t>
            </w:r>
          </w:p>
        </w:tc>
      </w:tr>
      <w:tr w:rsidR="00E133AB" w:rsidRPr="0099428A" w:rsidTr="00E133AB">
        <w:trPr>
          <w:trHeight w:val="60"/>
          <w:jc w:val="center"/>
        </w:trPr>
        <w:tc>
          <w:tcPr>
            <w:tcW w:w="1694" w:type="pct"/>
            <w:shd w:val="clear" w:color="auto" w:fill="C2D69B" w:themeFill="accent3" w:themeFillTint="99"/>
            <w:tcMar>
              <w:top w:w="90" w:type="dxa"/>
              <w:left w:w="90" w:type="dxa"/>
              <w:bottom w:w="90" w:type="dxa"/>
              <w:right w:w="90" w:type="dxa"/>
            </w:tcMar>
            <w:vAlign w:val="center"/>
          </w:tcPr>
          <w:p w:rsidR="00E133AB" w:rsidRPr="0099428A" w:rsidRDefault="00E133AB" w:rsidP="000336A9">
            <w:pPr>
              <w:suppressAutoHyphens/>
              <w:autoSpaceDE w:val="0"/>
              <w:autoSpaceDN w:val="0"/>
              <w:adjustRightInd w:val="0"/>
              <w:jc w:val="center"/>
              <w:textAlignment w:val="center"/>
              <w:rPr>
                <w:b/>
                <w:bCs/>
                <w:color w:val="000000"/>
                <w:sz w:val="20"/>
                <w:szCs w:val="20"/>
              </w:rPr>
            </w:pPr>
            <w:r w:rsidRPr="0099428A">
              <w:rPr>
                <w:b/>
                <w:bCs/>
                <w:color w:val="000000"/>
                <w:sz w:val="20"/>
                <w:szCs w:val="20"/>
              </w:rPr>
              <w:t>Tasks</w:t>
            </w:r>
          </w:p>
        </w:tc>
        <w:tc>
          <w:tcPr>
            <w:tcW w:w="1200" w:type="pct"/>
            <w:gridSpan w:val="2"/>
            <w:shd w:val="clear" w:color="auto" w:fill="C2D69B" w:themeFill="accent3" w:themeFillTint="99"/>
            <w:tcMar>
              <w:top w:w="90" w:type="dxa"/>
              <w:left w:w="90" w:type="dxa"/>
              <w:bottom w:w="90" w:type="dxa"/>
              <w:right w:w="90" w:type="dxa"/>
            </w:tcMar>
            <w:vAlign w:val="center"/>
          </w:tcPr>
          <w:p w:rsidR="00E133AB" w:rsidRPr="0099428A" w:rsidRDefault="00E133AB" w:rsidP="000336A9">
            <w:pPr>
              <w:suppressAutoHyphens/>
              <w:autoSpaceDE w:val="0"/>
              <w:autoSpaceDN w:val="0"/>
              <w:adjustRightInd w:val="0"/>
              <w:jc w:val="center"/>
              <w:textAlignment w:val="center"/>
              <w:rPr>
                <w:b/>
                <w:bCs/>
                <w:color w:val="000000"/>
                <w:sz w:val="20"/>
                <w:szCs w:val="20"/>
              </w:rPr>
            </w:pPr>
            <w:r w:rsidRPr="0099428A">
              <w:rPr>
                <w:b/>
                <w:bCs/>
                <w:color w:val="000000"/>
                <w:sz w:val="20"/>
                <w:szCs w:val="20"/>
              </w:rPr>
              <w:t>Required Approvals</w:t>
            </w:r>
          </w:p>
        </w:tc>
        <w:tc>
          <w:tcPr>
            <w:tcW w:w="1576" w:type="pct"/>
            <w:shd w:val="clear" w:color="auto" w:fill="C2D69B" w:themeFill="accent3" w:themeFillTint="99"/>
            <w:vAlign w:val="center"/>
          </w:tcPr>
          <w:p w:rsidR="00E133AB" w:rsidRPr="0099428A" w:rsidRDefault="00E133AB" w:rsidP="000336A9">
            <w:pPr>
              <w:suppressAutoHyphens/>
              <w:autoSpaceDE w:val="0"/>
              <w:autoSpaceDN w:val="0"/>
              <w:adjustRightInd w:val="0"/>
              <w:jc w:val="center"/>
              <w:textAlignment w:val="center"/>
              <w:rPr>
                <w:b/>
                <w:bCs/>
                <w:color w:val="000000"/>
                <w:sz w:val="20"/>
                <w:szCs w:val="20"/>
              </w:rPr>
            </w:pPr>
            <w:r w:rsidRPr="0099428A">
              <w:rPr>
                <w:b/>
                <w:bCs/>
                <w:color w:val="000000"/>
                <w:sz w:val="20"/>
                <w:szCs w:val="20"/>
              </w:rPr>
              <w:t>Measurable Outcome(s)</w:t>
            </w:r>
          </w:p>
        </w:tc>
        <w:tc>
          <w:tcPr>
            <w:tcW w:w="530" w:type="pct"/>
            <w:shd w:val="clear" w:color="auto" w:fill="C2D69B" w:themeFill="accent3" w:themeFillTint="99"/>
            <w:tcMar>
              <w:top w:w="90" w:type="dxa"/>
              <w:left w:w="90" w:type="dxa"/>
              <w:bottom w:w="90" w:type="dxa"/>
              <w:right w:w="90" w:type="dxa"/>
            </w:tcMar>
            <w:vAlign w:val="center"/>
          </w:tcPr>
          <w:p w:rsidR="00E133AB" w:rsidRPr="0099428A" w:rsidRDefault="00E133AB" w:rsidP="000336A9">
            <w:pPr>
              <w:suppressAutoHyphens/>
              <w:autoSpaceDE w:val="0"/>
              <w:autoSpaceDN w:val="0"/>
              <w:adjustRightInd w:val="0"/>
              <w:ind w:right="-90"/>
              <w:jc w:val="center"/>
              <w:textAlignment w:val="center"/>
              <w:rPr>
                <w:b/>
                <w:bCs/>
                <w:color w:val="000000"/>
                <w:sz w:val="20"/>
                <w:szCs w:val="20"/>
                <w:u w:color="000000"/>
              </w:rPr>
            </w:pPr>
            <w:r w:rsidRPr="0099428A">
              <w:rPr>
                <w:b/>
                <w:bCs/>
                <w:color w:val="000000"/>
                <w:sz w:val="20"/>
                <w:szCs w:val="20"/>
                <w:u w:color="000000"/>
              </w:rPr>
              <w:t>Target Completion Date(s)</w:t>
            </w:r>
          </w:p>
        </w:tc>
      </w:tr>
      <w:tr w:rsidR="00E133AB" w:rsidRPr="0099428A" w:rsidTr="00E133AB">
        <w:trPr>
          <w:trHeight w:val="494"/>
          <w:jc w:val="center"/>
        </w:trPr>
        <w:tc>
          <w:tcPr>
            <w:tcW w:w="1694" w:type="pct"/>
            <w:vMerge w:val="restart"/>
            <w:shd w:val="clear" w:color="auto" w:fill="auto"/>
            <w:tcMar>
              <w:top w:w="90" w:type="dxa"/>
              <w:left w:w="90" w:type="dxa"/>
              <w:bottom w:w="90" w:type="dxa"/>
              <w:right w:w="90" w:type="dxa"/>
            </w:tcMar>
          </w:tcPr>
          <w:p w:rsidR="00E133AB" w:rsidRPr="0099428A" w:rsidRDefault="00E133AB" w:rsidP="000336A9">
            <w:pPr>
              <w:numPr>
                <w:ilvl w:val="0"/>
                <w:numId w:val="2"/>
              </w:numPr>
              <w:suppressAutoHyphens/>
              <w:autoSpaceDE w:val="0"/>
              <w:autoSpaceDN w:val="0"/>
              <w:adjustRightInd w:val="0"/>
              <w:spacing w:after="200" w:line="276" w:lineRule="auto"/>
              <w:textAlignment w:val="center"/>
              <w:rPr>
                <w:color w:val="000000"/>
                <w:sz w:val="20"/>
                <w:szCs w:val="20"/>
              </w:rPr>
            </w:pPr>
            <w:r w:rsidRPr="0099428A">
              <w:rPr>
                <w:color w:val="000000"/>
                <w:sz w:val="20"/>
                <w:szCs w:val="20"/>
              </w:rPr>
              <w:t>Develop employer incentives based on the percentage of their employees living close to work</w:t>
            </w:r>
          </w:p>
        </w:tc>
        <w:tc>
          <w:tcPr>
            <w:tcW w:w="644" w:type="pct"/>
            <w:shd w:val="clear" w:color="auto" w:fill="auto"/>
            <w:tcMar>
              <w:top w:w="90" w:type="dxa"/>
              <w:left w:w="90" w:type="dxa"/>
              <w:bottom w:w="90" w:type="dxa"/>
              <w:right w:w="90" w:type="dxa"/>
            </w:tcMar>
            <w:vAlign w:val="center"/>
          </w:tcPr>
          <w:p w:rsidR="00E133AB" w:rsidRPr="0099428A" w:rsidRDefault="00E133AB" w:rsidP="000336A9">
            <w:pPr>
              <w:suppressAutoHyphens/>
              <w:autoSpaceDE w:val="0"/>
              <w:autoSpaceDN w:val="0"/>
              <w:adjustRightInd w:val="0"/>
              <w:jc w:val="center"/>
              <w:textAlignment w:val="center"/>
              <w:rPr>
                <w:color w:val="000000"/>
                <w:sz w:val="20"/>
                <w:szCs w:val="20"/>
              </w:rPr>
            </w:pPr>
            <w:r w:rsidRPr="0099428A">
              <w:rPr>
                <w:color w:val="000000"/>
                <w:sz w:val="20"/>
                <w:szCs w:val="20"/>
              </w:rPr>
              <w:t>Local</w:t>
            </w:r>
          </w:p>
        </w:tc>
        <w:tc>
          <w:tcPr>
            <w:tcW w:w="555" w:type="pct"/>
            <w:shd w:val="clear" w:color="auto" w:fill="auto"/>
            <w:vAlign w:val="center"/>
          </w:tcPr>
          <w:p w:rsidR="00E133AB" w:rsidRPr="0099428A" w:rsidRDefault="00E133AB" w:rsidP="000336A9">
            <w:pPr>
              <w:suppressAutoHyphens/>
              <w:autoSpaceDE w:val="0"/>
              <w:autoSpaceDN w:val="0"/>
              <w:adjustRightInd w:val="0"/>
              <w:jc w:val="center"/>
              <w:textAlignment w:val="center"/>
              <w:rPr>
                <w:color w:val="000000"/>
                <w:sz w:val="20"/>
                <w:szCs w:val="20"/>
              </w:rPr>
            </w:pPr>
            <w:r>
              <w:rPr>
                <w:color w:val="000000"/>
                <w:sz w:val="20"/>
                <w:szCs w:val="20"/>
              </w:rPr>
              <w:t>X</w:t>
            </w:r>
          </w:p>
        </w:tc>
        <w:tc>
          <w:tcPr>
            <w:tcW w:w="1576" w:type="pct"/>
            <w:vMerge w:val="restart"/>
            <w:shd w:val="clear" w:color="auto" w:fill="auto"/>
            <w:tcMar>
              <w:top w:w="90" w:type="dxa"/>
              <w:left w:w="90" w:type="dxa"/>
              <w:bottom w:w="90" w:type="dxa"/>
              <w:right w:w="90" w:type="dxa"/>
            </w:tcMar>
          </w:tcPr>
          <w:p w:rsidR="00E133AB" w:rsidRPr="0099428A" w:rsidRDefault="00E133AB" w:rsidP="000336A9">
            <w:pPr>
              <w:numPr>
                <w:ilvl w:val="0"/>
                <w:numId w:val="2"/>
              </w:numPr>
              <w:suppressAutoHyphens/>
              <w:autoSpaceDE w:val="0"/>
              <w:autoSpaceDN w:val="0"/>
              <w:adjustRightInd w:val="0"/>
              <w:spacing w:after="200" w:line="276" w:lineRule="auto"/>
              <w:textAlignment w:val="center"/>
              <w:rPr>
                <w:color w:val="000000"/>
                <w:sz w:val="20"/>
                <w:szCs w:val="20"/>
              </w:rPr>
            </w:pPr>
            <w:r w:rsidRPr="0099428A">
              <w:rPr>
                <w:color w:val="000000"/>
                <w:sz w:val="20"/>
                <w:szCs w:val="20"/>
              </w:rPr>
              <w:t>Economic incentives will help spur private sector employee housing programs and help to reduce traffic</w:t>
            </w:r>
            <w:r>
              <w:rPr>
                <w:color w:val="000000"/>
                <w:sz w:val="20"/>
                <w:szCs w:val="20"/>
              </w:rPr>
              <w:t>.</w:t>
            </w:r>
          </w:p>
        </w:tc>
        <w:tc>
          <w:tcPr>
            <w:tcW w:w="530" w:type="pct"/>
            <w:vMerge w:val="restart"/>
            <w:shd w:val="clear" w:color="auto" w:fill="auto"/>
            <w:tcMar>
              <w:top w:w="90" w:type="dxa"/>
              <w:left w:w="90" w:type="dxa"/>
              <w:bottom w:w="90" w:type="dxa"/>
              <w:right w:w="90" w:type="dxa"/>
            </w:tcMar>
          </w:tcPr>
          <w:p w:rsidR="00E133AB" w:rsidRPr="0099428A" w:rsidRDefault="00E133AB" w:rsidP="000336A9">
            <w:pPr>
              <w:autoSpaceDE w:val="0"/>
              <w:autoSpaceDN w:val="0"/>
              <w:adjustRightInd w:val="0"/>
              <w:spacing w:line="288" w:lineRule="auto"/>
              <w:textAlignment w:val="center"/>
              <w:rPr>
                <w:color w:val="000000"/>
                <w:sz w:val="20"/>
                <w:szCs w:val="20"/>
              </w:rPr>
            </w:pPr>
          </w:p>
        </w:tc>
      </w:tr>
      <w:tr w:rsidR="00E133AB" w:rsidRPr="0099428A" w:rsidTr="00E133AB">
        <w:trPr>
          <w:trHeight w:val="530"/>
          <w:jc w:val="center"/>
        </w:trPr>
        <w:tc>
          <w:tcPr>
            <w:tcW w:w="1694" w:type="pct"/>
            <w:vMerge/>
            <w:shd w:val="clear" w:color="auto" w:fill="auto"/>
            <w:tcMar>
              <w:top w:w="90" w:type="dxa"/>
              <w:left w:w="90" w:type="dxa"/>
              <w:bottom w:w="90" w:type="dxa"/>
              <w:right w:w="90" w:type="dxa"/>
            </w:tcMar>
          </w:tcPr>
          <w:p w:rsidR="00E133AB" w:rsidRPr="0099428A" w:rsidRDefault="00E133AB" w:rsidP="000336A9">
            <w:pPr>
              <w:numPr>
                <w:ilvl w:val="0"/>
                <w:numId w:val="2"/>
              </w:numPr>
              <w:suppressAutoHyphens/>
              <w:autoSpaceDE w:val="0"/>
              <w:autoSpaceDN w:val="0"/>
              <w:adjustRightInd w:val="0"/>
              <w:spacing w:after="200" w:line="276" w:lineRule="auto"/>
              <w:textAlignment w:val="center"/>
              <w:rPr>
                <w:color w:val="000000"/>
                <w:sz w:val="20"/>
                <w:szCs w:val="20"/>
              </w:rPr>
            </w:pPr>
          </w:p>
        </w:tc>
        <w:tc>
          <w:tcPr>
            <w:tcW w:w="644" w:type="pct"/>
            <w:shd w:val="clear" w:color="auto" w:fill="auto"/>
            <w:tcMar>
              <w:top w:w="90" w:type="dxa"/>
              <w:left w:w="90" w:type="dxa"/>
              <w:bottom w:w="90" w:type="dxa"/>
              <w:right w:w="90" w:type="dxa"/>
            </w:tcMar>
            <w:vAlign w:val="center"/>
          </w:tcPr>
          <w:p w:rsidR="00E133AB" w:rsidRPr="0099428A" w:rsidRDefault="00E133AB" w:rsidP="000336A9">
            <w:pPr>
              <w:suppressAutoHyphens/>
              <w:autoSpaceDE w:val="0"/>
              <w:autoSpaceDN w:val="0"/>
              <w:adjustRightInd w:val="0"/>
              <w:jc w:val="center"/>
              <w:textAlignment w:val="center"/>
              <w:rPr>
                <w:color w:val="000000"/>
                <w:sz w:val="20"/>
                <w:szCs w:val="20"/>
              </w:rPr>
            </w:pPr>
            <w:r w:rsidRPr="0099428A">
              <w:rPr>
                <w:color w:val="000000"/>
                <w:sz w:val="20"/>
                <w:szCs w:val="20"/>
              </w:rPr>
              <w:t>State</w:t>
            </w:r>
          </w:p>
        </w:tc>
        <w:tc>
          <w:tcPr>
            <w:tcW w:w="555" w:type="pct"/>
            <w:shd w:val="clear" w:color="auto" w:fill="auto"/>
            <w:vAlign w:val="center"/>
          </w:tcPr>
          <w:p w:rsidR="00E133AB" w:rsidRPr="0099428A" w:rsidRDefault="00E133AB" w:rsidP="000336A9">
            <w:pPr>
              <w:suppressAutoHyphens/>
              <w:autoSpaceDE w:val="0"/>
              <w:autoSpaceDN w:val="0"/>
              <w:adjustRightInd w:val="0"/>
              <w:jc w:val="center"/>
              <w:textAlignment w:val="center"/>
              <w:rPr>
                <w:color w:val="000000"/>
                <w:sz w:val="20"/>
                <w:szCs w:val="20"/>
              </w:rPr>
            </w:pPr>
          </w:p>
        </w:tc>
        <w:tc>
          <w:tcPr>
            <w:tcW w:w="1576" w:type="pct"/>
            <w:vMerge/>
            <w:shd w:val="clear" w:color="auto" w:fill="auto"/>
            <w:tcMar>
              <w:top w:w="90" w:type="dxa"/>
              <w:left w:w="90" w:type="dxa"/>
              <w:bottom w:w="90" w:type="dxa"/>
              <w:right w:w="90" w:type="dxa"/>
            </w:tcMar>
          </w:tcPr>
          <w:p w:rsidR="00E133AB" w:rsidRPr="0099428A" w:rsidRDefault="00E133AB" w:rsidP="000336A9">
            <w:pPr>
              <w:numPr>
                <w:ilvl w:val="0"/>
                <w:numId w:val="2"/>
              </w:numPr>
              <w:suppressAutoHyphens/>
              <w:autoSpaceDE w:val="0"/>
              <w:autoSpaceDN w:val="0"/>
              <w:adjustRightInd w:val="0"/>
              <w:spacing w:after="200" w:line="276" w:lineRule="auto"/>
              <w:textAlignment w:val="center"/>
              <w:rPr>
                <w:color w:val="000000"/>
                <w:sz w:val="20"/>
                <w:szCs w:val="20"/>
              </w:rPr>
            </w:pPr>
          </w:p>
        </w:tc>
        <w:tc>
          <w:tcPr>
            <w:tcW w:w="530" w:type="pct"/>
            <w:vMerge/>
            <w:shd w:val="clear" w:color="auto" w:fill="auto"/>
            <w:tcMar>
              <w:top w:w="90" w:type="dxa"/>
              <w:left w:w="90" w:type="dxa"/>
              <w:bottom w:w="90" w:type="dxa"/>
              <w:right w:w="90" w:type="dxa"/>
            </w:tcMar>
          </w:tcPr>
          <w:p w:rsidR="00E133AB" w:rsidRPr="0099428A" w:rsidRDefault="00E133AB" w:rsidP="000336A9">
            <w:pPr>
              <w:autoSpaceDE w:val="0"/>
              <w:autoSpaceDN w:val="0"/>
              <w:adjustRightInd w:val="0"/>
              <w:spacing w:line="288" w:lineRule="auto"/>
              <w:textAlignment w:val="center"/>
              <w:rPr>
                <w:color w:val="000000"/>
                <w:sz w:val="20"/>
                <w:szCs w:val="20"/>
              </w:rPr>
            </w:pPr>
          </w:p>
        </w:tc>
      </w:tr>
      <w:tr w:rsidR="00E133AB" w:rsidRPr="0099428A" w:rsidTr="00E133AB">
        <w:trPr>
          <w:trHeight w:val="530"/>
          <w:jc w:val="center"/>
        </w:trPr>
        <w:tc>
          <w:tcPr>
            <w:tcW w:w="1694" w:type="pct"/>
            <w:vMerge/>
            <w:shd w:val="clear" w:color="auto" w:fill="auto"/>
            <w:tcMar>
              <w:top w:w="90" w:type="dxa"/>
              <w:left w:w="90" w:type="dxa"/>
              <w:bottom w:w="90" w:type="dxa"/>
              <w:right w:w="90" w:type="dxa"/>
            </w:tcMar>
          </w:tcPr>
          <w:p w:rsidR="00E133AB" w:rsidRPr="0099428A" w:rsidRDefault="00E133AB" w:rsidP="000336A9">
            <w:pPr>
              <w:numPr>
                <w:ilvl w:val="0"/>
                <w:numId w:val="2"/>
              </w:numPr>
              <w:suppressAutoHyphens/>
              <w:autoSpaceDE w:val="0"/>
              <w:autoSpaceDN w:val="0"/>
              <w:adjustRightInd w:val="0"/>
              <w:spacing w:after="200" w:line="276" w:lineRule="auto"/>
              <w:textAlignment w:val="center"/>
              <w:rPr>
                <w:color w:val="000000"/>
                <w:sz w:val="20"/>
                <w:szCs w:val="20"/>
              </w:rPr>
            </w:pPr>
          </w:p>
        </w:tc>
        <w:tc>
          <w:tcPr>
            <w:tcW w:w="644" w:type="pct"/>
            <w:shd w:val="clear" w:color="auto" w:fill="auto"/>
            <w:tcMar>
              <w:top w:w="90" w:type="dxa"/>
              <w:left w:w="90" w:type="dxa"/>
              <w:bottom w:w="90" w:type="dxa"/>
              <w:right w:w="90" w:type="dxa"/>
            </w:tcMar>
            <w:vAlign w:val="center"/>
          </w:tcPr>
          <w:p w:rsidR="00E133AB" w:rsidRPr="0099428A" w:rsidRDefault="00E133AB" w:rsidP="000336A9">
            <w:pPr>
              <w:suppressAutoHyphens/>
              <w:autoSpaceDE w:val="0"/>
              <w:autoSpaceDN w:val="0"/>
              <w:adjustRightInd w:val="0"/>
              <w:jc w:val="center"/>
              <w:textAlignment w:val="center"/>
              <w:rPr>
                <w:color w:val="000000"/>
                <w:sz w:val="20"/>
                <w:szCs w:val="20"/>
              </w:rPr>
            </w:pPr>
            <w:r w:rsidRPr="0099428A">
              <w:rPr>
                <w:color w:val="000000"/>
                <w:sz w:val="20"/>
                <w:szCs w:val="20"/>
              </w:rPr>
              <w:t>Voter</w:t>
            </w:r>
          </w:p>
        </w:tc>
        <w:tc>
          <w:tcPr>
            <w:tcW w:w="555" w:type="pct"/>
            <w:shd w:val="clear" w:color="auto" w:fill="auto"/>
            <w:vAlign w:val="center"/>
          </w:tcPr>
          <w:p w:rsidR="00E133AB" w:rsidRPr="0099428A" w:rsidRDefault="00E133AB" w:rsidP="000336A9">
            <w:pPr>
              <w:suppressAutoHyphens/>
              <w:autoSpaceDE w:val="0"/>
              <w:autoSpaceDN w:val="0"/>
              <w:adjustRightInd w:val="0"/>
              <w:jc w:val="center"/>
              <w:textAlignment w:val="center"/>
              <w:rPr>
                <w:color w:val="000000"/>
                <w:sz w:val="20"/>
                <w:szCs w:val="20"/>
              </w:rPr>
            </w:pPr>
          </w:p>
        </w:tc>
        <w:tc>
          <w:tcPr>
            <w:tcW w:w="1576" w:type="pct"/>
            <w:vMerge/>
            <w:shd w:val="clear" w:color="auto" w:fill="auto"/>
            <w:tcMar>
              <w:top w:w="90" w:type="dxa"/>
              <w:left w:w="90" w:type="dxa"/>
              <w:bottom w:w="90" w:type="dxa"/>
              <w:right w:w="90" w:type="dxa"/>
            </w:tcMar>
          </w:tcPr>
          <w:p w:rsidR="00E133AB" w:rsidRPr="0099428A" w:rsidRDefault="00E133AB" w:rsidP="000336A9">
            <w:pPr>
              <w:numPr>
                <w:ilvl w:val="0"/>
                <w:numId w:val="2"/>
              </w:numPr>
              <w:suppressAutoHyphens/>
              <w:autoSpaceDE w:val="0"/>
              <w:autoSpaceDN w:val="0"/>
              <w:adjustRightInd w:val="0"/>
              <w:spacing w:after="200" w:line="276" w:lineRule="auto"/>
              <w:textAlignment w:val="center"/>
              <w:rPr>
                <w:color w:val="000000"/>
                <w:sz w:val="20"/>
                <w:szCs w:val="20"/>
              </w:rPr>
            </w:pPr>
          </w:p>
        </w:tc>
        <w:tc>
          <w:tcPr>
            <w:tcW w:w="530" w:type="pct"/>
            <w:vMerge/>
            <w:shd w:val="clear" w:color="auto" w:fill="auto"/>
            <w:tcMar>
              <w:top w:w="90" w:type="dxa"/>
              <w:left w:w="90" w:type="dxa"/>
              <w:bottom w:w="90" w:type="dxa"/>
              <w:right w:w="90" w:type="dxa"/>
            </w:tcMar>
          </w:tcPr>
          <w:p w:rsidR="00E133AB" w:rsidRPr="0099428A" w:rsidRDefault="00E133AB" w:rsidP="000336A9">
            <w:pPr>
              <w:autoSpaceDE w:val="0"/>
              <w:autoSpaceDN w:val="0"/>
              <w:adjustRightInd w:val="0"/>
              <w:spacing w:line="288" w:lineRule="auto"/>
              <w:textAlignment w:val="center"/>
              <w:rPr>
                <w:color w:val="000000"/>
                <w:sz w:val="20"/>
                <w:szCs w:val="20"/>
              </w:rPr>
            </w:pPr>
          </w:p>
        </w:tc>
      </w:tr>
      <w:tr w:rsidR="00E133AB" w:rsidRPr="0099428A" w:rsidTr="00E133AB">
        <w:trPr>
          <w:trHeight w:val="440"/>
          <w:jc w:val="center"/>
        </w:trPr>
        <w:tc>
          <w:tcPr>
            <w:tcW w:w="1694" w:type="pct"/>
            <w:vMerge w:val="restart"/>
            <w:shd w:val="clear" w:color="auto" w:fill="auto"/>
            <w:tcMar>
              <w:top w:w="90" w:type="dxa"/>
              <w:left w:w="90" w:type="dxa"/>
              <w:bottom w:w="90" w:type="dxa"/>
              <w:right w:w="90" w:type="dxa"/>
            </w:tcMar>
          </w:tcPr>
          <w:p w:rsidR="00E133AB" w:rsidRPr="0099428A" w:rsidRDefault="00E133AB" w:rsidP="000336A9">
            <w:pPr>
              <w:numPr>
                <w:ilvl w:val="0"/>
                <w:numId w:val="2"/>
              </w:numPr>
              <w:suppressAutoHyphens/>
              <w:autoSpaceDE w:val="0"/>
              <w:autoSpaceDN w:val="0"/>
              <w:adjustRightInd w:val="0"/>
              <w:spacing w:after="200" w:line="276" w:lineRule="auto"/>
              <w:textAlignment w:val="center"/>
              <w:rPr>
                <w:color w:val="000000"/>
                <w:sz w:val="20"/>
                <w:szCs w:val="20"/>
              </w:rPr>
            </w:pPr>
            <w:r w:rsidRPr="0099428A">
              <w:rPr>
                <w:color w:val="000000"/>
                <w:sz w:val="20"/>
                <w:szCs w:val="20"/>
              </w:rPr>
              <w:t>Use housing proximity as a criteria for approval of new or expanding commercial development</w:t>
            </w:r>
          </w:p>
        </w:tc>
        <w:tc>
          <w:tcPr>
            <w:tcW w:w="644" w:type="pct"/>
            <w:shd w:val="clear" w:color="auto" w:fill="auto"/>
            <w:tcMar>
              <w:top w:w="90" w:type="dxa"/>
              <w:left w:w="90" w:type="dxa"/>
              <w:bottom w:w="90" w:type="dxa"/>
              <w:right w:w="90" w:type="dxa"/>
            </w:tcMar>
            <w:vAlign w:val="center"/>
          </w:tcPr>
          <w:p w:rsidR="00E133AB" w:rsidRPr="0099428A" w:rsidRDefault="00E133AB" w:rsidP="000336A9">
            <w:pPr>
              <w:suppressAutoHyphens/>
              <w:autoSpaceDE w:val="0"/>
              <w:autoSpaceDN w:val="0"/>
              <w:adjustRightInd w:val="0"/>
              <w:jc w:val="center"/>
              <w:textAlignment w:val="center"/>
              <w:rPr>
                <w:color w:val="000000"/>
                <w:sz w:val="20"/>
                <w:szCs w:val="20"/>
              </w:rPr>
            </w:pPr>
            <w:r w:rsidRPr="0099428A">
              <w:rPr>
                <w:color w:val="000000"/>
                <w:sz w:val="20"/>
                <w:szCs w:val="20"/>
              </w:rPr>
              <w:t>Local</w:t>
            </w:r>
          </w:p>
        </w:tc>
        <w:tc>
          <w:tcPr>
            <w:tcW w:w="555" w:type="pct"/>
            <w:shd w:val="clear" w:color="auto" w:fill="auto"/>
            <w:vAlign w:val="center"/>
          </w:tcPr>
          <w:p w:rsidR="00E133AB" w:rsidRPr="0099428A" w:rsidRDefault="00E133AB" w:rsidP="000336A9">
            <w:pPr>
              <w:suppressAutoHyphens/>
              <w:autoSpaceDE w:val="0"/>
              <w:autoSpaceDN w:val="0"/>
              <w:adjustRightInd w:val="0"/>
              <w:jc w:val="center"/>
              <w:textAlignment w:val="center"/>
              <w:rPr>
                <w:color w:val="000000"/>
                <w:sz w:val="20"/>
                <w:szCs w:val="20"/>
              </w:rPr>
            </w:pPr>
            <w:r>
              <w:rPr>
                <w:color w:val="000000"/>
                <w:sz w:val="20"/>
                <w:szCs w:val="20"/>
              </w:rPr>
              <w:t>X</w:t>
            </w:r>
          </w:p>
        </w:tc>
        <w:tc>
          <w:tcPr>
            <w:tcW w:w="1576" w:type="pct"/>
            <w:vMerge w:val="restart"/>
            <w:shd w:val="clear" w:color="auto" w:fill="auto"/>
            <w:tcMar>
              <w:top w:w="90" w:type="dxa"/>
              <w:left w:w="90" w:type="dxa"/>
              <w:bottom w:w="90" w:type="dxa"/>
              <w:right w:w="90" w:type="dxa"/>
            </w:tcMar>
          </w:tcPr>
          <w:p w:rsidR="00E133AB" w:rsidRPr="0099428A" w:rsidRDefault="00E133AB" w:rsidP="000336A9">
            <w:pPr>
              <w:numPr>
                <w:ilvl w:val="0"/>
                <w:numId w:val="2"/>
              </w:numPr>
              <w:suppressAutoHyphens/>
              <w:autoSpaceDE w:val="0"/>
              <w:autoSpaceDN w:val="0"/>
              <w:adjustRightInd w:val="0"/>
              <w:spacing w:after="200" w:line="276" w:lineRule="auto"/>
              <w:textAlignment w:val="center"/>
              <w:rPr>
                <w:color w:val="000000"/>
                <w:sz w:val="20"/>
                <w:szCs w:val="20"/>
              </w:rPr>
            </w:pPr>
            <w:r w:rsidRPr="0099428A">
              <w:rPr>
                <w:color w:val="000000"/>
                <w:sz w:val="20"/>
                <w:szCs w:val="20"/>
              </w:rPr>
              <w:t>The private sector will share in the development of housing solutions</w:t>
            </w:r>
            <w:r>
              <w:rPr>
                <w:color w:val="000000"/>
                <w:sz w:val="20"/>
                <w:szCs w:val="20"/>
              </w:rPr>
              <w:t>.</w:t>
            </w:r>
          </w:p>
        </w:tc>
        <w:tc>
          <w:tcPr>
            <w:tcW w:w="530" w:type="pct"/>
            <w:vMerge w:val="restart"/>
            <w:shd w:val="clear" w:color="auto" w:fill="auto"/>
            <w:tcMar>
              <w:top w:w="90" w:type="dxa"/>
              <w:left w:w="90" w:type="dxa"/>
              <w:bottom w:w="90" w:type="dxa"/>
              <w:right w:w="90" w:type="dxa"/>
            </w:tcMar>
          </w:tcPr>
          <w:p w:rsidR="00E133AB" w:rsidRPr="0099428A" w:rsidRDefault="00E133AB" w:rsidP="000336A9">
            <w:pPr>
              <w:autoSpaceDE w:val="0"/>
              <w:autoSpaceDN w:val="0"/>
              <w:adjustRightInd w:val="0"/>
              <w:spacing w:line="288" w:lineRule="auto"/>
              <w:textAlignment w:val="center"/>
              <w:rPr>
                <w:color w:val="000000"/>
                <w:sz w:val="20"/>
                <w:szCs w:val="20"/>
              </w:rPr>
            </w:pPr>
          </w:p>
        </w:tc>
      </w:tr>
      <w:tr w:rsidR="00E133AB" w:rsidRPr="0099428A" w:rsidTr="00E133AB">
        <w:trPr>
          <w:trHeight w:val="440"/>
          <w:jc w:val="center"/>
        </w:trPr>
        <w:tc>
          <w:tcPr>
            <w:tcW w:w="1694" w:type="pct"/>
            <w:vMerge/>
            <w:shd w:val="clear" w:color="auto" w:fill="auto"/>
            <w:tcMar>
              <w:top w:w="90" w:type="dxa"/>
              <w:left w:w="90" w:type="dxa"/>
              <w:bottom w:w="90" w:type="dxa"/>
              <w:right w:w="90" w:type="dxa"/>
            </w:tcMar>
          </w:tcPr>
          <w:p w:rsidR="00E133AB" w:rsidRPr="0099428A" w:rsidRDefault="00E133AB" w:rsidP="000336A9">
            <w:pPr>
              <w:numPr>
                <w:ilvl w:val="0"/>
                <w:numId w:val="2"/>
              </w:numPr>
              <w:suppressAutoHyphens/>
              <w:autoSpaceDE w:val="0"/>
              <w:autoSpaceDN w:val="0"/>
              <w:adjustRightInd w:val="0"/>
              <w:spacing w:after="200" w:line="276" w:lineRule="auto"/>
              <w:textAlignment w:val="center"/>
              <w:rPr>
                <w:color w:val="000000"/>
                <w:sz w:val="20"/>
                <w:szCs w:val="20"/>
              </w:rPr>
            </w:pPr>
          </w:p>
        </w:tc>
        <w:tc>
          <w:tcPr>
            <w:tcW w:w="644" w:type="pct"/>
            <w:shd w:val="clear" w:color="auto" w:fill="auto"/>
            <w:tcMar>
              <w:top w:w="90" w:type="dxa"/>
              <w:left w:w="90" w:type="dxa"/>
              <w:bottom w:w="90" w:type="dxa"/>
              <w:right w:w="90" w:type="dxa"/>
            </w:tcMar>
            <w:vAlign w:val="center"/>
          </w:tcPr>
          <w:p w:rsidR="00E133AB" w:rsidRPr="0099428A" w:rsidRDefault="00E133AB" w:rsidP="000336A9">
            <w:pPr>
              <w:suppressAutoHyphens/>
              <w:autoSpaceDE w:val="0"/>
              <w:autoSpaceDN w:val="0"/>
              <w:adjustRightInd w:val="0"/>
              <w:jc w:val="center"/>
              <w:textAlignment w:val="center"/>
              <w:rPr>
                <w:color w:val="000000"/>
                <w:sz w:val="20"/>
                <w:szCs w:val="20"/>
              </w:rPr>
            </w:pPr>
            <w:r w:rsidRPr="0099428A">
              <w:rPr>
                <w:color w:val="000000"/>
                <w:sz w:val="20"/>
                <w:szCs w:val="20"/>
              </w:rPr>
              <w:t>State</w:t>
            </w:r>
          </w:p>
        </w:tc>
        <w:tc>
          <w:tcPr>
            <w:tcW w:w="555" w:type="pct"/>
            <w:shd w:val="clear" w:color="auto" w:fill="auto"/>
            <w:vAlign w:val="center"/>
          </w:tcPr>
          <w:p w:rsidR="00E133AB" w:rsidRPr="0099428A" w:rsidRDefault="00E133AB" w:rsidP="000336A9">
            <w:pPr>
              <w:suppressAutoHyphens/>
              <w:autoSpaceDE w:val="0"/>
              <w:autoSpaceDN w:val="0"/>
              <w:adjustRightInd w:val="0"/>
              <w:jc w:val="center"/>
              <w:textAlignment w:val="center"/>
              <w:rPr>
                <w:color w:val="000000"/>
                <w:sz w:val="20"/>
                <w:szCs w:val="20"/>
              </w:rPr>
            </w:pPr>
          </w:p>
        </w:tc>
        <w:tc>
          <w:tcPr>
            <w:tcW w:w="1576" w:type="pct"/>
            <w:vMerge/>
            <w:shd w:val="clear" w:color="auto" w:fill="auto"/>
            <w:tcMar>
              <w:top w:w="90" w:type="dxa"/>
              <w:left w:w="90" w:type="dxa"/>
              <w:bottom w:w="90" w:type="dxa"/>
              <w:right w:w="90" w:type="dxa"/>
            </w:tcMar>
          </w:tcPr>
          <w:p w:rsidR="00E133AB" w:rsidRPr="0099428A" w:rsidRDefault="00E133AB" w:rsidP="000336A9">
            <w:pPr>
              <w:numPr>
                <w:ilvl w:val="0"/>
                <w:numId w:val="2"/>
              </w:numPr>
              <w:suppressAutoHyphens/>
              <w:autoSpaceDE w:val="0"/>
              <w:autoSpaceDN w:val="0"/>
              <w:adjustRightInd w:val="0"/>
              <w:spacing w:after="200" w:line="276" w:lineRule="auto"/>
              <w:textAlignment w:val="center"/>
              <w:rPr>
                <w:color w:val="000000"/>
                <w:sz w:val="20"/>
                <w:szCs w:val="20"/>
              </w:rPr>
            </w:pPr>
          </w:p>
        </w:tc>
        <w:tc>
          <w:tcPr>
            <w:tcW w:w="530" w:type="pct"/>
            <w:vMerge/>
            <w:shd w:val="clear" w:color="auto" w:fill="auto"/>
            <w:tcMar>
              <w:top w:w="90" w:type="dxa"/>
              <w:left w:w="90" w:type="dxa"/>
              <w:bottom w:w="90" w:type="dxa"/>
              <w:right w:w="90" w:type="dxa"/>
            </w:tcMar>
          </w:tcPr>
          <w:p w:rsidR="00E133AB" w:rsidRPr="0099428A" w:rsidRDefault="00E133AB" w:rsidP="000336A9">
            <w:pPr>
              <w:autoSpaceDE w:val="0"/>
              <w:autoSpaceDN w:val="0"/>
              <w:adjustRightInd w:val="0"/>
              <w:spacing w:line="288" w:lineRule="auto"/>
              <w:textAlignment w:val="center"/>
              <w:rPr>
                <w:color w:val="000000"/>
                <w:sz w:val="20"/>
                <w:szCs w:val="20"/>
              </w:rPr>
            </w:pPr>
          </w:p>
        </w:tc>
      </w:tr>
      <w:tr w:rsidR="00E133AB" w:rsidRPr="0099428A" w:rsidTr="00E133AB">
        <w:trPr>
          <w:trHeight w:val="449"/>
          <w:jc w:val="center"/>
        </w:trPr>
        <w:tc>
          <w:tcPr>
            <w:tcW w:w="1694" w:type="pct"/>
            <w:vMerge/>
            <w:shd w:val="clear" w:color="auto" w:fill="auto"/>
            <w:tcMar>
              <w:top w:w="90" w:type="dxa"/>
              <w:left w:w="90" w:type="dxa"/>
              <w:bottom w:w="90" w:type="dxa"/>
              <w:right w:w="90" w:type="dxa"/>
            </w:tcMar>
          </w:tcPr>
          <w:p w:rsidR="00E133AB" w:rsidRPr="0099428A" w:rsidRDefault="00E133AB" w:rsidP="000336A9">
            <w:pPr>
              <w:numPr>
                <w:ilvl w:val="0"/>
                <w:numId w:val="2"/>
              </w:numPr>
              <w:suppressAutoHyphens/>
              <w:autoSpaceDE w:val="0"/>
              <w:autoSpaceDN w:val="0"/>
              <w:adjustRightInd w:val="0"/>
              <w:spacing w:after="200" w:line="276" w:lineRule="auto"/>
              <w:textAlignment w:val="center"/>
              <w:rPr>
                <w:color w:val="000000"/>
                <w:sz w:val="20"/>
                <w:szCs w:val="20"/>
              </w:rPr>
            </w:pPr>
          </w:p>
        </w:tc>
        <w:tc>
          <w:tcPr>
            <w:tcW w:w="644" w:type="pct"/>
            <w:shd w:val="clear" w:color="auto" w:fill="auto"/>
            <w:tcMar>
              <w:top w:w="90" w:type="dxa"/>
              <w:left w:w="90" w:type="dxa"/>
              <w:bottom w:w="90" w:type="dxa"/>
              <w:right w:w="90" w:type="dxa"/>
            </w:tcMar>
            <w:vAlign w:val="center"/>
          </w:tcPr>
          <w:p w:rsidR="00E133AB" w:rsidRPr="0099428A" w:rsidRDefault="00E133AB" w:rsidP="000336A9">
            <w:pPr>
              <w:suppressAutoHyphens/>
              <w:autoSpaceDE w:val="0"/>
              <w:autoSpaceDN w:val="0"/>
              <w:adjustRightInd w:val="0"/>
              <w:jc w:val="center"/>
              <w:textAlignment w:val="center"/>
              <w:rPr>
                <w:color w:val="000000"/>
                <w:sz w:val="20"/>
                <w:szCs w:val="20"/>
              </w:rPr>
            </w:pPr>
            <w:r w:rsidRPr="0099428A">
              <w:rPr>
                <w:color w:val="000000"/>
                <w:sz w:val="20"/>
                <w:szCs w:val="20"/>
              </w:rPr>
              <w:t>Voter</w:t>
            </w:r>
          </w:p>
        </w:tc>
        <w:tc>
          <w:tcPr>
            <w:tcW w:w="555" w:type="pct"/>
            <w:shd w:val="clear" w:color="auto" w:fill="auto"/>
            <w:vAlign w:val="center"/>
          </w:tcPr>
          <w:p w:rsidR="00E133AB" w:rsidRPr="0099428A" w:rsidRDefault="00E133AB" w:rsidP="000336A9">
            <w:pPr>
              <w:suppressAutoHyphens/>
              <w:autoSpaceDE w:val="0"/>
              <w:autoSpaceDN w:val="0"/>
              <w:adjustRightInd w:val="0"/>
              <w:jc w:val="center"/>
              <w:textAlignment w:val="center"/>
              <w:rPr>
                <w:color w:val="000000"/>
                <w:sz w:val="20"/>
                <w:szCs w:val="20"/>
              </w:rPr>
            </w:pPr>
          </w:p>
        </w:tc>
        <w:tc>
          <w:tcPr>
            <w:tcW w:w="1576" w:type="pct"/>
            <w:vMerge/>
            <w:shd w:val="clear" w:color="auto" w:fill="auto"/>
            <w:tcMar>
              <w:top w:w="90" w:type="dxa"/>
              <w:left w:w="90" w:type="dxa"/>
              <w:bottom w:w="90" w:type="dxa"/>
              <w:right w:w="90" w:type="dxa"/>
            </w:tcMar>
          </w:tcPr>
          <w:p w:rsidR="00E133AB" w:rsidRPr="0099428A" w:rsidRDefault="00E133AB" w:rsidP="000336A9">
            <w:pPr>
              <w:numPr>
                <w:ilvl w:val="0"/>
                <w:numId w:val="2"/>
              </w:numPr>
              <w:suppressAutoHyphens/>
              <w:autoSpaceDE w:val="0"/>
              <w:autoSpaceDN w:val="0"/>
              <w:adjustRightInd w:val="0"/>
              <w:spacing w:after="200" w:line="276" w:lineRule="auto"/>
              <w:textAlignment w:val="center"/>
              <w:rPr>
                <w:color w:val="000000"/>
                <w:sz w:val="20"/>
                <w:szCs w:val="20"/>
              </w:rPr>
            </w:pPr>
          </w:p>
        </w:tc>
        <w:tc>
          <w:tcPr>
            <w:tcW w:w="530" w:type="pct"/>
            <w:vMerge/>
            <w:shd w:val="clear" w:color="auto" w:fill="auto"/>
            <w:tcMar>
              <w:top w:w="90" w:type="dxa"/>
              <w:left w:w="90" w:type="dxa"/>
              <w:bottom w:w="90" w:type="dxa"/>
              <w:right w:w="90" w:type="dxa"/>
            </w:tcMar>
          </w:tcPr>
          <w:p w:rsidR="00E133AB" w:rsidRPr="0099428A" w:rsidRDefault="00E133AB" w:rsidP="000336A9">
            <w:pPr>
              <w:autoSpaceDE w:val="0"/>
              <w:autoSpaceDN w:val="0"/>
              <w:adjustRightInd w:val="0"/>
              <w:spacing w:line="288" w:lineRule="auto"/>
              <w:textAlignment w:val="center"/>
              <w:rPr>
                <w:color w:val="000000"/>
                <w:sz w:val="20"/>
                <w:szCs w:val="20"/>
              </w:rPr>
            </w:pPr>
          </w:p>
        </w:tc>
      </w:tr>
      <w:tr w:rsidR="00E133AB" w:rsidRPr="0099428A" w:rsidTr="00E133AB">
        <w:trPr>
          <w:trHeight w:val="530"/>
          <w:jc w:val="center"/>
        </w:trPr>
        <w:tc>
          <w:tcPr>
            <w:tcW w:w="1694" w:type="pct"/>
            <w:vMerge w:val="restart"/>
            <w:shd w:val="clear" w:color="auto" w:fill="auto"/>
            <w:tcMar>
              <w:top w:w="90" w:type="dxa"/>
              <w:left w:w="90" w:type="dxa"/>
              <w:bottom w:w="90" w:type="dxa"/>
              <w:right w:w="90" w:type="dxa"/>
            </w:tcMar>
          </w:tcPr>
          <w:p w:rsidR="00E133AB" w:rsidRPr="0099428A" w:rsidRDefault="00E133AB" w:rsidP="000336A9">
            <w:pPr>
              <w:numPr>
                <w:ilvl w:val="0"/>
                <w:numId w:val="2"/>
              </w:numPr>
              <w:suppressAutoHyphens/>
              <w:autoSpaceDE w:val="0"/>
              <w:autoSpaceDN w:val="0"/>
              <w:adjustRightInd w:val="0"/>
              <w:spacing w:after="200" w:line="276" w:lineRule="auto"/>
              <w:textAlignment w:val="center"/>
              <w:rPr>
                <w:color w:val="000000"/>
                <w:sz w:val="20"/>
                <w:szCs w:val="20"/>
              </w:rPr>
            </w:pPr>
            <w:r w:rsidRPr="0099428A">
              <w:rPr>
                <w:color w:val="000000"/>
                <w:sz w:val="20"/>
                <w:szCs w:val="20"/>
              </w:rPr>
              <w:t>Encourage live-work, mixed-use and other innovative zoning strategies</w:t>
            </w:r>
          </w:p>
        </w:tc>
        <w:tc>
          <w:tcPr>
            <w:tcW w:w="644" w:type="pct"/>
            <w:shd w:val="clear" w:color="auto" w:fill="auto"/>
            <w:tcMar>
              <w:top w:w="90" w:type="dxa"/>
              <w:left w:w="90" w:type="dxa"/>
              <w:bottom w:w="90" w:type="dxa"/>
              <w:right w:w="90" w:type="dxa"/>
            </w:tcMar>
            <w:vAlign w:val="center"/>
          </w:tcPr>
          <w:p w:rsidR="00E133AB" w:rsidRPr="0099428A" w:rsidRDefault="00E133AB" w:rsidP="000336A9">
            <w:pPr>
              <w:suppressAutoHyphens/>
              <w:autoSpaceDE w:val="0"/>
              <w:autoSpaceDN w:val="0"/>
              <w:adjustRightInd w:val="0"/>
              <w:jc w:val="center"/>
              <w:textAlignment w:val="center"/>
              <w:rPr>
                <w:color w:val="000000"/>
                <w:sz w:val="20"/>
                <w:szCs w:val="20"/>
              </w:rPr>
            </w:pPr>
            <w:r w:rsidRPr="0099428A">
              <w:rPr>
                <w:color w:val="000000"/>
                <w:sz w:val="20"/>
                <w:szCs w:val="20"/>
              </w:rPr>
              <w:t>Local</w:t>
            </w:r>
          </w:p>
        </w:tc>
        <w:tc>
          <w:tcPr>
            <w:tcW w:w="555" w:type="pct"/>
            <w:shd w:val="clear" w:color="auto" w:fill="auto"/>
            <w:vAlign w:val="center"/>
          </w:tcPr>
          <w:p w:rsidR="00E133AB" w:rsidRPr="0099428A" w:rsidRDefault="00E133AB" w:rsidP="000336A9">
            <w:pPr>
              <w:suppressAutoHyphens/>
              <w:autoSpaceDE w:val="0"/>
              <w:autoSpaceDN w:val="0"/>
              <w:adjustRightInd w:val="0"/>
              <w:jc w:val="center"/>
              <w:textAlignment w:val="center"/>
              <w:rPr>
                <w:color w:val="000000"/>
                <w:sz w:val="20"/>
                <w:szCs w:val="20"/>
              </w:rPr>
            </w:pPr>
            <w:r>
              <w:rPr>
                <w:color w:val="000000"/>
                <w:sz w:val="20"/>
                <w:szCs w:val="20"/>
              </w:rPr>
              <w:t>X</w:t>
            </w:r>
          </w:p>
        </w:tc>
        <w:tc>
          <w:tcPr>
            <w:tcW w:w="1576" w:type="pct"/>
            <w:vMerge w:val="restart"/>
            <w:shd w:val="clear" w:color="auto" w:fill="auto"/>
            <w:tcMar>
              <w:top w:w="90" w:type="dxa"/>
              <w:left w:w="90" w:type="dxa"/>
              <w:bottom w:w="90" w:type="dxa"/>
              <w:right w:w="90" w:type="dxa"/>
            </w:tcMar>
          </w:tcPr>
          <w:p w:rsidR="00E133AB" w:rsidRPr="0099428A" w:rsidRDefault="00E133AB" w:rsidP="000336A9">
            <w:pPr>
              <w:numPr>
                <w:ilvl w:val="0"/>
                <w:numId w:val="2"/>
              </w:numPr>
              <w:suppressAutoHyphens/>
              <w:autoSpaceDE w:val="0"/>
              <w:autoSpaceDN w:val="0"/>
              <w:adjustRightInd w:val="0"/>
              <w:spacing w:after="200" w:line="276" w:lineRule="auto"/>
              <w:textAlignment w:val="center"/>
              <w:rPr>
                <w:color w:val="000000"/>
                <w:sz w:val="20"/>
                <w:szCs w:val="20"/>
              </w:rPr>
            </w:pPr>
            <w:r w:rsidRPr="0099428A">
              <w:rPr>
                <w:color w:val="000000"/>
                <w:sz w:val="20"/>
                <w:szCs w:val="20"/>
              </w:rPr>
              <w:t>Jurisdiction(s) will adopt zoning strategies that increase the housing supply and use appealing site plans that will attract commuters to consider moving to Napa</w:t>
            </w:r>
            <w:r>
              <w:rPr>
                <w:color w:val="000000"/>
                <w:sz w:val="20"/>
                <w:szCs w:val="20"/>
              </w:rPr>
              <w:t>.</w:t>
            </w:r>
          </w:p>
        </w:tc>
        <w:tc>
          <w:tcPr>
            <w:tcW w:w="530" w:type="pct"/>
            <w:vMerge w:val="restart"/>
            <w:shd w:val="clear" w:color="auto" w:fill="auto"/>
            <w:tcMar>
              <w:top w:w="90" w:type="dxa"/>
              <w:left w:w="90" w:type="dxa"/>
              <w:bottom w:w="90" w:type="dxa"/>
              <w:right w:w="90" w:type="dxa"/>
            </w:tcMar>
          </w:tcPr>
          <w:p w:rsidR="00E133AB" w:rsidRPr="0099428A" w:rsidRDefault="00E133AB" w:rsidP="000336A9">
            <w:pPr>
              <w:autoSpaceDE w:val="0"/>
              <w:autoSpaceDN w:val="0"/>
              <w:adjustRightInd w:val="0"/>
              <w:spacing w:line="288" w:lineRule="auto"/>
              <w:textAlignment w:val="center"/>
              <w:rPr>
                <w:color w:val="000000"/>
                <w:sz w:val="20"/>
                <w:szCs w:val="20"/>
              </w:rPr>
            </w:pPr>
          </w:p>
        </w:tc>
      </w:tr>
      <w:tr w:rsidR="00E133AB" w:rsidRPr="0099428A" w:rsidTr="00E133AB">
        <w:trPr>
          <w:trHeight w:val="460"/>
          <w:jc w:val="center"/>
        </w:trPr>
        <w:tc>
          <w:tcPr>
            <w:tcW w:w="1694" w:type="pct"/>
            <w:vMerge/>
            <w:shd w:val="clear" w:color="auto" w:fill="auto"/>
            <w:tcMar>
              <w:top w:w="90" w:type="dxa"/>
              <w:left w:w="90" w:type="dxa"/>
              <w:bottom w:w="90" w:type="dxa"/>
              <w:right w:w="90" w:type="dxa"/>
            </w:tcMar>
          </w:tcPr>
          <w:p w:rsidR="00E133AB" w:rsidRPr="0099428A" w:rsidRDefault="00E133AB" w:rsidP="000336A9">
            <w:pPr>
              <w:numPr>
                <w:ilvl w:val="0"/>
                <w:numId w:val="2"/>
              </w:numPr>
              <w:suppressAutoHyphens/>
              <w:autoSpaceDE w:val="0"/>
              <w:autoSpaceDN w:val="0"/>
              <w:adjustRightInd w:val="0"/>
              <w:spacing w:after="200" w:line="276" w:lineRule="auto"/>
              <w:textAlignment w:val="center"/>
              <w:rPr>
                <w:color w:val="000000"/>
                <w:sz w:val="20"/>
                <w:szCs w:val="20"/>
              </w:rPr>
            </w:pPr>
          </w:p>
        </w:tc>
        <w:tc>
          <w:tcPr>
            <w:tcW w:w="644" w:type="pct"/>
            <w:shd w:val="clear" w:color="auto" w:fill="auto"/>
            <w:tcMar>
              <w:top w:w="90" w:type="dxa"/>
              <w:left w:w="90" w:type="dxa"/>
              <w:bottom w:w="90" w:type="dxa"/>
              <w:right w:w="90" w:type="dxa"/>
            </w:tcMar>
            <w:vAlign w:val="center"/>
          </w:tcPr>
          <w:p w:rsidR="00E133AB" w:rsidRPr="0099428A" w:rsidRDefault="00E133AB" w:rsidP="000336A9">
            <w:pPr>
              <w:suppressAutoHyphens/>
              <w:autoSpaceDE w:val="0"/>
              <w:autoSpaceDN w:val="0"/>
              <w:adjustRightInd w:val="0"/>
              <w:jc w:val="center"/>
              <w:textAlignment w:val="center"/>
              <w:rPr>
                <w:color w:val="000000"/>
                <w:sz w:val="20"/>
                <w:szCs w:val="20"/>
              </w:rPr>
            </w:pPr>
            <w:r w:rsidRPr="0099428A">
              <w:rPr>
                <w:color w:val="000000"/>
                <w:sz w:val="20"/>
                <w:szCs w:val="20"/>
              </w:rPr>
              <w:t>State</w:t>
            </w:r>
          </w:p>
        </w:tc>
        <w:tc>
          <w:tcPr>
            <w:tcW w:w="555" w:type="pct"/>
            <w:shd w:val="clear" w:color="auto" w:fill="auto"/>
            <w:vAlign w:val="center"/>
          </w:tcPr>
          <w:p w:rsidR="00E133AB" w:rsidRPr="0099428A" w:rsidRDefault="00E133AB" w:rsidP="000336A9">
            <w:pPr>
              <w:suppressAutoHyphens/>
              <w:autoSpaceDE w:val="0"/>
              <w:autoSpaceDN w:val="0"/>
              <w:adjustRightInd w:val="0"/>
              <w:jc w:val="center"/>
              <w:textAlignment w:val="center"/>
              <w:rPr>
                <w:color w:val="000000"/>
                <w:sz w:val="20"/>
                <w:szCs w:val="20"/>
              </w:rPr>
            </w:pPr>
          </w:p>
        </w:tc>
        <w:tc>
          <w:tcPr>
            <w:tcW w:w="1576" w:type="pct"/>
            <w:vMerge/>
            <w:shd w:val="clear" w:color="auto" w:fill="auto"/>
            <w:tcMar>
              <w:top w:w="90" w:type="dxa"/>
              <w:left w:w="90" w:type="dxa"/>
              <w:bottom w:w="90" w:type="dxa"/>
              <w:right w:w="90" w:type="dxa"/>
            </w:tcMar>
          </w:tcPr>
          <w:p w:rsidR="00E133AB" w:rsidRPr="0099428A" w:rsidRDefault="00E133AB" w:rsidP="000336A9">
            <w:pPr>
              <w:numPr>
                <w:ilvl w:val="0"/>
                <w:numId w:val="2"/>
              </w:numPr>
              <w:suppressAutoHyphens/>
              <w:autoSpaceDE w:val="0"/>
              <w:autoSpaceDN w:val="0"/>
              <w:adjustRightInd w:val="0"/>
              <w:spacing w:after="200" w:line="276" w:lineRule="auto"/>
              <w:textAlignment w:val="center"/>
              <w:rPr>
                <w:color w:val="000000"/>
                <w:sz w:val="20"/>
                <w:szCs w:val="20"/>
              </w:rPr>
            </w:pPr>
          </w:p>
        </w:tc>
        <w:tc>
          <w:tcPr>
            <w:tcW w:w="530" w:type="pct"/>
            <w:vMerge/>
            <w:shd w:val="clear" w:color="auto" w:fill="auto"/>
            <w:tcMar>
              <w:top w:w="90" w:type="dxa"/>
              <w:left w:w="90" w:type="dxa"/>
              <w:bottom w:w="90" w:type="dxa"/>
              <w:right w:w="90" w:type="dxa"/>
            </w:tcMar>
          </w:tcPr>
          <w:p w:rsidR="00E133AB" w:rsidRPr="0099428A" w:rsidRDefault="00E133AB" w:rsidP="000336A9">
            <w:pPr>
              <w:autoSpaceDE w:val="0"/>
              <w:autoSpaceDN w:val="0"/>
              <w:adjustRightInd w:val="0"/>
              <w:spacing w:line="288" w:lineRule="auto"/>
              <w:textAlignment w:val="center"/>
              <w:rPr>
                <w:color w:val="000000"/>
                <w:sz w:val="20"/>
                <w:szCs w:val="20"/>
              </w:rPr>
            </w:pPr>
          </w:p>
        </w:tc>
      </w:tr>
      <w:tr w:rsidR="00E133AB" w:rsidRPr="0099428A" w:rsidTr="00E133AB">
        <w:trPr>
          <w:trHeight w:val="460"/>
          <w:jc w:val="center"/>
        </w:trPr>
        <w:tc>
          <w:tcPr>
            <w:tcW w:w="1694" w:type="pct"/>
            <w:vMerge/>
            <w:shd w:val="clear" w:color="auto" w:fill="auto"/>
            <w:tcMar>
              <w:top w:w="90" w:type="dxa"/>
              <w:left w:w="90" w:type="dxa"/>
              <w:bottom w:w="90" w:type="dxa"/>
              <w:right w:w="90" w:type="dxa"/>
            </w:tcMar>
          </w:tcPr>
          <w:p w:rsidR="00E133AB" w:rsidRPr="0099428A" w:rsidRDefault="00E133AB" w:rsidP="000336A9">
            <w:pPr>
              <w:numPr>
                <w:ilvl w:val="0"/>
                <w:numId w:val="2"/>
              </w:numPr>
              <w:suppressAutoHyphens/>
              <w:autoSpaceDE w:val="0"/>
              <w:autoSpaceDN w:val="0"/>
              <w:adjustRightInd w:val="0"/>
              <w:spacing w:after="200" w:line="276" w:lineRule="auto"/>
              <w:textAlignment w:val="center"/>
              <w:rPr>
                <w:color w:val="000000"/>
                <w:sz w:val="20"/>
                <w:szCs w:val="20"/>
              </w:rPr>
            </w:pPr>
          </w:p>
        </w:tc>
        <w:tc>
          <w:tcPr>
            <w:tcW w:w="644" w:type="pct"/>
            <w:shd w:val="clear" w:color="auto" w:fill="auto"/>
            <w:tcMar>
              <w:top w:w="90" w:type="dxa"/>
              <w:left w:w="90" w:type="dxa"/>
              <w:bottom w:w="90" w:type="dxa"/>
              <w:right w:w="90" w:type="dxa"/>
            </w:tcMar>
            <w:vAlign w:val="center"/>
          </w:tcPr>
          <w:p w:rsidR="00E133AB" w:rsidRPr="0099428A" w:rsidRDefault="00E133AB" w:rsidP="000336A9">
            <w:pPr>
              <w:suppressAutoHyphens/>
              <w:autoSpaceDE w:val="0"/>
              <w:autoSpaceDN w:val="0"/>
              <w:adjustRightInd w:val="0"/>
              <w:jc w:val="center"/>
              <w:textAlignment w:val="center"/>
              <w:rPr>
                <w:color w:val="000000"/>
                <w:sz w:val="20"/>
                <w:szCs w:val="20"/>
              </w:rPr>
            </w:pPr>
            <w:r w:rsidRPr="0099428A">
              <w:rPr>
                <w:color w:val="000000"/>
                <w:sz w:val="20"/>
                <w:szCs w:val="20"/>
              </w:rPr>
              <w:t>Voter</w:t>
            </w:r>
          </w:p>
        </w:tc>
        <w:tc>
          <w:tcPr>
            <w:tcW w:w="555" w:type="pct"/>
            <w:shd w:val="clear" w:color="auto" w:fill="auto"/>
            <w:vAlign w:val="center"/>
          </w:tcPr>
          <w:p w:rsidR="00E133AB" w:rsidRPr="0099428A" w:rsidRDefault="00E133AB" w:rsidP="000336A9">
            <w:pPr>
              <w:suppressAutoHyphens/>
              <w:autoSpaceDE w:val="0"/>
              <w:autoSpaceDN w:val="0"/>
              <w:adjustRightInd w:val="0"/>
              <w:jc w:val="center"/>
              <w:textAlignment w:val="center"/>
              <w:rPr>
                <w:color w:val="000000"/>
                <w:sz w:val="20"/>
                <w:szCs w:val="20"/>
              </w:rPr>
            </w:pPr>
          </w:p>
        </w:tc>
        <w:tc>
          <w:tcPr>
            <w:tcW w:w="1576" w:type="pct"/>
            <w:vMerge/>
            <w:shd w:val="clear" w:color="auto" w:fill="auto"/>
            <w:tcMar>
              <w:top w:w="90" w:type="dxa"/>
              <w:left w:w="90" w:type="dxa"/>
              <w:bottom w:w="90" w:type="dxa"/>
              <w:right w:w="90" w:type="dxa"/>
            </w:tcMar>
          </w:tcPr>
          <w:p w:rsidR="00E133AB" w:rsidRPr="0099428A" w:rsidRDefault="00E133AB" w:rsidP="000336A9">
            <w:pPr>
              <w:numPr>
                <w:ilvl w:val="0"/>
                <w:numId w:val="2"/>
              </w:numPr>
              <w:suppressAutoHyphens/>
              <w:autoSpaceDE w:val="0"/>
              <w:autoSpaceDN w:val="0"/>
              <w:adjustRightInd w:val="0"/>
              <w:spacing w:after="200" w:line="276" w:lineRule="auto"/>
              <w:textAlignment w:val="center"/>
              <w:rPr>
                <w:color w:val="000000"/>
                <w:sz w:val="20"/>
                <w:szCs w:val="20"/>
              </w:rPr>
            </w:pPr>
          </w:p>
        </w:tc>
        <w:tc>
          <w:tcPr>
            <w:tcW w:w="530" w:type="pct"/>
            <w:vMerge/>
            <w:shd w:val="clear" w:color="auto" w:fill="auto"/>
            <w:tcMar>
              <w:top w:w="90" w:type="dxa"/>
              <w:left w:w="90" w:type="dxa"/>
              <w:bottom w:w="90" w:type="dxa"/>
              <w:right w:w="90" w:type="dxa"/>
            </w:tcMar>
          </w:tcPr>
          <w:p w:rsidR="00E133AB" w:rsidRPr="0099428A" w:rsidRDefault="00E133AB" w:rsidP="000336A9">
            <w:pPr>
              <w:autoSpaceDE w:val="0"/>
              <w:autoSpaceDN w:val="0"/>
              <w:adjustRightInd w:val="0"/>
              <w:spacing w:line="288" w:lineRule="auto"/>
              <w:textAlignment w:val="center"/>
              <w:rPr>
                <w:color w:val="000000"/>
                <w:sz w:val="20"/>
                <w:szCs w:val="20"/>
              </w:rPr>
            </w:pPr>
          </w:p>
        </w:tc>
      </w:tr>
      <w:tr w:rsidR="00E133AB" w:rsidRPr="0099428A" w:rsidTr="00E133AB">
        <w:trPr>
          <w:trHeight w:val="467"/>
          <w:jc w:val="center"/>
        </w:trPr>
        <w:tc>
          <w:tcPr>
            <w:tcW w:w="1694" w:type="pct"/>
            <w:vMerge w:val="restart"/>
            <w:shd w:val="clear" w:color="auto" w:fill="auto"/>
            <w:tcMar>
              <w:top w:w="90" w:type="dxa"/>
              <w:left w:w="90" w:type="dxa"/>
              <w:bottom w:w="90" w:type="dxa"/>
              <w:right w:w="90" w:type="dxa"/>
            </w:tcMar>
          </w:tcPr>
          <w:p w:rsidR="00E133AB" w:rsidRPr="0099428A" w:rsidRDefault="00E133AB" w:rsidP="000336A9">
            <w:pPr>
              <w:numPr>
                <w:ilvl w:val="0"/>
                <w:numId w:val="2"/>
              </w:numPr>
              <w:suppressAutoHyphens/>
              <w:autoSpaceDE w:val="0"/>
              <w:autoSpaceDN w:val="0"/>
              <w:adjustRightInd w:val="0"/>
              <w:spacing w:after="200" w:line="276" w:lineRule="auto"/>
              <w:textAlignment w:val="center"/>
              <w:rPr>
                <w:color w:val="000000"/>
                <w:sz w:val="20"/>
                <w:szCs w:val="20"/>
              </w:rPr>
            </w:pPr>
            <w:r w:rsidRPr="0099428A">
              <w:rPr>
                <w:color w:val="000000"/>
                <w:sz w:val="20"/>
                <w:szCs w:val="20"/>
              </w:rPr>
              <w:t>Create a clearinghouse for access to housing opportunities and resources</w:t>
            </w:r>
          </w:p>
        </w:tc>
        <w:tc>
          <w:tcPr>
            <w:tcW w:w="644" w:type="pct"/>
            <w:shd w:val="clear" w:color="auto" w:fill="auto"/>
            <w:tcMar>
              <w:top w:w="90" w:type="dxa"/>
              <w:left w:w="90" w:type="dxa"/>
              <w:bottom w:w="90" w:type="dxa"/>
              <w:right w:w="90" w:type="dxa"/>
            </w:tcMar>
            <w:vAlign w:val="center"/>
          </w:tcPr>
          <w:p w:rsidR="00E133AB" w:rsidRPr="0099428A" w:rsidRDefault="00E133AB" w:rsidP="000336A9">
            <w:pPr>
              <w:suppressAutoHyphens/>
              <w:autoSpaceDE w:val="0"/>
              <w:autoSpaceDN w:val="0"/>
              <w:adjustRightInd w:val="0"/>
              <w:jc w:val="center"/>
              <w:textAlignment w:val="center"/>
              <w:rPr>
                <w:color w:val="000000"/>
                <w:sz w:val="20"/>
                <w:szCs w:val="20"/>
              </w:rPr>
            </w:pPr>
            <w:r w:rsidRPr="0099428A">
              <w:rPr>
                <w:color w:val="000000"/>
                <w:sz w:val="20"/>
                <w:szCs w:val="20"/>
              </w:rPr>
              <w:t>Local</w:t>
            </w:r>
          </w:p>
        </w:tc>
        <w:tc>
          <w:tcPr>
            <w:tcW w:w="555" w:type="pct"/>
            <w:shd w:val="clear" w:color="auto" w:fill="auto"/>
            <w:vAlign w:val="center"/>
          </w:tcPr>
          <w:p w:rsidR="00E133AB" w:rsidRPr="0099428A" w:rsidRDefault="00E133AB" w:rsidP="000336A9">
            <w:pPr>
              <w:suppressAutoHyphens/>
              <w:autoSpaceDE w:val="0"/>
              <w:autoSpaceDN w:val="0"/>
              <w:adjustRightInd w:val="0"/>
              <w:jc w:val="center"/>
              <w:textAlignment w:val="center"/>
              <w:rPr>
                <w:color w:val="000000"/>
                <w:sz w:val="20"/>
                <w:szCs w:val="20"/>
              </w:rPr>
            </w:pPr>
            <w:r>
              <w:rPr>
                <w:color w:val="000000"/>
                <w:sz w:val="20"/>
                <w:szCs w:val="20"/>
              </w:rPr>
              <w:t>X</w:t>
            </w:r>
          </w:p>
        </w:tc>
        <w:tc>
          <w:tcPr>
            <w:tcW w:w="1576" w:type="pct"/>
            <w:vMerge w:val="restart"/>
            <w:shd w:val="clear" w:color="auto" w:fill="auto"/>
            <w:tcMar>
              <w:top w:w="90" w:type="dxa"/>
              <w:left w:w="90" w:type="dxa"/>
              <w:bottom w:w="90" w:type="dxa"/>
              <w:right w:w="90" w:type="dxa"/>
            </w:tcMar>
          </w:tcPr>
          <w:p w:rsidR="00E133AB" w:rsidRPr="0099428A" w:rsidRDefault="00E133AB" w:rsidP="00A34E2F">
            <w:pPr>
              <w:numPr>
                <w:ilvl w:val="0"/>
                <w:numId w:val="2"/>
              </w:numPr>
              <w:suppressAutoHyphens/>
              <w:autoSpaceDE w:val="0"/>
              <w:autoSpaceDN w:val="0"/>
              <w:adjustRightInd w:val="0"/>
              <w:spacing w:after="200" w:line="276" w:lineRule="auto"/>
              <w:textAlignment w:val="center"/>
              <w:rPr>
                <w:color w:val="000000"/>
                <w:sz w:val="20"/>
                <w:szCs w:val="20"/>
              </w:rPr>
            </w:pPr>
            <w:r w:rsidRPr="0099428A">
              <w:rPr>
                <w:color w:val="000000"/>
                <w:sz w:val="20"/>
                <w:szCs w:val="20"/>
              </w:rPr>
              <w:t xml:space="preserve">A Home Finding </w:t>
            </w:r>
            <w:r>
              <w:rPr>
                <w:color w:val="000000"/>
                <w:sz w:val="20"/>
                <w:szCs w:val="20"/>
              </w:rPr>
              <w:t>website</w:t>
            </w:r>
            <w:r w:rsidRPr="0099428A">
              <w:rPr>
                <w:color w:val="000000"/>
                <w:sz w:val="20"/>
                <w:szCs w:val="20"/>
              </w:rPr>
              <w:t xml:space="preserve"> will serve as a “one-stop-shop” for housing resources</w:t>
            </w:r>
            <w:r>
              <w:rPr>
                <w:color w:val="000000"/>
                <w:sz w:val="20"/>
                <w:szCs w:val="20"/>
              </w:rPr>
              <w:t>.</w:t>
            </w:r>
          </w:p>
        </w:tc>
        <w:tc>
          <w:tcPr>
            <w:tcW w:w="530" w:type="pct"/>
            <w:vMerge w:val="restart"/>
            <w:shd w:val="clear" w:color="auto" w:fill="auto"/>
            <w:tcMar>
              <w:top w:w="90" w:type="dxa"/>
              <w:left w:w="90" w:type="dxa"/>
              <w:bottom w:w="90" w:type="dxa"/>
              <w:right w:w="90" w:type="dxa"/>
            </w:tcMar>
          </w:tcPr>
          <w:p w:rsidR="00E133AB" w:rsidRPr="0099428A" w:rsidRDefault="00E133AB" w:rsidP="000336A9">
            <w:pPr>
              <w:autoSpaceDE w:val="0"/>
              <w:autoSpaceDN w:val="0"/>
              <w:adjustRightInd w:val="0"/>
              <w:spacing w:line="288" w:lineRule="auto"/>
              <w:textAlignment w:val="center"/>
              <w:rPr>
                <w:color w:val="000000"/>
                <w:sz w:val="20"/>
                <w:szCs w:val="20"/>
              </w:rPr>
            </w:pPr>
          </w:p>
        </w:tc>
      </w:tr>
      <w:tr w:rsidR="00E133AB" w:rsidRPr="0099428A" w:rsidTr="00E133AB">
        <w:trPr>
          <w:trHeight w:val="431"/>
          <w:jc w:val="center"/>
        </w:trPr>
        <w:tc>
          <w:tcPr>
            <w:tcW w:w="1694" w:type="pct"/>
            <w:vMerge/>
            <w:shd w:val="clear" w:color="auto" w:fill="auto"/>
            <w:tcMar>
              <w:top w:w="90" w:type="dxa"/>
              <w:left w:w="90" w:type="dxa"/>
              <w:bottom w:w="90" w:type="dxa"/>
              <w:right w:w="90" w:type="dxa"/>
            </w:tcMar>
          </w:tcPr>
          <w:p w:rsidR="00E133AB" w:rsidRPr="0099428A" w:rsidRDefault="00E133AB" w:rsidP="000336A9">
            <w:pPr>
              <w:numPr>
                <w:ilvl w:val="0"/>
                <w:numId w:val="2"/>
              </w:numPr>
              <w:suppressAutoHyphens/>
              <w:autoSpaceDE w:val="0"/>
              <w:autoSpaceDN w:val="0"/>
              <w:adjustRightInd w:val="0"/>
              <w:spacing w:after="200" w:line="276" w:lineRule="auto"/>
              <w:textAlignment w:val="center"/>
              <w:rPr>
                <w:color w:val="000000"/>
                <w:sz w:val="20"/>
                <w:szCs w:val="20"/>
              </w:rPr>
            </w:pPr>
          </w:p>
        </w:tc>
        <w:tc>
          <w:tcPr>
            <w:tcW w:w="644" w:type="pct"/>
            <w:shd w:val="clear" w:color="auto" w:fill="auto"/>
            <w:tcMar>
              <w:top w:w="90" w:type="dxa"/>
              <w:left w:w="90" w:type="dxa"/>
              <w:bottom w:w="90" w:type="dxa"/>
              <w:right w:w="90" w:type="dxa"/>
            </w:tcMar>
            <w:vAlign w:val="center"/>
          </w:tcPr>
          <w:p w:rsidR="00E133AB" w:rsidRPr="0099428A" w:rsidRDefault="00E133AB" w:rsidP="000336A9">
            <w:pPr>
              <w:suppressAutoHyphens/>
              <w:autoSpaceDE w:val="0"/>
              <w:autoSpaceDN w:val="0"/>
              <w:adjustRightInd w:val="0"/>
              <w:jc w:val="center"/>
              <w:textAlignment w:val="center"/>
              <w:rPr>
                <w:color w:val="000000"/>
                <w:sz w:val="20"/>
                <w:szCs w:val="20"/>
              </w:rPr>
            </w:pPr>
            <w:r w:rsidRPr="0099428A">
              <w:rPr>
                <w:color w:val="000000"/>
                <w:sz w:val="20"/>
                <w:szCs w:val="20"/>
              </w:rPr>
              <w:t>State</w:t>
            </w:r>
          </w:p>
        </w:tc>
        <w:tc>
          <w:tcPr>
            <w:tcW w:w="555" w:type="pct"/>
            <w:shd w:val="clear" w:color="auto" w:fill="auto"/>
            <w:vAlign w:val="center"/>
          </w:tcPr>
          <w:p w:rsidR="00E133AB" w:rsidRPr="0099428A" w:rsidRDefault="00E133AB" w:rsidP="000336A9">
            <w:pPr>
              <w:suppressAutoHyphens/>
              <w:autoSpaceDE w:val="0"/>
              <w:autoSpaceDN w:val="0"/>
              <w:adjustRightInd w:val="0"/>
              <w:jc w:val="center"/>
              <w:textAlignment w:val="center"/>
              <w:rPr>
                <w:color w:val="000000"/>
                <w:sz w:val="20"/>
                <w:szCs w:val="20"/>
              </w:rPr>
            </w:pPr>
          </w:p>
        </w:tc>
        <w:tc>
          <w:tcPr>
            <w:tcW w:w="1576" w:type="pct"/>
            <w:vMerge/>
            <w:shd w:val="clear" w:color="auto" w:fill="auto"/>
            <w:tcMar>
              <w:top w:w="90" w:type="dxa"/>
              <w:left w:w="90" w:type="dxa"/>
              <w:bottom w:w="90" w:type="dxa"/>
              <w:right w:w="90" w:type="dxa"/>
            </w:tcMar>
          </w:tcPr>
          <w:p w:rsidR="00E133AB" w:rsidRPr="0099428A" w:rsidRDefault="00E133AB" w:rsidP="000336A9">
            <w:pPr>
              <w:numPr>
                <w:ilvl w:val="0"/>
                <w:numId w:val="2"/>
              </w:numPr>
              <w:suppressAutoHyphens/>
              <w:autoSpaceDE w:val="0"/>
              <w:autoSpaceDN w:val="0"/>
              <w:adjustRightInd w:val="0"/>
              <w:spacing w:after="200" w:line="276" w:lineRule="auto"/>
              <w:textAlignment w:val="center"/>
              <w:rPr>
                <w:color w:val="000000"/>
                <w:sz w:val="20"/>
                <w:szCs w:val="20"/>
              </w:rPr>
            </w:pPr>
          </w:p>
        </w:tc>
        <w:tc>
          <w:tcPr>
            <w:tcW w:w="530" w:type="pct"/>
            <w:vMerge/>
            <w:shd w:val="clear" w:color="auto" w:fill="auto"/>
            <w:tcMar>
              <w:top w:w="90" w:type="dxa"/>
              <w:left w:w="90" w:type="dxa"/>
              <w:bottom w:w="90" w:type="dxa"/>
              <w:right w:w="90" w:type="dxa"/>
            </w:tcMar>
          </w:tcPr>
          <w:p w:rsidR="00E133AB" w:rsidRPr="0099428A" w:rsidRDefault="00E133AB" w:rsidP="000336A9">
            <w:pPr>
              <w:autoSpaceDE w:val="0"/>
              <w:autoSpaceDN w:val="0"/>
              <w:adjustRightInd w:val="0"/>
              <w:spacing w:line="288" w:lineRule="auto"/>
              <w:textAlignment w:val="center"/>
              <w:rPr>
                <w:color w:val="000000"/>
                <w:sz w:val="20"/>
                <w:szCs w:val="20"/>
              </w:rPr>
            </w:pPr>
          </w:p>
        </w:tc>
      </w:tr>
      <w:tr w:rsidR="00E133AB" w:rsidRPr="0099428A" w:rsidTr="00E133AB">
        <w:trPr>
          <w:trHeight w:val="539"/>
          <w:jc w:val="center"/>
        </w:trPr>
        <w:tc>
          <w:tcPr>
            <w:tcW w:w="1694" w:type="pct"/>
            <w:vMerge/>
            <w:shd w:val="clear" w:color="auto" w:fill="auto"/>
            <w:tcMar>
              <w:top w:w="90" w:type="dxa"/>
              <w:left w:w="90" w:type="dxa"/>
              <w:bottom w:w="90" w:type="dxa"/>
              <w:right w:w="90" w:type="dxa"/>
            </w:tcMar>
          </w:tcPr>
          <w:p w:rsidR="00E133AB" w:rsidRPr="0099428A" w:rsidRDefault="00E133AB" w:rsidP="000336A9">
            <w:pPr>
              <w:numPr>
                <w:ilvl w:val="0"/>
                <w:numId w:val="2"/>
              </w:numPr>
              <w:suppressAutoHyphens/>
              <w:autoSpaceDE w:val="0"/>
              <w:autoSpaceDN w:val="0"/>
              <w:adjustRightInd w:val="0"/>
              <w:spacing w:after="200" w:line="276" w:lineRule="auto"/>
              <w:textAlignment w:val="center"/>
              <w:rPr>
                <w:color w:val="000000"/>
                <w:sz w:val="20"/>
                <w:szCs w:val="20"/>
              </w:rPr>
            </w:pPr>
          </w:p>
        </w:tc>
        <w:tc>
          <w:tcPr>
            <w:tcW w:w="644" w:type="pct"/>
            <w:shd w:val="clear" w:color="auto" w:fill="auto"/>
            <w:tcMar>
              <w:top w:w="90" w:type="dxa"/>
              <w:left w:w="90" w:type="dxa"/>
              <w:bottom w:w="90" w:type="dxa"/>
              <w:right w:w="90" w:type="dxa"/>
            </w:tcMar>
            <w:vAlign w:val="center"/>
          </w:tcPr>
          <w:p w:rsidR="00E133AB" w:rsidRPr="0099428A" w:rsidRDefault="00E133AB" w:rsidP="000336A9">
            <w:pPr>
              <w:suppressAutoHyphens/>
              <w:autoSpaceDE w:val="0"/>
              <w:autoSpaceDN w:val="0"/>
              <w:adjustRightInd w:val="0"/>
              <w:jc w:val="center"/>
              <w:textAlignment w:val="center"/>
              <w:rPr>
                <w:color w:val="000000"/>
                <w:sz w:val="20"/>
                <w:szCs w:val="20"/>
              </w:rPr>
            </w:pPr>
            <w:r w:rsidRPr="0099428A">
              <w:rPr>
                <w:color w:val="000000"/>
                <w:sz w:val="20"/>
                <w:szCs w:val="20"/>
              </w:rPr>
              <w:t>Voter</w:t>
            </w:r>
          </w:p>
        </w:tc>
        <w:tc>
          <w:tcPr>
            <w:tcW w:w="555" w:type="pct"/>
            <w:shd w:val="clear" w:color="auto" w:fill="auto"/>
            <w:vAlign w:val="center"/>
          </w:tcPr>
          <w:p w:rsidR="00E133AB" w:rsidRPr="0099428A" w:rsidRDefault="00E133AB" w:rsidP="000336A9">
            <w:pPr>
              <w:suppressAutoHyphens/>
              <w:autoSpaceDE w:val="0"/>
              <w:autoSpaceDN w:val="0"/>
              <w:adjustRightInd w:val="0"/>
              <w:jc w:val="center"/>
              <w:textAlignment w:val="center"/>
              <w:rPr>
                <w:color w:val="000000"/>
                <w:sz w:val="20"/>
                <w:szCs w:val="20"/>
              </w:rPr>
            </w:pPr>
          </w:p>
        </w:tc>
        <w:tc>
          <w:tcPr>
            <w:tcW w:w="1576" w:type="pct"/>
            <w:vMerge/>
            <w:shd w:val="clear" w:color="auto" w:fill="auto"/>
            <w:tcMar>
              <w:top w:w="90" w:type="dxa"/>
              <w:left w:w="90" w:type="dxa"/>
              <w:bottom w:w="90" w:type="dxa"/>
              <w:right w:w="90" w:type="dxa"/>
            </w:tcMar>
          </w:tcPr>
          <w:p w:rsidR="00E133AB" w:rsidRPr="0099428A" w:rsidRDefault="00E133AB" w:rsidP="000336A9">
            <w:pPr>
              <w:numPr>
                <w:ilvl w:val="0"/>
                <w:numId w:val="2"/>
              </w:numPr>
              <w:suppressAutoHyphens/>
              <w:autoSpaceDE w:val="0"/>
              <w:autoSpaceDN w:val="0"/>
              <w:adjustRightInd w:val="0"/>
              <w:spacing w:after="200" w:line="276" w:lineRule="auto"/>
              <w:textAlignment w:val="center"/>
              <w:rPr>
                <w:color w:val="000000"/>
                <w:sz w:val="20"/>
                <w:szCs w:val="20"/>
              </w:rPr>
            </w:pPr>
          </w:p>
        </w:tc>
        <w:tc>
          <w:tcPr>
            <w:tcW w:w="530" w:type="pct"/>
            <w:vMerge/>
            <w:shd w:val="clear" w:color="auto" w:fill="auto"/>
            <w:tcMar>
              <w:top w:w="90" w:type="dxa"/>
              <w:left w:w="90" w:type="dxa"/>
              <w:bottom w:w="90" w:type="dxa"/>
              <w:right w:w="90" w:type="dxa"/>
            </w:tcMar>
          </w:tcPr>
          <w:p w:rsidR="00E133AB" w:rsidRPr="0099428A" w:rsidRDefault="00E133AB" w:rsidP="000336A9">
            <w:pPr>
              <w:autoSpaceDE w:val="0"/>
              <w:autoSpaceDN w:val="0"/>
              <w:adjustRightInd w:val="0"/>
              <w:spacing w:line="288" w:lineRule="auto"/>
              <w:textAlignment w:val="center"/>
              <w:rPr>
                <w:color w:val="000000"/>
                <w:sz w:val="20"/>
                <w:szCs w:val="20"/>
              </w:rPr>
            </w:pPr>
          </w:p>
        </w:tc>
      </w:tr>
    </w:tbl>
    <w:p w:rsidR="002B2962" w:rsidRPr="0099428A" w:rsidRDefault="002B2962" w:rsidP="002B2962">
      <w:pPr>
        <w:autoSpaceDE w:val="0"/>
        <w:autoSpaceDN w:val="0"/>
        <w:adjustRightInd w:val="0"/>
        <w:textAlignment w:val="center"/>
        <w:rPr>
          <w:color w:val="000000"/>
          <w:sz w:val="18"/>
          <w:szCs w:val="18"/>
        </w:rPr>
      </w:pPr>
    </w:p>
    <w:p w:rsidR="002B2962" w:rsidRPr="0099428A" w:rsidRDefault="002B2962" w:rsidP="002B2962">
      <w:pPr>
        <w:rPr>
          <w:color w:val="000000"/>
          <w:sz w:val="18"/>
          <w:szCs w:val="18"/>
        </w:rPr>
      </w:pPr>
    </w:p>
    <w:p w:rsidR="002B2962" w:rsidRPr="0099428A" w:rsidRDefault="002B2962" w:rsidP="002B2962">
      <w:pPr>
        <w:autoSpaceDE w:val="0"/>
        <w:autoSpaceDN w:val="0"/>
        <w:adjustRightInd w:val="0"/>
        <w:textAlignment w:val="center"/>
        <w:rPr>
          <w:color w:val="000000"/>
          <w:sz w:val="18"/>
          <w:szCs w:val="18"/>
        </w:rPr>
      </w:pPr>
    </w:p>
    <w:p w:rsidR="002B2962" w:rsidRPr="0099428A" w:rsidRDefault="002B2962" w:rsidP="002B2962">
      <w:pPr>
        <w:autoSpaceDE w:val="0"/>
        <w:autoSpaceDN w:val="0"/>
        <w:adjustRightInd w:val="0"/>
        <w:textAlignment w:val="center"/>
        <w:rPr>
          <w:color w:val="000000"/>
          <w:sz w:val="18"/>
          <w:szCs w:val="18"/>
        </w:rPr>
      </w:pPr>
      <w:r w:rsidRPr="0099428A">
        <w:rPr>
          <w:color w:val="000000"/>
          <w:sz w:val="18"/>
          <w:szCs w:val="18"/>
        </w:rPr>
        <w:br w:type="page"/>
      </w:r>
    </w:p>
    <w:tbl>
      <w:tblPr>
        <w:tblW w:w="5476" w:type="pct"/>
        <w:jc w:val="center"/>
        <w:tblInd w:w="-1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3503"/>
        <w:gridCol w:w="1346"/>
        <w:gridCol w:w="1166"/>
        <w:gridCol w:w="3235"/>
        <w:gridCol w:w="1012"/>
      </w:tblGrid>
      <w:tr w:rsidR="00E133AB" w:rsidRPr="0099428A" w:rsidTr="00E133AB">
        <w:trPr>
          <w:trHeight w:val="452"/>
          <w:jc w:val="center"/>
        </w:trPr>
        <w:tc>
          <w:tcPr>
            <w:tcW w:w="5000" w:type="pct"/>
            <w:gridSpan w:val="5"/>
            <w:tcBorders>
              <w:top w:val="single" w:sz="4" w:space="0" w:color="auto"/>
              <w:left w:val="single" w:sz="4" w:space="0" w:color="000000"/>
              <w:bottom w:val="single" w:sz="4" w:space="0" w:color="auto"/>
              <w:right w:val="single" w:sz="4" w:space="0" w:color="auto"/>
            </w:tcBorders>
            <w:shd w:val="clear" w:color="auto" w:fill="CCC0D9" w:themeFill="accent4" w:themeFillTint="66"/>
            <w:tcMar>
              <w:top w:w="0" w:type="dxa"/>
              <w:left w:w="0" w:type="dxa"/>
              <w:bottom w:w="0" w:type="dxa"/>
              <w:right w:w="0" w:type="dxa"/>
            </w:tcMar>
            <w:vAlign w:val="center"/>
          </w:tcPr>
          <w:p w:rsidR="00E133AB" w:rsidRPr="0099428A" w:rsidRDefault="00E133AB" w:rsidP="000336A9">
            <w:pPr>
              <w:suppressAutoHyphens/>
              <w:autoSpaceDE w:val="0"/>
              <w:autoSpaceDN w:val="0"/>
              <w:adjustRightInd w:val="0"/>
              <w:jc w:val="center"/>
              <w:textAlignment w:val="center"/>
              <w:rPr>
                <w:b/>
                <w:bCs/>
                <w:color w:val="000000"/>
                <w:sz w:val="20"/>
                <w:szCs w:val="20"/>
              </w:rPr>
            </w:pPr>
            <w:r w:rsidRPr="0099428A">
              <w:rPr>
                <w:b/>
                <w:bCs/>
                <w:color w:val="000000"/>
                <w:sz w:val="20"/>
                <w:szCs w:val="20"/>
              </w:rPr>
              <w:t>STRATEGY # 5:</w:t>
            </w:r>
          </w:p>
          <w:p w:rsidR="00E133AB" w:rsidRDefault="00E133AB" w:rsidP="000336A9">
            <w:pPr>
              <w:suppressAutoHyphens/>
              <w:autoSpaceDE w:val="0"/>
              <w:autoSpaceDN w:val="0"/>
              <w:adjustRightInd w:val="0"/>
              <w:jc w:val="center"/>
              <w:textAlignment w:val="center"/>
              <w:rPr>
                <w:b/>
                <w:bCs/>
                <w:color w:val="000000"/>
                <w:sz w:val="20"/>
                <w:szCs w:val="20"/>
              </w:rPr>
            </w:pPr>
            <w:r w:rsidRPr="0099428A">
              <w:rPr>
                <w:b/>
                <w:bCs/>
                <w:color w:val="000000"/>
                <w:sz w:val="20"/>
                <w:szCs w:val="20"/>
              </w:rPr>
              <w:t>PROVIDE ADEQUATE OVERSIGHT AND COLLECT DATA TO</w:t>
            </w:r>
            <w:r>
              <w:rPr>
                <w:b/>
                <w:bCs/>
                <w:color w:val="000000"/>
                <w:sz w:val="20"/>
                <w:szCs w:val="20"/>
              </w:rPr>
              <w:t xml:space="preserve"> </w:t>
            </w:r>
            <w:r w:rsidRPr="0099428A">
              <w:rPr>
                <w:b/>
                <w:bCs/>
                <w:color w:val="000000"/>
                <w:sz w:val="20"/>
                <w:szCs w:val="20"/>
              </w:rPr>
              <w:t>INFORM PRACTICE</w:t>
            </w:r>
          </w:p>
          <w:p w:rsidR="00E133AB" w:rsidRPr="0099428A" w:rsidRDefault="00E133AB" w:rsidP="000336A9">
            <w:pPr>
              <w:suppressAutoHyphens/>
              <w:autoSpaceDE w:val="0"/>
              <w:autoSpaceDN w:val="0"/>
              <w:adjustRightInd w:val="0"/>
              <w:jc w:val="center"/>
              <w:textAlignment w:val="center"/>
              <w:rPr>
                <w:b/>
                <w:bCs/>
                <w:color w:val="000000"/>
                <w:sz w:val="20"/>
                <w:szCs w:val="20"/>
              </w:rPr>
            </w:pPr>
            <w:r w:rsidRPr="0099428A">
              <w:rPr>
                <w:b/>
                <w:bCs/>
                <w:color w:val="000000"/>
                <w:sz w:val="20"/>
                <w:szCs w:val="20"/>
              </w:rPr>
              <w:t xml:space="preserve"> AND MEASURE SUCCESS</w:t>
            </w:r>
          </w:p>
        </w:tc>
      </w:tr>
      <w:tr w:rsidR="00E133AB" w:rsidRPr="0099428A" w:rsidTr="00E133AB">
        <w:trPr>
          <w:trHeight w:val="475"/>
          <w:jc w:val="center"/>
        </w:trPr>
        <w:tc>
          <w:tcPr>
            <w:tcW w:w="5000" w:type="pct"/>
            <w:gridSpan w:val="5"/>
            <w:tcBorders>
              <w:top w:val="single" w:sz="4" w:space="0" w:color="auto"/>
            </w:tcBorders>
            <w:shd w:val="clear" w:color="F37174" w:fill="CCC0D9" w:themeFill="accent4" w:themeFillTint="66"/>
            <w:tcMar>
              <w:top w:w="0" w:type="dxa"/>
              <w:left w:w="0" w:type="dxa"/>
              <w:bottom w:w="0" w:type="dxa"/>
              <w:right w:w="0" w:type="dxa"/>
            </w:tcMar>
            <w:vAlign w:val="center"/>
          </w:tcPr>
          <w:p w:rsidR="00E133AB" w:rsidRPr="0099428A" w:rsidRDefault="00E133AB" w:rsidP="000336A9">
            <w:pPr>
              <w:autoSpaceDE w:val="0"/>
              <w:autoSpaceDN w:val="0"/>
              <w:adjustRightInd w:val="0"/>
              <w:rPr>
                <w:b/>
                <w:bCs/>
              </w:rPr>
            </w:pPr>
            <w:r w:rsidRPr="0099428A">
              <w:rPr>
                <w:b/>
                <w:bCs/>
                <w:sz w:val="20"/>
                <w:szCs w:val="20"/>
              </w:rPr>
              <w:t xml:space="preserve"> Action Step #1:  Provide Internal Monitoring System that will Produce Ongoing Feedback</w:t>
            </w:r>
          </w:p>
        </w:tc>
      </w:tr>
      <w:tr w:rsidR="00E133AB" w:rsidRPr="0099428A" w:rsidTr="00E133AB">
        <w:trPr>
          <w:trHeight w:val="503"/>
          <w:jc w:val="center"/>
        </w:trPr>
        <w:tc>
          <w:tcPr>
            <w:tcW w:w="1707" w:type="pct"/>
            <w:shd w:val="clear" w:color="F37174" w:fill="CCC0D9" w:themeFill="accent4" w:themeFillTint="66"/>
            <w:tcMar>
              <w:top w:w="0" w:type="dxa"/>
              <w:left w:w="0" w:type="dxa"/>
              <w:bottom w:w="0" w:type="dxa"/>
              <w:right w:w="0" w:type="dxa"/>
            </w:tcMar>
            <w:vAlign w:val="center"/>
          </w:tcPr>
          <w:p w:rsidR="00E133AB" w:rsidRPr="0099428A" w:rsidRDefault="00E133AB" w:rsidP="000336A9">
            <w:pPr>
              <w:suppressAutoHyphens/>
              <w:autoSpaceDE w:val="0"/>
              <w:autoSpaceDN w:val="0"/>
              <w:adjustRightInd w:val="0"/>
              <w:jc w:val="center"/>
              <w:textAlignment w:val="center"/>
              <w:rPr>
                <w:b/>
                <w:bCs/>
                <w:color w:val="000000"/>
                <w:sz w:val="20"/>
                <w:szCs w:val="20"/>
              </w:rPr>
            </w:pPr>
            <w:r w:rsidRPr="0099428A">
              <w:rPr>
                <w:b/>
                <w:bCs/>
                <w:color w:val="000000"/>
                <w:sz w:val="20"/>
                <w:szCs w:val="20"/>
              </w:rPr>
              <w:t>Tasks</w:t>
            </w:r>
          </w:p>
        </w:tc>
        <w:tc>
          <w:tcPr>
            <w:tcW w:w="1224" w:type="pct"/>
            <w:gridSpan w:val="2"/>
            <w:shd w:val="clear" w:color="F37174" w:fill="CCC0D9" w:themeFill="accent4" w:themeFillTint="66"/>
            <w:tcMar>
              <w:top w:w="0" w:type="dxa"/>
              <w:left w:w="0" w:type="dxa"/>
              <w:bottom w:w="0" w:type="dxa"/>
              <w:right w:w="0" w:type="dxa"/>
            </w:tcMar>
            <w:vAlign w:val="center"/>
          </w:tcPr>
          <w:p w:rsidR="00E133AB" w:rsidRPr="0099428A" w:rsidRDefault="00E133AB" w:rsidP="000336A9">
            <w:pPr>
              <w:suppressAutoHyphens/>
              <w:autoSpaceDE w:val="0"/>
              <w:autoSpaceDN w:val="0"/>
              <w:adjustRightInd w:val="0"/>
              <w:jc w:val="center"/>
              <w:textAlignment w:val="center"/>
              <w:rPr>
                <w:b/>
                <w:bCs/>
                <w:color w:val="000000"/>
                <w:sz w:val="20"/>
                <w:szCs w:val="20"/>
              </w:rPr>
            </w:pPr>
            <w:r w:rsidRPr="0099428A">
              <w:rPr>
                <w:b/>
                <w:bCs/>
                <w:color w:val="000000"/>
                <w:sz w:val="20"/>
                <w:szCs w:val="20"/>
              </w:rPr>
              <w:t>Required Approvals</w:t>
            </w:r>
          </w:p>
        </w:tc>
        <w:tc>
          <w:tcPr>
            <w:tcW w:w="1576" w:type="pct"/>
            <w:shd w:val="clear" w:color="F37174" w:fill="CCC0D9" w:themeFill="accent4" w:themeFillTint="66"/>
            <w:tcMar>
              <w:top w:w="0" w:type="dxa"/>
              <w:left w:w="0" w:type="dxa"/>
              <w:bottom w:w="0" w:type="dxa"/>
              <w:right w:w="0" w:type="dxa"/>
            </w:tcMar>
            <w:vAlign w:val="center"/>
          </w:tcPr>
          <w:p w:rsidR="00E133AB" w:rsidRPr="0099428A" w:rsidRDefault="00E133AB" w:rsidP="000336A9">
            <w:pPr>
              <w:suppressAutoHyphens/>
              <w:autoSpaceDE w:val="0"/>
              <w:autoSpaceDN w:val="0"/>
              <w:adjustRightInd w:val="0"/>
              <w:jc w:val="center"/>
              <w:textAlignment w:val="center"/>
              <w:rPr>
                <w:b/>
                <w:bCs/>
                <w:color w:val="000000"/>
                <w:sz w:val="20"/>
                <w:szCs w:val="20"/>
              </w:rPr>
            </w:pPr>
            <w:r w:rsidRPr="0099428A">
              <w:rPr>
                <w:b/>
                <w:bCs/>
                <w:color w:val="000000"/>
                <w:sz w:val="20"/>
                <w:szCs w:val="20"/>
              </w:rPr>
              <w:t>Measurable Outcome(s)</w:t>
            </w:r>
          </w:p>
        </w:tc>
        <w:tc>
          <w:tcPr>
            <w:tcW w:w="493" w:type="pct"/>
            <w:shd w:val="clear" w:color="F37174" w:fill="CCC0D9" w:themeFill="accent4" w:themeFillTint="66"/>
            <w:tcMar>
              <w:top w:w="0" w:type="dxa"/>
              <w:left w:w="0" w:type="dxa"/>
              <w:bottom w:w="0" w:type="dxa"/>
              <w:right w:w="0" w:type="dxa"/>
            </w:tcMar>
            <w:vAlign w:val="center"/>
          </w:tcPr>
          <w:p w:rsidR="00E133AB" w:rsidRPr="0099428A" w:rsidRDefault="00E133AB" w:rsidP="000336A9">
            <w:pPr>
              <w:suppressAutoHyphens/>
              <w:autoSpaceDE w:val="0"/>
              <w:autoSpaceDN w:val="0"/>
              <w:adjustRightInd w:val="0"/>
              <w:jc w:val="center"/>
              <w:textAlignment w:val="center"/>
              <w:rPr>
                <w:b/>
                <w:bCs/>
                <w:color w:val="000000"/>
                <w:sz w:val="20"/>
                <w:szCs w:val="20"/>
                <w:u w:color="000000"/>
              </w:rPr>
            </w:pPr>
            <w:r w:rsidRPr="0099428A">
              <w:rPr>
                <w:b/>
                <w:bCs/>
                <w:color w:val="000000"/>
                <w:sz w:val="20"/>
                <w:szCs w:val="20"/>
                <w:u w:color="000000"/>
              </w:rPr>
              <w:t>Target Completion Date(s)</w:t>
            </w:r>
          </w:p>
        </w:tc>
      </w:tr>
      <w:tr w:rsidR="00E133AB" w:rsidRPr="0099428A" w:rsidTr="00E133AB">
        <w:trPr>
          <w:trHeight w:val="539"/>
          <w:jc w:val="center"/>
        </w:trPr>
        <w:tc>
          <w:tcPr>
            <w:tcW w:w="1707" w:type="pct"/>
            <w:vMerge w:val="restart"/>
            <w:shd w:val="clear" w:color="auto" w:fill="auto"/>
            <w:tcMar>
              <w:top w:w="90" w:type="dxa"/>
              <w:left w:w="90" w:type="dxa"/>
              <w:bottom w:w="90" w:type="dxa"/>
              <w:right w:w="90" w:type="dxa"/>
            </w:tcMar>
          </w:tcPr>
          <w:p w:rsidR="00E133AB" w:rsidRPr="0099428A" w:rsidRDefault="00E133AB" w:rsidP="000336A9">
            <w:pPr>
              <w:numPr>
                <w:ilvl w:val="0"/>
                <w:numId w:val="2"/>
              </w:numPr>
              <w:suppressAutoHyphens/>
              <w:autoSpaceDE w:val="0"/>
              <w:autoSpaceDN w:val="0"/>
              <w:adjustRightInd w:val="0"/>
              <w:spacing w:after="200" w:line="276" w:lineRule="auto"/>
              <w:textAlignment w:val="center"/>
              <w:rPr>
                <w:color w:val="000000"/>
                <w:sz w:val="20"/>
                <w:szCs w:val="20"/>
              </w:rPr>
            </w:pPr>
            <w:r w:rsidRPr="0099428A">
              <w:rPr>
                <w:color w:val="000000"/>
                <w:sz w:val="20"/>
                <w:szCs w:val="20"/>
              </w:rPr>
              <w:t>Develop monitoring system to provide collaboration and feedback from key stakeholders</w:t>
            </w:r>
          </w:p>
        </w:tc>
        <w:tc>
          <w:tcPr>
            <w:tcW w:w="656" w:type="pct"/>
            <w:shd w:val="clear" w:color="auto" w:fill="auto"/>
            <w:tcMar>
              <w:top w:w="90" w:type="dxa"/>
              <w:left w:w="90" w:type="dxa"/>
              <w:bottom w:w="90" w:type="dxa"/>
              <w:right w:w="90" w:type="dxa"/>
            </w:tcMar>
          </w:tcPr>
          <w:p w:rsidR="00E133AB" w:rsidRPr="0099428A" w:rsidRDefault="00E133AB" w:rsidP="000336A9">
            <w:pPr>
              <w:suppressAutoHyphens/>
              <w:autoSpaceDE w:val="0"/>
              <w:autoSpaceDN w:val="0"/>
              <w:adjustRightInd w:val="0"/>
              <w:jc w:val="center"/>
              <w:textAlignment w:val="center"/>
              <w:rPr>
                <w:color w:val="000000"/>
                <w:sz w:val="20"/>
                <w:szCs w:val="20"/>
              </w:rPr>
            </w:pPr>
            <w:r w:rsidRPr="0099428A">
              <w:rPr>
                <w:color w:val="000000"/>
                <w:sz w:val="20"/>
                <w:szCs w:val="20"/>
              </w:rPr>
              <w:t>Local</w:t>
            </w:r>
          </w:p>
        </w:tc>
        <w:tc>
          <w:tcPr>
            <w:tcW w:w="568" w:type="pct"/>
            <w:shd w:val="clear" w:color="auto" w:fill="auto"/>
          </w:tcPr>
          <w:p w:rsidR="00E133AB" w:rsidRPr="0099428A" w:rsidRDefault="00E133AB" w:rsidP="000336A9">
            <w:pPr>
              <w:suppressAutoHyphens/>
              <w:autoSpaceDE w:val="0"/>
              <w:autoSpaceDN w:val="0"/>
              <w:adjustRightInd w:val="0"/>
              <w:jc w:val="center"/>
              <w:textAlignment w:val="center"/>
              <w:rPr>
                <w:color w:val="000000"/>
                <w:sz w:val="20"/>
                <w:szCs w:val="20"/>
              </w:rPr>
            </w:pPr>
            <w:r>
              <w:rPr>
                <w:color w:val="000000"/>
                <w:sz w:val="20"/>
                <w:szCs w:val="20"/>
              </w:rPr>
              <w:t>X</w:t>
            </w:r>
          </w:p>
        </w:tc>
        <w:tc>
          <w:tcPr>
            <w:tcW w:w="1576" w:type="pct"/>
            <w:vMerge w:val="restart"/>
            <w:shd w:val="clear" w:color="auto" w:fill="auto"/>
            <w:tcMar>
              <w:top w:w="90" w:type="dxa"/>
              <w:left w:w="90" w:type="dxa"/>
              <w:bottom w:w="90" w:type="dxa"/>
              <w:right w:w="90" w:type="dxa"/>
            </w:tcMar>
          </w:tcPr>
          <w:p w:rsidR="00E133AB" w:rsidRPr="0099428A" w:rsidRDefault="00E133AB" w:rsidP="000336A9">
            <w:pPr>
              <w:numPr>
                <w:ilvl w:val="0"/>
                <w:numId w:val="2"/>
              </w:numPr>
              <w:suppressAutoHyphens/>
              <w:autoSpaceDE w:val="0"/>
              <w:autoSpaceDN w:val="0"/>
              <w:adjustRightInd w:val="0"/>
              <w:spacing w:after="200" w:line="276" w:lineRule="auto"/>
              <w:textAlignment w:val="center"/>
              <w:rPr>
                <w:color w:val="000000"/>
                <w:sz w:val="20"/>
                <w:szCs w:val="20"/>
              </w:rPr>
            </w:pPr>
            <w:r w:rsidRPr="0099428A">
              <w:rPr>
                <w:color w:val="000000"/>
                <w:sz w:val="20"/>
                <w:szCs w:val="20"/>
              </w:rPr>
              <w:t>Feedback systems create additional opportunities for collaboration and maximizing opportunities that arise</w:t>
            </w:r>
            <w:r>
              <w:rPr>
                <w:color w:val="000000"/>
                <w:sz w:val="20"/>
                <w:szCs w:val="20"/>
              </w:rPr>
              <w:t>.</w:t>
            </w:r>
          </w:p>
        </w:tc>
        <w:tc>
          <w:tcPr>
            <w:tcW w:w="493" w:type="pct"/>
            <w:vMerge w:val="restart"/>
            <w:shd w:val="clear" w:color="auto" w:fill="auto"/>
            <w:tcMar>
              <w:top w:w="90" w:type="dxa"/>
              <w:left w:w="90" w:type="dxa"/>
              <w:bottom w:w="90" w:type="dxa"/>
              <w:right w:w="90" w:type="dxa"/>
            </w:tcMar>
          </w:tcPr>
          <w:p w:rsidR="00E133AB" w:rsidRPr="0099428A" w:rsidRDefault="00E133AB" w:rsidP="000336A9">
            <w:pPr>
              <w:autoSpaceDE w:val="0"/>
              <w:autoSpaceDN w:val="0"/>
              <w:adjustRightInd w:val="0"/>
              <w:spacing w:line="288" w:lineRule="auto"/>
              <w:textAlignment w:val="center"/>
              <w:rPr>
                <w:color w:val="000000"/>
                <w:sz w:val="20"/>
                <w:szCs w:val="20"/>
              </w:rPr>
            </w:pPr>
          </w:p>
        </w:tc>
      </w:tr>
      <w:tr w:rsidR="00E133AB" w:rsidRPr="0099428A" w:rsidTr="00E133AB">
        <w:trPr>
          <w:trHeight w:val="593"/>
          <w:jc w:val="center"/>
        </w:trPr>
        <w:tc>
          <w:tcPr>
            <w:tcW w:w="1707" w:type="pct"/>
            <w:vMerge/>
            <w:shd w:val="clear" w:color="auto" w:fill="auto"/>
            <w:tcMar>
              <w:top w:w="90" w:type="dxa"/>
              <w:left w:w="90" w:type="dxa"/>
              <w:bottom w:w="90" w:type="dxa"/>
              <w:right w:w="90" w:type="dxa"/>
            </w:tcMar>
          </w:tcPr>
          <w:p w:rsidR="00E133AB" w:rsidRPr="0099428A" w:rsidRDefault="00E133AB" w:rsidP="000336A9">
            <w:pPr>
              <w:numPr>
                <w:ilvl w:val="0"/>
                <w:numId w:val="2"/>
              </w:numPr>
              <w:suppressAutoHyphens/>
              <w:autoSpaceDE w:val="0"/>
              <w:autoSpaceDN w:val="0"/>
              <w:adjustRightInd w:val="0"/>
              <w:spacing w:after="200" w:line="276" w:lineRule="auto"/>
              <w:textAlignment w:val="center"/>
              <w:rPr>
                <w:color w:val="000000"/>
                <w:sz w:val="20"/>
                <w:szCs w:val="20"/>
              </w:rPr>
            </w:pPr>
          </w:p>
        </w:tc>
        <w:tc>
          <w:tcPr>
            <w:tcW w:w="656" w:type="pct"/>
            <w:shd w:val="clear" w:color="auto" w:fill="auto"/>
            <w:tcMar>
              <w:top w:w="90" w:type="dxa"/>
              <w:left w:w="90" w:type="dxa"/>
              <w:bottom w:w="90" w:type="dxa"/>
              <w:right w:w="90" w:type="dxa"/>
            </w:tcMar>
          </w:tcPr>
          <w:p w:rsidR="00E133AB" w:rsidRPr="0099428A" w:rsidRDefault="00E133AB" w:rsidP="000336A9">
            <w:pPr>
              <w:suppressAutoHyphens/>
              <w:autoSpaceDE w:val="0"/>
              <w:autoSpaceDN w:val="0"/>
              <w:adjustRightInd w:val="0"/>
              <w:jc w:val="center"/>
              <w:textAlignment w:val="center"/>
              <w:rPr>
                <w:color w:val="000000"/>
                <w:sz w:val="20"/>
                <w:szCs w:val="20"/>
              </w:rPr>
            </w:pPr>
            <w:r w:rsidRPr="0099428A">
              <w:rPr>
                <w:color w:val="000000"/>
                <w:sz w:val="20"/>
                <w:szCs w:val="20"/>
              </w:rPr>
              <w:t>State</w:t>
            </w:r>
          </w:p>
        </w:tc>
        <w:tc>
          <w:tcPr>
            <w:tcW w:w="568" w:type="pct"/>
            <w:shd w:val="clear" w:color="auto" w:fill="auto"/>
          </w:tcPr>
          <w:p w:rsidR="00E133AB" w:rsidRPr="0099428A" w:rsidRDefault="00E133AB" w:rsidP="000336A9">
            <w:pPr>
              <w:suppressAutoHyphens/>
              <w:autoSpaceDE w:val="0"/>
              <w:autoSpaceDN w:val="0"/>
              <w:adjustRightInd w:val="0"/>
              <w:jc w:val="center"/>
              <w:textAlignment w:val="center"/>
              <w:rPr>
                <w:color w:val="000000"/>
                <w:sz w:val="20"/>
                <w:szCs w:val="20"/>
              </w:rPr>
            </w:pPr>
          </w:p>
        </w:tc>
        <w:tc>
          <w:tcPr>
            <w:tcW w:w="1576" w:type="pct"/>
            <w:vMerge/>
            <w:shd w:val="clear" w:color="auto" w:fill="auto"/>
            <w:tcMar>
              <w:top w:w="90" w:type="dxa"/>
              <w:left w:w="90" w:type="dxa"/>
              <w:bottom w:w="90" w:type="dxa"/>
              <w:right w:w="90" w:type="dxa"/>
            </w:tcMar>
          </w:tcPr>
          <w:p w:rsidR="00E133AB" w:rsidRPr="0099428A" w:rsidRDefault="00E133AB" w:rsidP="000336A9">
            <w:pPr>
              <w:numPr>
                <w:ilvl w:val="0"/>
                <w:numId w:val="2"/>
              </w:numPr>
              <w:suppressAutoHyphens/>
              <w:autoSpaceDE w:val="0"/>
              <w:autoSpaceDN w:val="0"/>
              <w:adjustRightInd w:val="0"/>
              <w:spacing w:after="200" w:line="276" w:lineRule="auto"/>
              <w:textAlignment w:val="center"/>
              <w:rPr>
                <w:color w:val="000000"/>
                <w:sz w:val="20"/>
                <w:szCs w:val="20"/>
              </w:rPr>
            </w:pPr>
          </w:p>
        </w:tc>
        <w:tc>
          <w:tcPr>
            <w:tcW w:w="493" w:type="pct"/>
            <w:vMerge/>
            <w:shd w:val="clear" w:color="auto" w:fill="auto"/>
            <w:tcMar>
              <w:top w:w="90" w:type="dxa"/>
              <w:left w:w="90" w:type="dxa"/>
              <w:bottom w:w="90" w:type="dxa"/>
              <w:right w:w="90" w:type="dxa"/>
            </w:tcMar>
          </w:tcPr>
          <w:p w:rsidR="00E133AB" w:rsidRPr="0099428A" w:rsidRDefault="00E133AB" w:rsidP="000336A9">
            <w:pPr>
              <w:autoSpaceDE w:val="0"/>
              <w:autoSpaceDN w:val="0"/>
              <w:adjustRightInd w:val="0"/>
              <w:spacing w:line="288" w:lineRule="auto"/>
              <w:textAlignment w:val="center"/>
              <w:rPr>
                <w:color w:val="000000"/>
                <w:sz w:val="20"/>
                <w:szCs w:val="20"/>
              </w:rPr>
            </w:pPr>
          </w:p>
        </w:tc>
      </w:tr>
      <w:tr w:rsidR="00E133AB" w:rsidRPr="0099428A" w:rsidTr="00E133AB">
        <w:trPr>
          <w:trHeight w:val="656"/>
          <w:jc w:val="center"/>
        </w:trPr>
        <w:tc>
          <w:tcPr>
            <w:tcW w:w="1707" w:type="pct"/>
            <w:vMerge/>
            <w:shd w:val="clear" w:color="auto" w:fill="auto"/>
            <w:tcMar>
              <w:top w:w="90" w:type="dxa"/>
              <w:left w:w="90" w:type="dxa"/>
              <w:bottom w:w="90" w:type="dxa"/>
              <w:right w:w="90" w:type="dxa"/>
            </w:tcMar>
          </w:tcPr>
          <w:p w:rsidR="00E133AB" w:rsidRPr="0099428A" w:rsidRDefault="00E133AB" w:rsidP="000336A9">
            <w:pPr>
              <w:numPr>
                <w:ilvl w:val="0"/>
                <w:numId w:val="2"/>
              </w:numPr>
              <w:suppressAutoHyphens/>
              <w:autoSpaceDE w:val="0"/>
              <w:autoSpaceDN w:val="0"/>
              <w:adjustRightInd w:val="0"/>
              <w:spacing w:after="200" w:line="276" w:lineRule="auto"/>
              <w:textAlignment w:val="center"/>
              <w:rPr>
                <w:color w:val="000000"/>
                <w:sz w:val="20"/>
                <w:szCs w:val="20"/>
              </w:rPr>
            </w:pPr>
          </w:p>
        </w:tc>
        <w:tc>
          <w:tcPr>
            <w:tcW w:w="656" w:type="pct"/>
            <w:shd w:val="clear" w:color="auto" w:fill="auto"/>
            <w:tcMar>
              <w:top w:w="90" w:type="dxa"/>
              <w:left w:w="90" w:type="dxa"/>
              <w:bottom w:w="90" w:type="dxa"/>
              <w:right w:w="90" w:type="dxa"/>
            </w:tcMar>
          </w:tcPr>
          <w:p w:rsidR="00E133AB" w:rsidRPr="0099428A" w:rsidRDefault="00E133AB" w:rsidP="000336A9">
            <w:pPr>
              <w:suppressAutoHyphens/>
              <w:autoSpaceDE w:val="0"/>
              <w:autoSpaceDN w:val="0"/>
              <w:adjustRightInd w:val="0"/>
              <w:jc w:val="center"/>
              <w:textAlignment w:val="center"/>
              <w:rPr>
                <w:color w:val="000000"/>
                <w:sz w:val="20"/>
                <w:szCs w:val="20"/>
              </w:rPr>
            </w:pPr>
            <w:r w:rsidRPr="0099428A">
              <w:rPr>
                <w:color w:val="000000"/>
                <w:sz w:val="20"/>
                <w:szCs w:val="20"/>
              </w:rPr>
              <w:t>Voter</w:t>
            </w:r>
          </w:p>
        </w:tc>
        <w:tc>
          <w:tcPr>
            <w:tcW w:w="568" w:type="pct"/>
            <w:shd w:val="clear" w:color="auto" w:fill="auto"/>
          </w:tcPr>
          <w:p w:rsidR="00E133AB" w:rsidRPr="0099428A" w:rsidRDefault="00E133AB" w:rsidP="000336A9">
            <w:pPr>
              <w:suppressAutoHyphens/>
              <w:autoSpaceDE w:val="0"/>
              <w:autoSpaceDN w:val="0"/>
              <w:adjustRightInd w:val="0"/>
              <w:jc w:val="center"/>
              <w:textAlignment w:val="center"/>
              <w:rPr>
                <w:color w:val="000000"/>
                <w:sz w:val="20"/>
                <w:szCs w:val="20"/>
              </w:rPr>
            </w:pPr>
          </w:p>
        </w:tc>
        <w:tc>
          <w:tcPr>
            <w:tcW w:w="1576" w:type="pct"/>
            <w:vMerge/>
            <w:shd w:val="clear" w:color="auto" w:fill="auto"/>
            <w:tcMar>
              <w:top w:w="90" w:type="dxa"/>
              <w:left w:w="90" w:type="dxa"/>
              <w:bottom w:w="90" w:type="dxa"/>
              <w:right w:w="90" w:type="dxa"/>
            </w:tcMar>
          </w:tcPr>
          <w:p w:rsidR="00E133AB" w:rsidRPr="0099428A" w:rsidRDefault="00E133AB" w:rsidP="000336A9">
            <w:pPr>
              <w:numPr>
                <w:ilvl w:val="0"/>
                <w:numId w:val="2"/>
              </w:numPr>
              <w:suppressAutoHyphens/>
              <w:autoSpaceDE w:val="0"/>
              <w:autoSpaceDN w:val="0"/>
              <w:adjustRightInd w:val="0"/>
              <w:spacing w:after="200" w:line="276" w:lineRule="auto"/>
              <w:textAlignment w:val="center"/>
              <w:rPr>
                <w:color w:val="000000"/>
                <w:sz w:val="20"/>
                <w:szCs w:val="20"/>
              </w:rPr>
            </w:pPr>
          </w:p>
        </w:tc>
        <w:tc>
          <w:tcPr>
            <w:tcW w:w="493" w:type="pct"/>
            <w:vMerge/>
            <w:shd w:val="clear" w:color="auto" w:fill="auto"/>
            <w:tcMar>
              <w:top w:w="90" w:type="dxa"/>
              <w:left w:w="90" w:type="dxa"/>
              <w:bottom w:w="90" w:type="dxa"/>
              <w:right w:w="90" w:type="dxa"/>
            </w:tcMar>
          </w:tcPr>
          <w:p w:rsidR="00E133AB" w:rsidRPr="0099428A" w:rsidRDefault="00E133AB" w:rsidP="000336A9">
            <w:pPr>
              <w:autoSpaceDE w:val="0"/>
              <w:autoSpaceDN w:val="0"/>
              <w:adjustRightInd w:val="0"/>
              <w:spacing w:line="288" w:lineRule="auto"/>
              <w:textAlignment w:val="center"/>
              <w:rPr>
                <w:color w:val="000000"/>
                <w:sz w:val="20"/>
                <w:szCs w:val="20"/>
              </w:rPr>
            </w:pPr>
          </w:p>
        </w:tc>
      </w:tr>
      <w:tr w:rsidR="00E133AB" w:rsidRPr="0099428A" w:rsidTr="00E133AB">
        <w:trPr>
          <w:trHeight w:val="611"/>
          <w:jc w:val="center"/>
        </w:trPr>
        <w:tc>
          <w:tcPr>
            <w:tcW w:w="1707" w:type="pct"/>
            <w:vMerge w:val="restart"/>
            <w:shd w:val="clear" w:color="auto" w:fill="auto"/>
            <w:tcMar>
              <w:top w:w="90" w:type="dxa"/>
              <w:left w:w="90" w:type="dxa"/>
              <w:bottom w:w="90" w:type="dxa"/>
              <w:right w:w="90" w:type="dxa"/>
            </w:tcMar>
          </w:tcPr>
          <w:p w:rsidR="00E133AB" w:rsidRPr="0099428A" w:rsidRDefault="00E133AB" w:rsidP="000336A9">
            <w:pPr>
              <w:numPr>
                <w:ilvl w:val="0"/>
                <w:numId w:val="2"/>
              </w:numPr>
              <w:suppressAutoHyphens/>
              <w:autoSpaceDE w:val="0"/>
              <w:autoSpaceDN w:val="0"/>
              <w:adjustRightInd w:val="0"/>
              <w:spacing w:after="200" w:line="276" w:lineRule="auto"/>
              <w:textAlignment w:val="center"/>
              <w:rPr>
                <w:color w:val="000000"/>
                <w:sz w:val="20"/>
                <w:szCs w:val="20"/>
              </w:rPr>
            </w:pPr>
            <w:r w:rsidRPr="0099428A">
              <w:rPr>
                <w:color w:val="000000"/>
                <w:sz w:val="20"/>
                <w:szCs w:val="20"/>
              </w:rPr>
              <w:t>Plan for periodic review of progress in meeting goals</w:t>
            </w:r>
          </w:p>
        </w:tc>
        <w:tc>
          <w:tcPr>
            <w:tcW w:w="656" w:type="pct"/>
            <w:shd w:val="clear" w:color="auto" w:fill="auto"/>
            <w:tcMar>
              <w:top w:w="90" w:type="dxa"/>
              <w:left w:w="90" w:type="dxa"/>
              <w:bottom w:w="90" w:type="dxa"/>
              <w:right w:w="90" w:type="dxa"/>
            </w:tcMar>
          </w:tcPr>
          <w:p w:rsidR="00E133AB" w:rsidRPr="0099428A" w:rsidRDefault="00E133AB" w:rsidP="000336A9">
            <w:pPr>
              <w:suppressAutoHyphens/>
              <w:autoSpaceDE w:val="0"/>
              <w:autoSpaceDN w:val="0"/>
              <w:adjustRightInd w:val="0"/>
              <w:jc w:val="center"/>
              <w:textAlignment w:val="center"/>
              <w:rPr>
                <w:color w:val="000000"/>
                <w:sz w:val="20"/>
                <w:szCs w:val="20"/>
              </w:rPr>
            </w:pPr>
            <w:r w:rsidRPr="0099428A">
              <w:rPr>
                <w:color w:val="000000"/>
                <w:sz w:val="20"/>
                <w:szCs w:val="20"/>
              </w:rPr>
              <w:t>Local</w:t>
            </w:r>
          </w:p>
        </w:tc>
        <w:tc>
          <w:tcPr>
            <w:tcW w:w="568" w:type="pct"/>
            <w:shd w:val="clear" w:color="auto" w:fill="auto"/>
          </w:tcPr>
          <w:p w:rsidR="00E133AB" w:rsidRPr="0099428A" w:rsidRDefault="00E133AB" w:rsidP="000336A9">
            <w:pPr>
              <w:suppressAutoHyphens/>
              <w:autoSpaceDE w:val="0"/>
              <w:autoSpaceDN w:val="0"/>
              <w:adjustRightInd w:val="0"/>
              <w:jc w:val="center"/>
              <w:textAlignment w:val="center"/>
              <w:rPr>
                <w:color w:val="000000"/>
                <w:sz w:val="20"/>
                <w:szCs w:val="20"/>
              </w:rPr>
            </w:pPr>
            <w:r>
              <w:rPr>
                <w:color w:val="000000"/>
                <w:sz w:val="20"/>
                <w:szCs w:val="20"/>
              </w:rPr>
              <w:t>X</w:t>
            </w:r>
          </w:p>
        </w:tc>
        <w:tc>
          <w:tcPr>
            <w:tcW w:w="1576" w:type="pct"/>
            <w:vMerge w:val="restart"/>
            <w:shd w:val="clear" w:color="auto" w:fill="auto"/>
            <w:tcMar>
              <w:top w:w="90" w:type="dxa"/>
              <w:left w:w="90" w:type="dxa"/>
              <w:bottom w:w="90" w:type="dxa"/>
              <w:right w:w="90" w:type="dxa"/>
            </w:tcMar>
          </w:tcPr>
          <w:p w:rsidR="00E133AB" w:rsidRPr="0099428A" w:rsidRDefault="00E133AB" w:rsidP="000E7B8B">
            <w:pPr>
              <w:numPr>
                <w:ilvl w:val="0"/>
                <w:numId w:val="2"/>
              </w:numPr>
              <w:suppressAutoHyphens/>
              <w:autoSpaceDE w:val="0"/>
              <w:autoSpaceDN w:val="0"/>
              <w:adjustRightInd w:val="0"/>
              <w:spacing w:after="200" w:line="276" w:lineRule="auto"/>
              <w:textAlignment w:val="center"/>
              <w:rPr>
                <w:color w:val="000000"/>
                <w:sz w:val="20"/>
                <w:szCs w:val="20"/>
              </w:rPr>
            </w:pPr>
            <w:r w:rsidRPr="0099428A">
              <w:rPr>
                <w:color w:val="000000"/>
                <w:sz w:val="20"/>
                <w:szCs w:val="20"/>
              </w:rPr>
              <w:t>Work plan is upd</w:t>
            </w:r>
            <w:r>
              <w:rPr>
                <w:color w:val="000000"/>
                <w:sz w:val="20"/>
                <w:szCs w:val="20"/>
              </w:rPr>
              <w:t>ated regularly</w:t>
            </w:r>
            <w:r w:rsidRPr="0099428A">
              <w:rPr>
                <w:color w:val="000000"/>
                <w:sz w:val="20"/>
                <w:szCs w:val="20"/>
              </w:rPr>
              <w:t>. U</w:t>
            </w:r>
            <w:r>
              <w:rPr>
                <w:color w:val="000000"/>
                <w:sz w:val="20"/>
                <w:szCs w:val="20"/>
              </w:rPr>
              <w:t>pdates are shared with key stake</w:t>
            </w:r>
            <w:r w:rsidRPr="0099428A">
              <w:rPr>
                <w:color w:val="000000"/>
                <w:sz w:val="20"/>
                <w:szCs w:val="20"/>
              </w:rPr>
              <w:t>holders</w:t>
            </w:r>
            <w:r>
              <w:rPr>
                <w:color w:val="000000"/>
                <w:sz w:val="20"/>
                <w:szCs w:val="20"/>
              </w:rPr>
              <w:t>.</w:t>
            </w:r>
          </w:p>
        </w:tc>
        <w:tc>
          <w:tcPr>
            <w:tcW w:w="493" w:type="pct"/>
            <w:vMerge w:val="restart"/>
            <w:shd w:val="clear" w:color="auto" w:fill="auto"/>
            <w:tcMar>
              <w:top w:w="90" w:type="dxa"/>
              <w:left w:w="90" w:type="dxa"/>
              <w:bottom w:w="90" w:type="dxa"/>
              <w:right w:w="90" w:type="dxa"/>
            </w:tcMar>
          </w:tcPr>
          <w:p w:rsidR="00E133AB" w:rsidRPr="0099428A" w:rsidRDefault="00E133AB" w:rsidP="000336A9">
            <w:pPr>
              <w:autoSpaceDE w:val="0"/>
              <w:autoSpaceDN w:val="0"/>
              <w:adjustRightInd w:val="0"/>
              <w:spacing w:line="288" w:lineRule="auto"/>
              <w:textAlignment w:val="center"/>
              <w:rPr>
                <w:color w:val="000000"/>
                <w:sz w:val="20"/>
                <w:szCs w:val="20"/>
              </w:rPr>
            </w:pPr>
          </w:p>
        </w:tc>
      </w:tr>
      <w:tr w:rsidR="00E133AB" w:rsidRPr="0099428A" w:rsidTr="00E133AB">
        <w:trPr>
          <w:trHeight w:val="620"/>
          <w:jc w:val="center"/>
        </w:trPr>
        <w:tc>
          <w:tcPr>
            <w:tcW w:w="1707" w:type="pct"/>
            <w:vMerge/>
            <w:shd w:val="clear" w:color="auto" w:fill="auto"/>
            <w:tcMar>
              <w:top w:w="90" w:type="dxa"/>
              <w:left w:w="90" w:type="dxa"/>
              <w:bottom w:w="90" w:type="dxa"/>
              <w:right w:w="90" w:type="dxa"/>
            </w:tcMar>
          </w:tcPr>
          <w:p w:rsidR="00E133AB" w:rsidRPr="0099428A" w:rsidRDefault="00E133AB" w:rsidP="000336A9">
            <w:pPr>
              <w:numPr>
                <w:ilvl w:val="0"/>
                <w:numId w:val="2"/>
              </w:numPr>
              <w:suppressAutoHyphens/>
              <w:autoSpaceDE w:val="0"/>
              <w:autoSpaceDN w:val="0"/>
              <w:adjustRightInd w:val="0"/>
              <w:spacing w:after="200" w:line="276" w:lineRule="auto"/>
              <w:textAlignment w:val="center"/>
              <w:rPr>
                <w:color w:val="000000"/>
                <w:sz w:val="20"/>
                <w:szCs w:val="20"/>
              </w:rPr>
            </w:pPr>
          </w:p>
        </w:tc>
        <w:tc>
          <w:tcPr>
            <w:tcW w:w="656" w:type="pct"/>
            <w:shd w:val="clear" w:color="auto" w:fill="auto"/>
            <w:tcMar>
              <w:top w:w="90" w:type="dxa"/>
              <w:left w:w="90" w:type="dxa"/>
              <w:bottom w:w="90" w:type="dxa"/>
              <w:right w:w="90" w:type="dxa"/>
            </w:tcMar>
          </w:tcPr>
          <w:p w:rsidR="00E133AB" w:rsidRPr="0099428A" w:rsidRDefault="00E133AB" w:rsidP="000336A9">
            <w:pPr>
              <w:suppressAutoHyphens/>
              <w:autoSpaceDE w:val="0"/>
              <w:autoSpaceDN w:val="0"/>
              <w:adjustRightInd w:val="0"/>
              <w:jc w:val="center"/>
              <w:textAlignment w:val="center"/>
              <w:rPr>
                <w:color w:val="000000"/>
                <w:sz w:val="20"/>
                <w:szCs w:val="20"/>
              </w:rPr>
            </w:pPr>
            <w:r w:rsidRPr="0099428A">
              <w:rPr>
                <w:color w:val="000000"/>
                <w:sz w:val="20"/>
                <w:szCs w:val="20"/>
              </w:rPr>
              <w:t>State</w:t>
            </w:r>
          </w:p>
        </w:tc>
        <w:tc>
          <w:tcPr>
            <w:tcW w:w="568" w:type="pct"/>
            <w:shd w:val="clear" w:color="auto" w:fill="auto"/>
          </w:tcPr>
          <w:p w:rsidR="00E133AB" w:rsidRPr="0099428A" w:rsidRDefault="00E133AB" w:rsidP="000336A9">
            <w:pPr>
              <w:suppressAutoHyphens/>
              <w:autoSpaceDE w:val="0"/>
              <w:autoSpaceDN w:val="0"/>
              <w:adjustRightInd w:val="0"/>
              <w:jc w:val="center"/>
              <w:textAlignment w:val="center"/>
              <w:rPr>
                <w:color w:val="000000"/>
                <w:sz w:val="20"/>
                <w:szCs w:val="20"/>
              </w:rPr>
            </w:pPr>
          </w:p>
        </w:tc>
        <w:tc>
          <w:tcPr>
            <w:tcW w:w="1576" w:type="pct"/>
            <w:vMerge/>
            <w:shd w:val="clear" w:color="auto" w:fill="auto"/>
            <w:tcMar>
              <w:top w:w="90" w:type="dxa"/>
              <w:left w:w="90" w:type="dxa"/>
              <w:bottom w:w="90" w:type="dxa"/>
              <w:right w:w="90" w:type="dxa"/>
            </w:tcMar>
          </w:tcPr>
          <w:p w:rsidR="00E133AB" w:rsidRPr="0099428A" w:rsidRDefault="00E133AB" w:rsidP="000336A9">
            <w:pPr>
              <w:numPr>
                <w:ilvl w:val="0"/>
                <w:numId w:val="2"/>
              </w:numPr>
              <w:suppressAutoHyphens/>
              <w:autoSpaceDE w:val="0"/>
              <w:autoSpaceDN w:val="0"/>
              <w:adjustRightInd w:val="0"/>
              <w:spacing w:after="200" w:line="276" w:lineRule="auto"/>
              <w:textAlignment w:val="center"/>
              <w:rPr>
                <w:color w:val="000000"/>
                <w:sz w:val="20"/>
                <w:szCs w:val="20"/>
              </w:rPr>
            </w:pPr>
          </w:p>
        </w:tc>
        <w:tc>
          <w:tcPr>
            <w:tcW w:w="493" w:type="pct"/>
            <w:vMerge/>
            <w:shd w:val="clear" w:color="auto" w:fill="auto"/>
            <w:tcMar>
              <w:top w:w="90" w:type="dxa"/>
              <w:left w:w="90" w:type="dxa"/>
              <w:bottom w:w="90" w:type="dxa"/>
              <w:right w:w="90" w:type="dxa"/>
            </w:tcMar>
          </w:tcPr>
          <w:p w:rsidR="00E133AB" w:rsidRPr="0099428A" w:rsidRDefault="00E133AB" w:rsidP="000336A9">
            <w:pPr>
              <w:autoSpaceDE w:val="0"/>
              <w:autoSpaceDN w:val="0"/>
              <w:adjustRightInd w:val="0"/>
              <w:spacing w:line="288" w:lineRule="auto"/>
              <w:textAlignment w:val="center"/>
              <w:rPr>
                <w:color w:val="000000"/>
                <w:sz w:val="20"/>
                <w:szCs w:val="20"/>
              </w:rPr>
            </w:pPr>
          </w:p>
        </w:tc>
      </w:tr>
      <w:tr w:rsidR="00E133AB" w:rsidRPr="0099428A" w:rsidTr="00E133AB">
        <w:trPr>
          <w:trHeight w:val="638"/>
          <w:jc w:val="center"/>
        </w:trPr>
        <w:tc>
          <w:tcPr>
            <w:tcW w:w="1707" w:type="pct"/>
            <w:vMerge/>
            <w:shd w:val="clear" w:color="auto" w:fill="auto"/>
            <w:tcMar>
              <w:top w:w="90" w:type="dxa"/>
              <w:left w:w="90" w:type="dxa"/>
              <w:bottom w:w="90" w:type="dxa"/>
              <w:right w:w="90" w:type="dxa"/>
            </w:tcMar>
          </w:tcPr>
          <w:p w:rsidR="00E133AB" w:rsidRPr="0099428A" w:rsidRDefault="00E133AB" w:rsidP="000336A9">
            <w:pPr>
              <w:numPr>
                <w:ilvl w:val="0"/>
                <w:numId w:val="2"/>
              </w:numPr>
              <w:suppressAutoHyphens/>
              <w:autoSpaceDE w:val="0"/>
              <w:autoSpaceDN w:val="0"/>
              <w:adjustRightInd w:val="0"/>
              <w:spacing w:after="200" w:line="276" w:lineRule="auto"/>
              <w:textAlignment w:val="center"/>
              <w:rPr>
                <w:color w:val="000000"/>
                <w:sz w:val="20"/>
                <w:szCs w:val="20"/>
              </w:rPr>
            </w:pPr>
          </w:p>
        </w:tc>
        <w:tc>
          <w:tcPr>
            <w:tcW w:w="656" w:type="pct"/>
            <w:shd w:val="clear" w:color="auto" w:fill="auto"/>
            <w:tcMar>
              <w:top w:w="90" w:type="dxa"/>
              <w:left w:w="90" w:type="dxa"/>
              <w:bottom w:w="90" w:type="dxa"/>
              <w:right w:w="90" w:type="dxa"/>
            </w:tcMar>
          </w:tcPr>
          <w:p w:rsidR="00E133AB" w:rsidRPr="0099428A" w:rsidRDefault="00E133AB" w:rsidP="000336A9">
            <w:pPr>
              <w:suppressAutoHyphens/>
              <w:autoSpaceDE w:val="0"/>
              <w:autoSpaceDN w:val="0"/>
              <w:adjustRightInd w:val="0"/>
              <w:jc w:val="center"/>
              <w:textAlignment w:val="center"/>
              <w:rPr>
                <w:color w:val="000000"/>
                <w:sz w:val="20"/>
                <w:szCs w:val="20"/>
              </w:rPr>
            </w:pPr>
            <w:r w:rsidRPr="0099428A">
              <w:rPr>
                <w:color w:val="000000"/>
                <w:sz w:val="20"/>
                <w:szCs w:val="20"/>
              </w:rPr>
              <w:t>Voter</w:t>
            </w:r>
          </w:p>
        </w:tc>
        <w:tc>
          <w:tcPr>
            <w:tcW w:w="568" w:type="pct"/>
            <w:shd w:val="clear" w:color="auto" w:fill="auto"/>
          </w:tcPr>
          <w:p w:rsidR="00E133AB" w:rsidRPr="0099428A" w:rsidRDefault="00E133AB" w:rsidP="000336A9">
            <w:pPr>
              <w:suppressAutoHyphens/>
              <w:autoSpaceDE w:val="0"/>
              <w:autoSpaceDN w:val="0"/>
              <w:adjustRightInd w:val="0"/>
              <w:jc w:val="center"/>
              <w:textAlignment w:val="center"/>
              <w:rPr>
                <w:color w:val="000000"/>
                <w:sz w:val="20"/>
                <w:szCs w:val="20"/>
              </w:rPr>
            </w:pPr>
          </w:p>
        </w:tc>
        <w:tc>
          <w:tcPr>
            <w:tcW w:w="1576" w:type="pct"/>
            <w:vMerge/>
            <w:shd w:val="clear" w:color="auto" w:fill="auto"/>
            <w:tcMar>
              <w:top w:w="90" w:type="dxa"/>
              <w:left w:w="90" w:type="dxa"/>
              <w:bottom w:w="90" w:type="dxa"/>
              <w:right w:w="90" w:type="dxa"/>
            </w:tcMar>
          </w:tcPr>
          <w:p w:rsidR="00E133AB" w:rsidRPr="0099428A" w:rsidRDefault="00E133AB" w:rsidP="000336A9">
            <w:pPr>
              <w:numPr>
                <w:ilvl w:val="0"/>
                <w:numId w:val="2"/>
              </w:numPr>
              <w:suppressAutoHyphens/>
              <w:autoSpaceDE w:val="0"/>
              <w:autoSpaceDN w:val="0"/>
              <w:adjustRightInd w:val="0"/>
              <w:spacing w:after="200" w:line="276" w:lineRule="auto"/>
              <w:textAlignment w:val="center"/>
              <w:rPr>
                <w:color w:val="000000"/>
                <w:sz w:val="20"/>
                <w:szCs w:val="20"/>
              </w:rPr>
            </w:pPr>
          </w:p>
        </w:tc>
        <w:tc>
          <w:tcPr>
            <w:tcW w:w="493" w:type="pct"/>
            <w:vMerge/>
            <w:shd w:val="clear" w:color="auto" w:fill="auto"/>
            <w:tcMar>
              <w:top w:w="90" w:type="dxa"/>
              <w:left w:w="90" w:type="dxa"/>
              <w:bottom w:w="90" w:type="dxa"/>
              <w:right w:w="90" w:type="dxa"/>
            </w:tcMar>
          </w:tcPr>
          <w:p w:rsidR="00E133AB" w:rsidRPr="0099428A" w:rsidRDefault="00E133AB" w:rsidP="000336A9">
            <w:pPr>
              <w:autoSpaceDE w:val="0"/>
              <w:autoSpaceDN w:val="0"/>
              <w:adjustRightInd w:val="0"/>
              <w:spacing w:line="288" w:lineRule="auto"/>
              <w:textAlignment w:val="center"/>
              <w:rPr>
                <w:color w:val="000000"/>
                <w:sz w:val="20"/>
                <w:szCs w:val="20"/>
              </w:rPr>
            </w:pPr>
          </w:p>
        </w:tc>
      </w:tr>
      <w:tr w:rsidR="00E133AB" w:rsidRPr="0099428A" w:rsidTr="00E133AB">
        <w:trPr>
          <w:trHeight w:val="476"/>
          <w:jc w:val="center"/>
        </w:trPr>
        <w:tc>
          <w:tcPr>
            <w:tcW w:w="5000" w:type="pct"/>
            <w:gridSpan w:val="5"/>
            <w:shd w:val="clear" w:color="F37174" w:fill="CCC0D9" w:themeFill="accent4" w:themeFillTint="66"/>
            <w:tcMar>
              <w:top w:w="0" w:type="dxa"/>
              <w:left w:w="0" w:type="dxa"/>
              <w:bottom w:w="0" w:type="dxa"/>
              <w:right w:w="0" w:type="dxa"/>
            </w:tcMar>
            <w:vAlign w:val="center"/>
          </w:tcPr>
          <w:p w:rsidR="00E133AB" w:rsidRPr="0099428A" w:rsidRDefault="00E133AB" w:rsidP="000336A9">
            <w:pPr>
              <w:suppressAutoHyphens/>
              <w:autoSpaceDE w:val="0"/>
              <w:autoSpaceDN w:val="0"/>
              <w:adjustRightInd w:val="0"/>
              <w:textAlignment w:val="center"/>
              <w:rPr>
                <w:b/>
                <w:bCs/>
                <w:color w:val="000000"/>
                <w:sz w:val="20"/>
                <w:szCs w:val="20"/>
              </w:rPr>
            </w:pPr>
            <w:r w:rsidRPr="0099428A">
              <w:rPr>
                <w:b/>
                <w:bCs/>
                <w:color w:val="000000"/>
                <w:sz w:val="20"/>
                <w:szCs w:val="20"/>
              </w:rPr>
              <w:t xml:space="preserve"> Action Step #2:  Provide Adequate Oversight for Plan Implementation</w:t>
            </w:r>
          </w:p>
        </w:tc>
      </w:tr>
      <w:tr w:rsidR="00E133AB" w:rsidRPr="0099428A" w:rsidTr="00E133AB">
        <w:trPr>
          <w:trHeight w:val="530"/>
          <w:jc w:val="center"/>
        </w:trPr>
        <w:tc>
          <w:tcPr>
            <w:tcW w:w="1707" w:type="pct"/>
            <w:shd w:val="clear" w:color="F37174" w:fill="CCC0D9" w:themeFill="accent4" w:themeFillTint="66"/>
            <w:tcMar>
              <w:top w:w="0" w:type="dxa"/>
              <w:left w:w="0" w:type="dxa"/>
              <w:bottom w:w="0" w:type="dxa"/>
              <w:right w:w="0" w:type="dxa"/>
            </w:tcMar>
            <w:vAlign w:val="center"/>
          </w:tcPr>
          <w:p w:rsidR="00E133AB" w:rsidRPr="0099428A" w:rsidRDefault="00E133AB" w:rsidP="000336A9">
            <w:pPr>
              <w:suppressAutoHyphens/>
              <w:autoSpaceDE w:val="0"/>
              <w:autoSpaceDN w:val="0"/>
              <w:adjustRightInd w:val="0"/>
              <w:jc w:val="center"/>
              <w:textAlignment w:val="center"/>
              <w:rPr>
                <w:b/>
                <w:bCs/>
                <w:color w:val="000000"/>
                <w:sz w:val="20"/>
                <w:szCs w:val="20"/>
              </w:rPr>
            </w:pPr>
            <w:r w:rsidRPr="0099428A">
              <w:rPr>
                <w:b/>
                <w:bCs/>
                <w:color w:val="000000"/>
                <w:sz w:val="20"/>
                <w:szCs w:val="20"/>
              </w:rPr>
              <w:t>Tasks</w:t>
            </w:r>
          </w:p>
        </w:tc>
        <w:tc>
          <w:tcPr>
            <w:tcW w:w="1223" w:type="pct"/>
            <w:gridSpan w:val="2"/>
            <w:shd w:val="clear" w:color="F37174" w:fill="CCC0D9" w:themeFill="accent4" w:themeFillTint="66"/>
            <w:tcMar>
              <w:top w:w="0" w:type="dxa"/>
              <w:left w:w="0" w:type="dxa"/>
              <w:bottom w:w="0" w:type="dxa"/>
              <w:right w:w="0" w:type="dxa"/>
            </w:tcMar>
            <w:vAlign w:val="center"/>
          </w:tcPr>
          <w:p w:rsidR="00E133AB" w:rsidRPr="0099428A" w:rsidRDefault="00E133AB" w:rsidP="000336A9">
            <w:pPr>
              <w:suppressAutoHyphens/>
              <w:autoSpaceDE w:val="0"/>
              <w:autoSpaceDN w:val="0"/>
              <w:adjustRightInd w:val="0"/>
              <w:jc w:val="center"/>
              <w:textAlignment w:val="center"/>
              <w:rPr>
                <w:b/>
                <w:bCs/>
                <w:color w:val="000000"/>
                <w:sz w:val="20"/>
                <w:szCs w:val="20"/>
              </w:rPr>
            </w:pPr>
            <w:r w:rsidRPr="0099428A">
              <w:rPr>
                <w:b/>
                <w:bCs/>
                <w:color w:val="000000"/>
                <w:sz w:val="20"/>
                <w:szCs w:val="20"/>
              </w:rPr>
              <w:t>Required Approvals</w:t>
            </w:r>
          </w:p>
        </w:tc>
        <w:tc>
          <w:tcPr>
            <w:tcW w:w="1576" w:type="pct"/>
            <w:shd w:val="clear" w:color="F37174" w:fill="CCC0D9" w:themeFill="accent4" w:themeFillTint="66"/>
            <w:tcMar>
              <w:top w:w="0" w:type="dxa"/>
              <w:left w:w="0" w:type="dxa"/>
              <w:bottom w:w="0" w:type="dxa"/>
              <w:right w:w="0" w:type="dxa"/>
            </w:tcMar>
            <w:vAlign w:val="center"/>
          </w:tcPr>
          <w:p w:rsidR="00E133AB" w:rsidRPr="0099428A" w:rsidRDefault="00E133AB" w:rsidP="000336A9">
            <w:pPr>
              <w:suppressAutoHyphens/>
              <w:autoSpaceDE w:val="0"/>
              <w:autoSpaceDN w:val="0"/>
              <w:adjustRightInd w:val="0"/>
              <w:jc w:val="center"/>
              <w:textAlignment w:val="center"/>
              <w:rPr>
                <w:b/>
                <w:bCs/>
                <w:color w:val="000000"/>
                <w:sz w:val="20"/>
                <w:szCs w:val="20"/>
              </w:rPr>
            </w:pPr>
            <w:r w:rsidRPr="0099428A">
              <w:rPr>
                <w:b/>
                <w:bCs/>
                <w:color w:val="000000"/>
                <w:sz w:val="20"/>
                <w:szCs w:val="20"/>
              </w:rPr>
              <w:t>Measurable Outcome(s)</w:t>
            </w:r>
          </w:p>
        </w:tc>
        <w:tc>
          <w:tcPr>
            <w:tcW w:w="493" w:type="pct"/>
            <w:shd w:val="clear" w:color="F37174" w:fill="CCC0D9" w:themeFill="accent4" w:themeFillTint="66"/>
            <w:tcMar>
              <w:top w:w="0" w:type="dxa"/>
              <w:left w:w="0" w:type="dxa"/>
              <w:bottom w:w="0" w:type="dxa"/>
              <w:right w:w="0" w:type="dxa"/>
            </w:tcMar>
            <w:vAlign w:val="center"/>
          </w:tcPr>
          <w:p w:rsidR="00E133AB" w:rsidRPr="0099428A" w:rsidRDefault="00E133AB" w:rsidP="000336A9">
            <w:pPr>
              <w:suppressAutoHyphens/>
              <w:autoSpaceDE w:val="0"/>
              <w:autoSpaceDN w:val="0"/>
              <w:adjustRightInd w:val="0"/>
              <w:jc w:val="center"/>
              <w:textAlignment w:val="center"/>
              <w:rPr>
                <w:b/>
                <w:bCs/>
                <w:color w:val="000000"/>
                <w:sz w:val="20"/>
                <w:szCs w:val="20"/>
                <w:u w:color="000000"/>
              </w:rPr>
            </w:pPr>
            <w:r w:rsidRPr="0099428A">
              <w:rPr>
                <w:b/>
                <w:bCs/>
                <w:color w:val="000000"/>
                <w:sz w:val="20"/>
                <w:szCs w:val="20"/>
                <w:u w:color="000000"/>
              </w:rPr>
              <w:t>Target Completion Date(s)</w:t>
            </w:r>
          </w:p>
        </w:tc>
      </w:tr>
      <w:tr w:rsidR="00E133AB" w:rsidRPr="0099428A" w:rsidTr="00E133AB">
        <w:trPr>
          <w:trHeight w:val="566"/>
          <w:jc w:val="center"/>
        </w:trPr>
        <w:tc>
          <w:tcPr>
            <w:tcW w:w="1707" w:type="pct"/>
            <w:vMerge w:val="restart"/>
            <w:shd w:val="clear" w:color="auto" w:fill="auto"/>
            <w:tcMar>
              <w:top w:w="90" w:type="dxa"/>
              <w:left w:w="90" w:type="dxa"/>
              <w:bottom w:w="90" w:type="dxa"/>
              <w:right w:w="90" w:type="dxa"/>
            </w:tcMar>
          </w:tcPr>
          <w:p w:rsidR="00E133AB" w:rsidRPr="0099428A" w:rsidRDefault="00E133AB" w:rsidP="000336A9">
            <w:pPr>
              <w:numPr>
                <w:ilvl w:val="0"/>
                <w:numId w:val="3"/>
              </w:numPr>
              <w:suppressAutoHyphens/>
              <w:autoSpaceDE w:val="0"/>
              <w:autoSpaceDN w:val="0"/>
              <w:adjustRightInd w:val="0"/>
              <w:spacing w:after="200" w:line="276" w:lineRule="auto"/>
              <w:textAlignment w:val="center"/>
              <w:rPr>
                <w:color w:val="000000"/>
                <w:sz w:val="20"/>
                <w:szCs w:val="20"/>
              </w:rPr>
            </w:pPr>
            <w:r w:rsidRPr="0099428A">
              <w:rPr>
                <w:color w:val="000000"/>
                <w:sz w:val="20"/>
                <w:szCs w:val="20"/>
              </w:rPr>
              <w:t>Annotate work plan on a regular basis, not less than quarterly, to reflect any assignments for implementation of strategies, action steps and tasks.</w:t>
            </w:r>
          </w:p>
        </w:tc>
        <w:tc>
          <w:tcPr>
            <w:tcW w:w="655" w:type="pct"/>
            <w:shd w:val="clear" w:color="auto" w:fill="auto"/>
            <w:tcMar>
              <w:top w:w="90" w:type="dxa"/>
              <w:left w:w="90" w:type="dxa"/>
              <w:bottom w:w="90" w:type="dxa"/>
              <w:right w:w="90" w:type="dxa"/>
            </w:tcMar>
          </w:tcPr>
          <w:p w:rsidR="00E133AB" w:rsidRPr="0099428A" w:rsidRDefault="00E133AB" w:rsidP="000336A9">
            <w:pPr>
              <w:suppressAutoHyphens/>
              <w:autoSpaceDE w:val="0"/>
              <w:autoSpaceDN w:val="0"/>
              <w:adjustRightInd w:val="0"/>
              <w:jc w:val="center"/>
              <w:textAlignment w:val="center"/>
              <w:rPr>
                <w:color w:val="000000"/>
                <w:sz w:val="20"/>
                <w:szCs w:val="20"/>
              </w:rPr>
            </w:pPr>
            <w:r w:rsidRPr="0099428A">
              <w:rPr>
                <w:color w:val="000000"/>
                <w:sz w:val="20"/>
                <w:szCs w:val="20"/>
              </w:rPr>
              <w:t>Local</w:t>
            </w:r>
          </w:p>
        </w:tc>
        <w:tc>
          <w:tcPr>
            <w:tcW w:w="568" w:type="pct"/>
            <w:shd w:val="clear" w:color="auto" w:fill="auto"/>
          </w:tcPr>
          <w:p w:rsidR="00E133AB" w:rsidRPr="0099428A" w:rsidRDefault="00E133AB" w:rsidP="000336A9">
            <w:pPr>
              <w:suppressAutoHyphens/>
              <w:autoSpaceDE w:val="0"/>
              <w:autoSpaceDN w:val="0"/>
              <w:adjustRightInd w:val="0"/>
              <w:jc w:val="center"/>
              <w:textAlignment w:val="center"/>
              <w:rPr>
                <w:color w:val="000000"/>
                <w:sz w:val="20"/>
                <w:szCs w:val="20"/>
              </w:rPr>
            </w:pPr>
            <w:r>
              <w:rPr>
                <w:color w:val="000000"/>
                <w:sz w:val="20"/>
                <w:szCs w:val="20"/>
              </w:rPr>
              <w:t>X</w:t>
            </w:r>
          </w:p>
        </w:tc>
        <w:tc>
          <w:tcPr>
            <w:tcW w:w="1576" w:type="pct"/>
            <w:vMerge w:val="restart"/>
            <w:shd w:val="clear" w:color="auto" w:fill="auto"/>
            <w:tcMar>
              <w:top w:w="90" w:type="dxa"/>
              <w:left w:w="90" w:type="dxa"/>
              <w:bottom w:w="90" w:type="dxa"/>
              <w:right w:w="90" w:type="dxa"/>
            </w:tcMar>
          </w:tcPr>
          <w:p w:rsidR="00E133AB" w:rsidRPr="0099428A" w:rsidRDefault="00E133AB" w:rsidP="000336A9">
            <w:pPr>
              <w:numPr>
                <w:ilvl w:val="0"/>
                <w:numId w:val="3"/>
              </w:numPr>
              <w:suppressAutoHyphens/>
              <w:autoSpaceDE w:val="0"/>
              <w:autoSpaceDN w:val="0"/>
              <w:adjustRightInd w:val="0"/>
              <w:spacing w:after="200" w:line="276" w:lineRule="auto"/>
              <w:textAlignment w:val="center"/>
              <w:rPr>
                <w:color w:val="000000"/>
                <w:sz w:val="20"/>
                <w:szCs w:val="20"/>
              </w:rPr>
            </w:pPr>
            <w:r w:rsidRPr="0099428A">
              <w:rPr>
                <w:color w:val="000000"/>
                <w:sz w:val="20"/>
                <w:szCs w:val="20"/>
              </w:rPr>
              <w:t>Updated and annotated plan is available to future governing entity members</w:t>
            </w:r>
            <w:r>
              <w:rPr>
                <w:color w:val="000000"/>
                <w:sz w:val="20"/>
                <w:szCs w:val="20"/>
              </w:rPr>
              <w:t>.</w:t>
            </w:r>
          </w:p>
        </w:tc>
        <w:tc>
          <w:tcPr>
            <w:tcW w:w="493" w:type="pct"/>
            <w:vMerge w:val="restart"/>
            <w:shd w:val="clear" w:color="auto" w:fill="auto"/>
            <w:tcMar>
              <w:top w:w="90" w:type="dxa"/>
              <w:left w:w="90" w:type="dxa"/>
              <w:bottom w:w="90" w:type="dxa"/>
              <w:right w:w="90" w:type="dxa"/>
            </w:tcMar>
          </w:tcPr>
          <w:p w:rsidR="00E133AB" w:rsidRPr="0099428A" w:rsidRDefault="00E133AB" w:rsidP="000336A9">
            <w:pPr>
              <w:suppressAutoHyphens/>
              <w:autoSpaceDE w:val="0"/>
              <w:autoSpaceDN w:val="0"/>
              <w:adjustRightInd w:val="0"/>
              <w:jc w:val="center"/>
              <w:textAlignment w:val="center"/>
              <w:rPr>
                <w:color w:val="000000"/>
                <w:sz w:val="20"/>
                <w:szCs w:val="20"/>
              </w:rPr>
            </w:pPr>
          </w:p>
        </w:tc>
      </w:tr>
      <w:tr w:rsidR="00E133AB" w:rsidRPr="0099428A" w:rsidTr="00E133AB">
        <w:trPr>
          <w:trHeight w:val="710"/>
          <w:jc w:val="center"/>
        </w:trPr>
        <w:tc>
          <w:tcPr>
            <w:tcW w:w="1707" w:type="pct"/>
            <w:vMerge/>
            <w:shd w:val="clear" w:color="auto" w:fill="auto"/>
            <w:tcMar>
              <w:top w:w="90" w:type="dxa"/>
              <w:left w:w="90" w:type="dxa"/>
              <w:bottom w:w="90" w:type="dxa"/>
              <w:right w:w="90" w:type="dxa"/>
            </w:tcMar>
          </w:tcPr>
          <w:p w:rsidR="00E133AB" w:rsidRPr="0099428A" w:rsidRDefault="00E133AB" w:rsidP="000336A9">
            <w:pPr>
              <w:numPr>
                <w:ilvl w:val="0"/>
                <w:numId w:val="3"/>
              </w:numPr>
              <w:suppressAutoHyphens/>
              <w:autoSpaceDE w:val="0"/>
              <w:autoSpaceDN w:val="0"/>
              <w:adjustRightInd w:val="0"/>
              <w:spacing w:after="200" w:line="276" w:lineRule="auto"/>
              <w:textAlignment w:val="center"/>
              <w:rPr>
                <w:color w:val="000000"/>
                <w:sz w:val="20"/>
                <w:szCs w:val="20"/>
              </w:rPr>
            </w:pPr>
          </w:p>
        </w:tc>
        <w:tc>
          <w:tcPr>
            <w:tcW w:w="655" w:type="pct"/>
            <w:shd w:val="clear" w:color="auto" w:fill="auto"/>
            <w:tcMar>
              <w:top w:w="90" w:type="dxa"/>
              <w:left w:w="90" w:type="dxa"/>
              <w:bottom w:w="90" w:type="dxa"/>
              <w:right w:w="90" w:type="dxa"/>
            </w:tcMar>
          </w:tcPr>
          <w:p w:rsidR="00E133AB" w:rsidRPr="0099428A" w:rsidRDefault="00E133AB" w:rsidP="000336A9">
            <w:pPr>
              <w:suppressAutoHyphens/>
              <w:autoSpaceDE w:val="0"/>
              <w:autoSpaceDN w:val="0"/>
              <w:adjustRightInd w:val="0"/>
              <w:jc w:val="center"/>
              <w:textAlignment w:val="center"/>
              <w:rPr>
                <w:color w:val="000000"/>
                <w:sz w:val="20"/>
                <w:szCs w:val="20"/>
              </w:rPr>
            </w:pPr>
            <w:r w:rsidRPr="0099428A">
              <w:rPr>
                <w:color w:val="000000"/>
                <w:sz w:val="20"/>
                <w:szCs w:val="20"/>
              </w:rPr>
              <w:t>State</w:t>
            </w:r>
          </w:p>
        </w:tc>
        <w:tc>
          <w:tcPr>
            <w:tcW w:w="568" w:type="pct"/>
            <w:shd w:val="clear" w:color="auto" w:fill="auto"/>
          </w:tcPr>
          <w:p w:rsidR="00E133AB" w:rsidRPr="0099428A" w:rsidRDefault="00E133AB" w:rsidP="000336A9">
            <w:pPr>
              <w:suppressAutoHyphens/>
              <w:autoSpaceDE w:val="0"/>
              <w:autoSpaceDN w:val="0"/>
              <w:adjustRightInd w:val="0"/>
              <w:jc w:val="center"/>
              <w:textAlignment w:val="center"/>
              <w:rPr>
                <w:color w:val="000000"/>
                <w:sz w:val="20"/>
                <w:szCs w:val="20"/>
              </w:rPr>
            </w:pPr>
          </w:p>
        </w:tc>
        <w:tc>
          <w:tcPr>
            <w:tcW w:w="1576" w:type="pct"/>
            <w:vMerge/>
            <w:shd w:val="clear" w:color="auto" w:fill="auto"/>
            <w:tcMar>
              <w:top w:w="90" w:type="dxa"/>
              <w:left w:w="90" w:type="dxa"/>
              <w:bottom w:w="90" w:type="dxa"/>
              <w:right w:w="90" w:type="dxa"/>
            </w:tcMar>
          </w:tcPr>
          <w:p w:rsidR="00E133AB" w:rsidRPr="0099428A" w:rsidRDefault="00E133AB" w:rsidP="000336A9">
            <w:pPr>
              <w:numPr>
                <w:ilvl w:val="0"/>
                <w:numId w:val="3"/>
              </w:numPr>
              <w:suppressAutoHyphens/>
              <w:autoSpaceDE w:val="0"/>
              <w:autoSpaceDN w:val="0"/>
              <w:adjustRightInd w:val="0"/>
              <w:spacing w:after="200" w:line="276" w:lineRule="auto"/>
              <w:textAlignment w:val="center"/>
              <w:rPr>
                <w:color w:val="000000"/>
                <w:sz w:val="20"/>
                <w:szCs w:val="20"/>
              </w:rPr>
            </w:pPr>
          </w:p>
        </w:tc>
        <w:tc>
          <w:tcPr>
            <w:tcW w:w="493" w:type="pct"/>
            <w:vMerge/>
            <w:shd w:val="clear" w:color="auto" w:fill="auto"/>
            <w:tcMar>
              <w:top w:w="90" w:type="dxa"/>
              <w:left w:w="90" w:type="dxa"/>
              <w:bottom w:w="90" w:type="dxa"/>
              <w:right w:w="90" w:type="dxa"/>
            </w:tcMar>
          </w:tcPr>
          <w:p w:rsidR="00E133AB" w:rsidRPr="0099428A" w:rsidRDefault="00E133AB" w:rsidP="000336A9">
            <w:pPr>
              <w:suppressAutoHyphens/>
              <w:autoSpaceDE w:val="0"/>
              <w:autoSpaceDN w:val="0"/>
              <w:adjustRightInd w:val="0"/>
              <w:jc w:val="center"/>
              <w:textAlignment w:val="center"/>
              <w:rPr>
                <w:color w:val="000000"/>
                <w:sz w:val="20"/>
                <w:szCs w:val="20"/>
              </w:rPr>
            </w:pPr>
          </w:p>
        </w:tc>
      </w:tr>
      <w:tr w:rsidR="00E133AB" w:rsidRPr="0099428A" w:rsidTr="00E133AB">
        <w:trPr>
          <w:trHeight w:val="620"/>
          <w:jc w:val="center"/>
        </w:trPr>
        <w:tc>
          <w:tcPr>
            <w:tcW w:w="1707" w:type="pct"/>
            <w:vMerge/>
            <w:shd w:val="clear" w:color="auto" w:fill="auto"/>
            <w:tcMar>
              <w:top w:w="90" w:type="dxa"/>
              <w:left w:w="90" w:type="dxa"/>
              <w:bottom w:w="90" w:type="dxa"/>
              <w:right w:w="90" w:type="dxa"/>
            </w:tcMar>
          </w:tcPr>
          <w:p w:rsidR="00E133AB" w:rsidRPr="0099428A" w:rsidRDefault="00E133AB" w:rsidP="000336A9">
            <w:pPr>
              <w:numPr>
                <w:ilvl w:val="0"/>
                <w:numId w:val="3"/>
              </w:numPr>
              <w:suppressAutoHyphens/>
              <w:autoSpaceDE w:val="0"/>
              <w:autoSpaceDN w:val="0"/>
              <w:adjustRightInd w:val="0"/>
              <w:spacing w:after="200" w:line="276" w:lineRule="auto"/>
              <w:textAlignment w:val="center"/>
              <w:rPr>
                <w:color w:val="000000"/>
                <w:sz w:val="20"/>
                <w:szCs w:val="20"/>
              </w:rPr>
            </w:pPr>
          </w:p>
        </w:tc>
        <w:tc>
          <w:tcPr>
            <w:tcW w:w="655" w:type="pct"/>
            <w:shd w:val="clear" w:color="auto" w:fill="auto"/>
            <w:tcMar>
              <w:top w:w="90" w:type="dxa"/>
              <w:left w:w="90" w:type="dxa"/>
              <w:bottom w:w="90" w:type="dxa"/>
              <w:right w:w="90" w:type="dxa"/>
            </w:tcMar>
          </w:tcPr>
          <w:p w:rsidR="00E133AB" w:rsidRPr="0099428A" w:rsidRDefault="00E133AB" w:rsidP="000336A9">
            <w:pPr>
              <w:suppressAutoHyphens/>
              <w:autoSpaceDE w:val="0"/>
              <w:autoSpaceDN w:val="0"/>
              <w:adjustRightInd w:val="0"/>
              <w:jc w:val="center"/>
              <w:textAlignment w:val="center"/>
              <w:rPr>
                <w:color w:val="000000"/>
                <w:sz w:val="20"/>
                <w:szCs w:val="20"/>
              </w:rPr>
            </w:pPr>
            <w:r w:rsidRPr="0099428A">
              <w:rPr>
                <w:color w:val="000000"/>
                <w:sz w:val="20"/>
                <w:szCs w:val="20"/>
              </w:rPr>
              <w:t>Voter</w:t>
            </w:r>
          </w:p>
        </w:tc>
        <w:tc>
          <w:tcPr>
            <w:tcW w:w="568" w:type="pct"/>
            <w:shd w:val="clear" w:color="auto" w:fill="auto"/>
          </w:tcPr>
          <w:p w:rsidR="00E133AB" w:rsidRPr="0099428A" w:rsidRDefault="00E133AB" w:rsidP="000336A9">
            <w:pPr>
              <w:suppressAutoHyphens/>
              <w:autoSpaceDE w:val="0"/>
              <w:autoSpaceDN w:val="0"/>
              <w:adjustRightInd w:val="0"/>
              <w:jc w:val="center"/>
              <w:textAlignment w:val="center"/>
              <w:rPr>
                <w:color w:val="000000"/>
                <w:sz w:val="20"/>
                <w:szCs w:val="20"/>
              </w:rPr>
            </w:pPr>
          </w:p>
        </w:tc>
        <w:tc>
          <w:tcPr>
            <w:tcW w:w="1576" w:type="pct"/>
            <w:vMerge/>
            <w:shd w:val="clear" w:color="auto" w:fill="auto"/>
            <w:tcMar>
              <w:top w:w="90" w:type="dxa"/>
              <w:left w:w="90" w:type="dxa"/>
              <w:bottom w:w="90" w:type="dxa"/>
              <w:right w:w="90" w:type="dxa"/>
            </w:tcMar>
          </w:tcPr>
          <w:p w:rsidR="00E133AB" w:rsidRPr="0099428A" w:rsidRDefault="00E133AB" w:rsidP="000336A9">
            <w:pPr>
              <w:numPr>
                <w:ilvl w:val="0"/>
                <w:numId w:val="3"/>
              </w:numPr>
              <w:suppressAutoHyphens/>
              <w:autoSpaceDE w:val="0"/>
              <w:autoSpaceDN w:val="0"/>
              <w:adjustRightInd w:val="0"/>
              <w:spacing w:after="200" w:line="276" w:lineRule="auto"/>
              <w:textAlignment w:val="center"/>
              <w:rPr>
                <w:color w:val="000000"/>
                <w:sz w:val="20"/>
                <w:szCs w:val="20"/>
              </w:rPr>
            </w:pPr>
          </w:p>
        </w:tc>
        <w:tc>
          <w:tcPr>
            <w:tcW w:w="493" w:type="pct"/>
            <w:vMerge/>
            <w:shd w:val="clear" w:color="auto" w:fill="auto"/>
            <w:tcMar>
              <w:top w:w="90" w:type="dxa"/>
              <w:left w:w="90" w:type="dxa"/>
              <w:bottom w:w="90" w:type="dxa"/>
              <w:right w:w="90" w:type="dxa"/>
            </w:tcMar>
          </w:tcPr>
          <w:p w:rsidR="00E133AB" w:rsidRPr="0099428A" w:rsidRDefault="00E133AB" w:rsidP="000336A9">
            <w:pPr>
              <w:suppressAutoHyphens/>
              <w:autoSpaceDE w:val="0"/>
              <w:autoSpaceDN w:val="0"/>
              <w:adjustRightInd w:val="0"/>
              <w:jc w:val="center"/>
              <w:textAlignment w:val="center"/>
              <w:rPr>
                <w:color w:val="000000"/>
                <w:sz w:val="20"/>
                <w:szCs w:val="20"/>
              </w:rPr>
            </w:pPr>
          </w:p>
        </w:tc>
      </w:tr>
    </w:tbl>
    <w:p w:rsidR="002B2962" w:rsidRPr="0099428A" w:rsidRDefault="002B2962" w:rsidP="002B2962">
      <w:pPr>
        <w:autoSpaceDE w:val="0"/>
        <w:autoSpaceDN w:val="0"/>
        <w:adjustRightInd w:val="0"/>
        <w:textAlignment w:val="center"/>
        <w:rPr>
          <w:color w:val="000000"/>
          <w:sz w:val="18"/>
          <w:szCs w:val="18"/>
        </w:rPr>
      </w:pPr>
    </w:p>
    <w:p w:rsidR="002B2962" w:rsidRPr="0099428A" w:rsidRDefault="002B2962" w:rsidP="002B2962">
      <w:pPr>
        <w:rPr>
          <w:color w:val="000000"/>
          <w:sz w:val="18"/>
          <w:szCs w:val="18"/>
        </w:rPr>
      </w:pPr>
    </w:p>
    <w:p w:rsidR="002B2962" w:rsidRDefault="002B2962" w:rsidP="002B2962">
      <w:pPr>
        <w:pStyle w:val="NormalParagraphStyle"/>
        <w:spacing w:line="240" w:lineRule="auto"/>
        <w:rPr>
          <w:sz w:val="18"/>
          <w:szCs w:val="18"/>
        </w:rPr>
      </w:pPr>
    </w:p>
    <w:p w:rsidR="002B2962" w:rsidRDefault="002B2962" w:rsidP="002B2962">
      <w:pPr>
        <w:pStyle w:val="NormalParagraphStyle"/>
        <w:spacing w:line="240" w:lineRule="auto"/>
        <w:rPr>
          <w:sz w:val="18"/>
          <w:szCs w:val="18"/>
        </w:rPr>
      </w:pPr>
    </w:p>
    <w:p w:rsidR="000E2AC0" w:rsidRDefault="002B2962" w:rsidP="002B2962">
      <w:pPr>
        <w:rPr>
          <w:smallCaps/>
          <w:sz w:val="28"/>
        </w:rPr>
        <w:sectPr w:rsidR="000E2AC0" w:rsidSect="000E2AC0">
          <w:pgSz w:w="12240" w:h="15840" w:code="1"/>
          <w:pgMar w:top="720" w:right="1440" w:bottom="634" w:left="1440" w:header="720" w:footer="720" w:gutter="0"/>
          <w:cols w:space="720"/>
          <w:titlePg/>
          <w:docGrid w:linePitch="360"/>
        </w:sectPr>
      </w:pPr>
      <w:r>
        <w:rPr>
          <w:smallCaps/>
          <w:sz w:val="28"/>
        </w:rPr>
        <w:br w:type="page"/>
      </w:r>
    </w:p>
    <w:p w:rsidR="002B2962" w:rsidRDefault="002B2962" w:rsidP="002B2962">
      <w:pPr>
        <w:rPr>
          <w:b/>
          <w:smallCaps/>
          <w:sz w:val="28"/>
        </w:rPr>
      </w:pPr>
    </w:p>
    <w:p w:rsidR="007A24A8" w:rsidRDefault="00CB322F" w:rsidP="00F9576E">
      <w:pPr>
        <w:pStyle w:val="TOC10"/>
      </w:pPr>
      <w:hyperlink w:anchor="Table_of_Contents" w:history="1">
        <w:bookmarkStart w:id="79" w:name="_Toc352584387"/>
        <w:bookmarkStart w:id="80" w:name="_Toc359933721"/>
        <w:r w:rsidR="00554937">
          <w:rPr>
            <w:rStyle w:val="Hyperlink"/>
          </w:rPr>
          <w:t>Appendix A</w:t>
        </w:r>
        <w:r w:rsidR="00BA3355" w:rsidRPr="00AF0984">
          <w:rPr>
            <w:rStyle w:val="Hyperlink"/>
          </w:rPr>
          <w:br/>
        </w:r>
        <w:r w:rsidR="00271566" w:rsidRPr="00AF0984">
          <w:rPr>
            <w:rStyle w:val="Hyperlink"/>
          </w:rPr>
          <w:t>Bibliography</w:t>
        </w:r>
        <w:bookmarkEnd w:id="79"/>
        <w:bookmarkEnd w:id="80"/>
      </w:hyperlink>
    </w:p>
    <w:p w:rsidR="003632AD" w:rsidRPr="00187483" w:rsidRDefault="003632AD" w:rsidP="00DE4F01">
      <w:pPr>
        <w:pStyle w:val="TODHeading2"/>
      </w:pPr>
    </w:p>
    <w:p w:rsidR="000E5B63" w:rsidRPr="005E136E" w:rsidRDefault="000E5B63" w:rsidP="004C794B">
      <w:pPr>
        <w:numPr>
          <w:ilvl w:val="0"/>
          <w:numId w:val="19"/>
        </w:numPr>
        <w:spacing w:after="240" w:line="276" w:lineRule="auto"/>
        <w:contextualSpacing/>
        <w:rPr>
          <w:rFonts w:eastAsia="Calibri"/>
          <w:sz w:val="22"/>
          <w:szCs w:val="22"/>
          <w:u w:val="single"/>
        </w:rPr>
      </w:pPr>
      <w:r w:rsidRPr="00841F8C">
        <w:rPr>
          <w:rFonts w:eastAsia="Calibri"/>
          <w:sz w:val="22"/>
          <w:szCs w:val="22"/>
        </w:rPr>
        <w:t>“</w:t>
      </w:r>
      <w:r w:rsidRPr="005E136E">
        <w:rPr>
          <w:rFonts w:eastAsia="Calibri"/>
          <w:sz w:val="22"/>
          <w:szCs w:val="22"/>
        </w:rPr>
        <w:t xml:space="preserve">Article 34: Public Housing Project Law.” California Constitution </w:t>
      </w:r>
      <w:hyperlink r:id="rId27" w:history="1">
        <w:r w:rsidR="0059485B" w:rsidRPr="005E136E">
          <w:rPr>
            <w:sz w:val="22"/>
            <w:szCs w:val="22"/>
            <w:u w:val="single"/>
          </w:rPr>
          <w:t>http://www.leginfo.ca.gov/.const/.article_34</w:t>
        </w:r>
      </w:hyperlink>
    </w:p>
    <w:p w:rsidR="0059485B" w:rsidRPr="005E136E" w:rsidRDefault="0059485B" w:rsidP="0059485B">
      <w:pPr>
        <w:spacing w:after="240"/>
        <w:ind w:left="360"/>
        <w:contextualSpacing/>
        <w:rPr>
          <w:rFonts w:eastAsia="Calibri"/>
          <w:sz w:val="22"/>
          <w:szCs w:val="22"/>
          <w:u w:val="single"/>
        </w:rPr>
      </w:pPr>
    </w:p>
    <w:p w:rsidR="00AC7CFF" w:rsidRPr="005E136E" w:rsidRDefault="00AC7CFF" w:rsidP="004C794B">
      <w:pPr>
        <w:numPr>
          <w:ilvl w:val="0"/>
          <w:numId w:val="19"/>
        </w:numPr>
        <w:spacing w:after="200" w:line="276" w:lineRule="auto"/>
        <w:contextualSpacing/>
        <w:rPr>
          <w:rFonts w:eastAsia="Calibri"/>
          <w:sz w:val="22"/>
          <w:szCs w:val="22"/>
        </w:rPr>
      </w:pPr>
      <w:r w:rsidRPr="005E136E">
        <w:rPr>
          <w:rFonts w:eastAsia="Calibri"/>
          <w:sz w:val="22"/>
          <w:szCs w:val="22"/>
        </w:rPr>
        <w:t xml:space="preserve">“2012 Affordable Housing Cost Study: Public Participation and Information.” California Department of Housing and Community Development </w:t>
      </w:r>
      <w:r w:rsidRPr="005E136E">
        <w:rPr>
          <w:sz w:val="22"/>
          <w:szCs w:val="22"/>
          <w:u w:val="single"/>
        </w:rPr>
        <w:t>http://www.hcd.ca.gov/2012_affordable_housing_cost_study.html</w:t>
      </w:r>
    </w:p>
    <w:p w:rsidR="00AC7CFF" w:rsidRPr="005E136E" w:rsidRDefault="00AC7CFF" w:rsidP="00AC7CFF">
      <w:pPr>
        <w:ind w:left="360"/>
        <w:rPr>
          <w:rFonts w:eastAsia="Calibri"/>
          <w:sz w:val="22"/>
          <w:szCs w:val="22"/>
        </w:rPr>
      </w:pPr>
    </w:p>
    <w:p w:rsidR="00271566" w:rsidRPr="005E136E" w:rsidRDefault="00271566" w:rsidP="004C794B">
      <w:pPr>
        <w:numPr>
          <w:ilvl w:val="0"/>
          <w:numId w:val="19"/>
        </w:numPr>
        <w:spacing w:after="200" w:line="276" w:lineRule="auto"/>
        <w:contextualSpacing/>
        <w:rPr>
          <w:rFonts w:eastAsia="Calibri"/>
          <w:sz w:val="22"/>
          <w:szCs w:val="22"/>
        </w:rPr>
      </w:pPr>
      <w:r w:rsidRPr="005E136E">
        <w:rPr>
          <w:rFonts w:eastAsia="Calibri"/>
          <w:sz w:val="22"/>
          <w:szCs w:val="22"/>
        </w:rPr>
        <w:t>“Housing Elements and Regional Housing Need Allocation.” California Department of Housing and Community Development</w:t>
      </w:r>
    </w:p>
    <w:p w:rsidR="00271566" w:rsidRPr="005E136E" w:rsidRDefault="00CB322F" w:rsidP="00271566">
      <w:pPr>
        <w:ind w:firstLine="720"/>
        <w:rPr>
          <w:rFonts w:eastAsia="Calibri"/>
          <w:sz w:val="22"/>
          <w:szCs w:val="22"/>
        </w:rPr>
      </w:pPr>
      <w:hyperlink r:id="rId28" w:history="1">
        <w:r w:rsidR="00271566" w:rsidRPr="005E136E">
          <w:rPr>
            <w:rFonts w:eastAsia="Calibri"/>
            <w:sz w:val="22"/>
            <w:szCs w:val="22"/>
            <w:u w:val="single"/>
          </w:rPr>
          <w:t>http://www.hcd.ca.gov/hpd/hrc/plan/he/</w:t>
        </w:r>
      </w:hyperlink>
    </w:p>
    <w:p w:rsidR="00271566" w:rsidRPr="005E136E" w:rsidRDefault="00271566" w:rsidP="00271566">
      <w:pPr>
        <w:ind w:firstLine="720"/>
        <w:rPr>
          <w:rFonts w:eastAsia="Calibri"/>
          <w:sz w:val="22"/>
          <w:szCs w:val="22"/>
        </w:rPr>
      </w:pPr>
    </w:p>
    <w:p w:rsidR="00271566" w:rsidRPr="005E136E" w:rsidRDefault="00271566" w:rsidP="004C794B">
      <w:pPr>
        <w:numPr>
          <w:ilvl w:val="0"/>
          <w:numId w:val="19"/>
        </w:numPr>
        <w:spacing w:after="200" w:line="276" w:lineRule="auto"/>
        <w:contextualSpacing/>
        <w:rPr>
          <w:rFonts w:eastAsia="Calibri"/>
          <w:sz w:val="22"/>
          <w:szCs w:val="22"/>
        </w:rPr>
      </w:pPr>
      <w:r w:rsidRPr="005E136E">
        <w:rPr>
          <w:rFonts w:eastAsia="Calibri"/>
          <w:sz w:val="22"/>
          <w:szCs w:val="22"/>
        </w:rPr>
        <w:t>“Incentives for Housing Element Compliance.” California Department of Housing and Community Development</w:t>
      </w:r>
    </w:p>
    <w:p w:rsidR="00271566" w:rsidRPr="005E136E" w:rsidRDefault="00CB322F" w:rsidP="00271566">
      <w:pPr>
        <w:ind w:firstLine="720"/>
        <w:rPr>
          <w:rFonts w:eastAsia="Calibri"/>
          <w:sz w:val="22"/>
          <w:szCs w:val="22"/>
        </w:rPr>
      </w:pPr>
      <w:hyperlink r:id="rId29" w:history="1">
        <w:r w:rsidR="00271566" w:rsidRPr="005E136E">
          <w:rPr>
            <w:rFonts w:eastAsia="Calibri"/>
            <w:sz w:val="22"/>
            <w:szCs w:val="22"/>
            <w:u w:val="single"/>
          </w:rPr>
          <w:t>http://www.hcd.ca.gov/hpd/hrc/plan/he/loan_grant_hecompl011708.pdf</w:t>
        </w:r>
      </w:hyperlink>
    </w:p>
    <w:p w:rsidR="00271566" w:rsidRPr="005E136E" w:rsidRDefault="00271566" w:rsidP="00271566">
      <w:pPr>
        <w:ind w:firstLine="720"/>
        <w:rPr>
          <w:rFonts w:eastAsia="Calibri"/>
          <w:sz w:val="22"/>
          <w:szCs w:val="22"/>
        </w:rPr>
      </w:pPr>
    </w:p>
    <w:p w:rsidR="00271566" w:rsidRPr="005E136E" w:rsidRDefault="00271566" w:rsidP="004C794B">
      <w:pPr>
        <w:numPr>
          <w:ilvl w:val="0"/>
          <w:numId w:val="19"/>
        </w:numPr>
        <w:spacing w:after="200" w:line="276" w:lineRule="auto"/>
        <w:contextualSpacing/>
        <w:rPr>
          <w:rFonts w:eastAsia="Calibri"/>
          <w:sz w:val="22"/>
          <w:szCs w:val="22"/>
        </w:rPr>
      </w:pPr>
      <w:r w:rsidRPr="005E136E">
        <w:rPr>
          <w:rFonts w:eastAsia="Calibri"/>
          <w:sz w:val="22"/>
          <w:szCs w:val="22"/>
        </w:rPr>
        <w:t>“Multifamily Housing Program (MHP) Regulations.” California Department of Housing and Community Development</w:t>
      </w:r>
    </w:p>
    <w:p w:rsidR="00271566" w:rsidRPr="005E136E" w:rsidRDefault="00CB322F" w:rsidP="00271566">
      <w:pPr>
        <w:ind w:firstLine="720"/>
        <w:rPr>
          <w:rFonts w:eastAsia="Calibri"/>
          <w:sz w:val="22"/>
          <w:szCs w:val="22"/>
        </w:rPr>
      </w:pPr>
      <w:hyperlink r:id="rId30" w:history="1">
        <w:r w:rsidR="00271566" w:rsidRPr="005E136E">
          <w:rPr>
            <w:rFonts w:eastAsia="Calibri"/>
            <w:sz w:val="22"/>
            <w:szCs w:val="22"/>
            <w:u w:val="single"/>
          </w:rPr>
          <w:t>http://www.hcd.ca.gov/fa/MHPandSHRegs5_14_05.pdf</w:t>
        </w:r>
      </w:hyperlink>
    </w:p>
    <w:p w:rsidR="00271566" w:rsidRPr="005E136E" w:rsidRDefault="00271566" w:rsidP="00271566">
      <w:pPr>
        <w:ind w:firstLine="720"/>
        <w:rPr>
          <w:rFonts w:eastAsia="Calibri"/>
          <w:sz w:val="22"/>
          <w:szCs w:val="22"/>
        </w:rPr>
      </w:pPr>
    </w:p>
    <w:p w:rsidR="00271566" w:rsidRPr="005E136E" w:rsidRDefault="00271566" w:rsidP="004C794B">
      <w:pPr>
        <w:numPr>
          <w:ilvl w:val="0"/>
          <w:numId w:val="19"/>
        </w:numPr>
        <w:spacing w:after="200" w:line="276" w:lineRule="auto"/>
        <w:contextualSpacing/>
        <w:rPr>
          <w:rFonts w:eastAsia="Calibri"/>
          <w:sz w:val="22"/>
          <w:szCs w:val="22"/>
        </w:rPr>
      </w:pPr>
      <w:r w:rsidRPr="005E136E">
        <w:rPr>
          <w:rFonts w:eastAsia="Calibri"/>
          <w:sz w:val="22"/>
          <w:szCs w:val="22"/>
        </w:rPr>
        <w:t>“The 2012-13 Budget: California Spending Plan.” Californ</w:t>
      </w:r>
      <w:r w:rsidR="00DD50E5" w:rsidRPr="005E136E">
        <w:rPr>
          <w:rFonts w:eastAsia="Calibri"/>
          <w:sz w:val="22"/>
          <w:szCs w:val="22"/>
        </w:rPr>
        <w:t>ia Legislative Analyst’s Office</w:t>
      </w:r>
    </w:p>
    <w:p w:rsidR="00271566" w:rsidRPr="005E136E" w:rsidRDefault="00CB322F" w:rsidP="00271566">
      <w:pPr>
        <w:ind w:firstLine="720"/>
        <w:rPr>
          <w:rFonts w:eastAsia="Calibri"/>
          <w:sz w:val="22"/>
          <w:szCs w:val="22"/>
        </w:rPr>
      </w:pPr>
      <w:hyperlink r:id="rId31" w:history="1">
        <w:r w:rsidR="00271566" w:rsidRPr="005E136E">
          <w:rPr>
            <w:rFonts w:eastAsia="Calibri"/>
            <w:sz w:val="22"/>
            <w:szCs w:val="22"/>
            <w:u w:val="single"/>
          </w:rPr>
          <w:t>http://www.lao.ca.gov/reports/2012/bud/spending_plan/spending-plan-091312.pdf</w:t>
        </w:r>
      </w:hyperlink>
    </w:p>
    <w:p w:rsidR="00271566" w:rsidRPr="005E136E" w:rsidRDefault="00271566" w:rsidP="00271566">
      <w:pPr>
        <w:ind w:firstLine="720"/>
        <w:rPr>
          <w:rFonts w:eastAsia="Calibri"/>
          <w:sz w:val="22"/>
          <w:szCs w:val="22"/>
        </w:rPr>
      </w:pPr>
    </w:p>
    <w:p w:rsidR="00271566" w:rsidRPr="005E136E" w:rsidRDefault="00271566" w:rsidP="004C794B">
      <w:pPr>
        <w:numPr>
          <w:ilvl w:val="0"/>
          <w:numId w:val="19"/>
        </w:numPr>
        <w:spacing w:after="200" w:line="276" w:lineRule="auto"/>
        <w:contextualSpacing/>
        <w:rPr>
          <w:rFonts w:eastAsia="Calibri"/>
          <w:sz w:val="22"/>
          <w:szCs w:val="22"/>
        </w:rPr>
      </w:pPr>
      <w:r w:rsidRPr="005E136E">
        <w:rPr>
          <w:rFonts w:eastAsia="Calibri"/>
          <w:sz w:val="22"/>
          <w:szCs w:val="22"/>
        </w:rPr>
        <w:t>“Housing Element Law.” Cal</w:t>
      </w:r>
      <w:r w:rsidR="00DD50E5" w:rsidRPr="005E136E">
        <w:rPr>
          <w:rFonts w:eastAsia="Calibri"/>
          <w:sz w:val="22"/>
          <w:szCs w:val="22"/>
        </w:rPr>
        <w:t>ifornia Legislative Information</w:t>
      </w:r>
    </w:p>
    <w:p w:rsidR="00271566" w:rsidRPr="005E136E" w:rsidRDefault="00CB322F" w:rsidP="00271566">
      <w:pPr>
        <w:ind w:left="720"/>
        <w:rPr>
          <w:rFonts w:eastAsia="Calibri"/>
          <w:sz w:val="22"/>
          <w:szCs w:val="22"/>
          <w:u w:val="single"/>
        </w:rPr>
      </w:pPr>
      <w:hyperlink r:id="rId32" w:history="1">
        <w:r w:rsidR="00271566" w:rsidRPr="005E136E">
          <w:rPr>
            <w:rFonts w:eastAsia="Calibri"/>
            <w:sz w:val="22"/>
            <w:szCs w:val="22"/>
            <w:u w:val="single"/>
          </w:rPr>
          <w:t>http://www.leginfo.ca.gov/cgi-in/displaycode?section=gov&amp;group=65001-66000&amp;file=65580-65589.8</w:t>
        </w:r>
      </w:hyperlink>
    </w:p>
    <w:p w:rsidR="00C417CB" w:rsidRPr="005E136E" w:rsidRDefault="00C417CB" w:rsidP="00271566">
      <w:pPr>
        <w:ind w:left="720"/>
        <w:rPr>
          <w:rFonts w:eastAsia="Calibri"/>
          <w:sz w:val="22"/>
          <w:szCs w:val="22"/>
          <w:u w:val="single"/>
        </w:rPr>
      </w:pPr>
    </w:p>
    <w:p w:rsidR="002227AA" w:rsidRPr="005E136E" w:rsidRDefault="002227AA" w:rsidP="004C794B">
      <w:pPr>
        <w:pStyle w:val="ListParagraph"/>
        <w:numPr>
          <w:ilvl w:val="0"/>
          <w:numId w:val="19"/>
        </w:numPr>
        <w:rPr>
          <w:rFonts w:eastAsia="Calibri"/>
        </w:rPr>
      </w:pPr>
      <w:r w:rsidRPr="005E136E">
        <w:rPr>
          <w:rFonts w:eastAsia="Calibri"/>
        </w:rPr>
        <w:t>“HUD Program Funding for FY 2012.” Center o</w:t>
      </w:r>
      <w:r w:rsidR="00DD50E5" w:rsidRPr="005E136E">
        <w:rPr>
          <w:rFonts w:eastAsia="Calibri"/>
        </w:rPr>
        <w:t xml:space="preserve">n Budget and Policy Priorities </w:t>
      </w:r>
      <w:r w:rsidRPr="005E136E">
        <w:rPr>
          <w:rFonts w:eastAsia="Calibri"/>
          <w:u w:val="single"/>
        </w:rPr>
        <w:t>http://www.cbpp.org/files/11-18-11-IPmemoHUDapprops.pdf</w:t>
      </w:r>
    </w:p>
    <w:p w:rsidR="00271566" w:rsidRPr="005E136E" w:rsidRDefault="00C417CB" w:rsidP="004C794B">
      <w:pPr>
        <w:pStyle w:val="ListParagraph"/>
        <w:numPr>
          <w:ilvl w:val="0"/>
          <w:numId w:val="19"/>
        </w:numPr>
        <w:rPr>
          <w:rFonts w:eastAsia="Calibri"/>
        </w:rPr>
      </w:pPr>
      <w:r w:rsidRPr="005E136E">
        <w:rPr>
          <w:rFonts w:eastAsia="Calibri"/>
        </w:rPr>
        <w:t>“Housing Element.”</w:t>
      </w:r>
      <w:r w:rsidR="00DD50E5" w:rsidRPr="005E136E">
        <w:rPr>
          <w:rFonts w:eastAsia="Calibri"/>
        </w:rPr>
        <w:t xml:space="preserve"> City of Napa</w:t>
      </w:r>
      <w:r w:rsidRPr="005E136E">
        <w:rPr>
          <w:rFonts w:eastAsia="Calibri"/>
        </w:rPr>
        <w:t xml:space="preserve"> </w:t>
      </w:r>
      <w:hyperlink r:id="rId33" w:history="1">
        <w:r w:rsidRPr="005E136E">
          <w:rPr>
            <w:u w:val="single"/>
          </w:rPr>
          <w:t>http://www.cityofnapa.org/images/CDD/planningdivisiondocs/housingelementcommittee/updated%20current%20he%20adopted%202009.pdf</w:t>
        </w:r>
      </w:hyperlink>
      <w:r w:rsidRPr="005E136E">
        <w:rPr>
          <w:rFonts w:eastAsia="Calibri"/>
        </w:rPr>
        <w:t xml:space="preserve"> </w:t>
      </w:r>
    </w:p>
    <w:p w:rsidR="00271566" w:rsidRPr="005E136E" w:rsidRDefault="00271566" w:rsidP="004C794B">
      <w:pPr>
        <w:numPr>
          <w:ilvl w:val="0"/>
          <w:numId w:val="19"/>
        </w:numPr>
        <w:spacing w:after="200" w:line="276" w:lineRule="auto"/>
        <w:contextualSpacing/>
        <w:rPr>
          <w:rFonts w:eastAsia="Calibri"/>
          <w:sz w:val="22"/>
          <w:szCs w:val="22"/>
        </w:rPr>
      </w:pPr>
      <w:r w:rsidRPr="005E136E">
        <w:rPr>
          <w:rFonts w:eastAsia="Calibri"/>
          <w:sz w:val="22"/>
          <w:szCs w:val="22"/>
        </w:rPr>
        <w:t>“H.R. 2112.” 112</w:t>
      </w:r>
      <w:r w:rsidRPr="005E136E">
        <w:rPr>
          <w:rFonts w:eastAsia="Calibri"/>
          <w:sz w:val="22"/>
          <w:szCs w:val="22"/>
          <w:vertAlign w:val="superscript"/>
        </w:rPr>
        <w:t>th</w:t>
      </w:r>
      <w:r w:rsidRPr="005E136E">
        <w:rPr>
          <w:rFonts w:eastAsia="Calibri"/>
          <w:sz w:val="22"/>
          <w:szCs w:val="22"/>
        </w:rPr>
        <w:t xml:space="preserve"> Congress of the United States of America</w:t>
      </w:r>
    </w:p>
    <w:p w:rsidR="00271566" w:rsidRPr="005E136E" w:rsidRDefault="00CB322F" w:rsidP="00271566">
      <w:pPr>
        <w:ind w:firstLine="720"/>
        <w:rPr>
          <w:rFonts w:eastAsia="Calibri"/>
          <w:sz w:val="22"/>
          <w:szCs w:val="22"/>
        </w:rPr>
      </w:pPr>
      <w:hyperlink r:id="rId34" w:history="1">
        <w:r w:rsidR="00271566" w:rsidRPr="005E136E">
          <w:rPr>
            <w:rFonts w:eastAsia="Calibri"/>
            <w:sz w:val="22"/>
            <w:szCs w:val="22"/>
            <w:u w:val="single"/>
          </w:rPr>
          <w:t>http://www.gpo.gov/fdsys/pkg/BILLS-112hr2112enr/pdf/BILLS-112hr2112enr.pdf</w:t>
        </w:r>
      </w:hyperlink>
    </w:p>
    <w:p w:rsidR="00271566" w:rsidRPr="005E136E" w:rsidRDefault="00271566" w:rsidP="00271566">
      <w:pPr>
        <w:ind w:firstLine="720"/>
        <w:rPr>
          <w:rFonts w:eastAsia="Calibri"/>
          <w:sz w:val="22"/>
          <w:szCs w:val="22"/>
        </w:rPr>
      </w:pPr>
    </w:p>
    <w:p w:rsidR="00271566" w:rsidRPr="005E136E" w:rsidRDefault="00271566" w:rsidP="004C794B">
      <w:pPr>
        <w:numPr>
          <w:ilvl w:val="0"/>
          <w:numId w:val="19"/>
        </w:numPr>
        <w:spacing w:after="200" w:line="276" w:lineRule="auto"/>
        <w:contextualSpacing/>
        <w:rPr>
          <w:rFonts w:eastAsia="Calibri"/>
          <w:sz w:val="22"/>
          <w:szCs w:val="22"/>
        </w:rPr>
      </w:pPr>
      <w:r w:rsidRPr="005E136E">
        <w:rPr>
          <w:rFonts w:eastAsia="Calibri"/>
          <w:sz w:val="22"/>
          <w:szCs w:val="22"/>
        </w:rPr>
        <w:t>“Workforce Housing Program.” County of Sonoma</w:t>
      </w:r>
    </w:p>
    <w:p w:rsidR="00271566" w:rsidRPr="005E136E" w:rsidRDefault="00CB322F" w:rsidP="00271566">
      <w:pPr>
        <w:ind w:firstLine="720"/>
        <w:rPr>
          <w:rFonts w:eastAsia="Calibri"/>
          <w:sz w:val="22"/>
          <w:szCs w:val="22"/>
        </w:rPr>
      </w:pPr>
      <w:hyperlink r:id="rId35" w:history="1">
        <w:r w:rsidR="00271566" w:rsidRPr="005E136E">
          <w:rPr>
            <w:rFonts w:eastAsia="Calibri"/>
            <w:sz w:val="22"/>
            <w:szCs w:val="22"/>
            <w:u w:val="single"/>
          </w:rPr>
          <w:t>http://www.sonoma-county.org/prmd/housing/workforcefee.pdf</w:t>
        </w:r>
      </w:hyperlink>
    </w:p>
    <w:p w:rsidR="00271566" w:rsidRPr="005E136E" w:rsidRDefault="00271566" w:rsidP="00271566">
      <w:pPr>
        <w:ind w:firstLine="720"/>
        <w:rPr>
          <w:rFonts w:eastAsia="Calibri"/>
          <w:sz w:val="22"/>
          <w:szCs w:val="22"/>
        </w:rPr>
      </w:pPr>
    </w:p>
    <w:p w:rsidR="009F70E2" w:rsidRPr="005E136E" w:rsidRDefault="009F70E2" w:rsidP="004C794B">
      <w:pPr>
        <w:numPr>
          <w:ilvl w:val="0"/>
          <w:numId w:val="19"/>
        </w:numPr>
        <w:spacing w:after="200" w:line="276" w:lineRule="auto"/>
        <w:contextualSpacing/>
        <w:rPr>
          <w:rFonts w:eastAsia="Calibri"/>
          <w:sz w:val="22"/>
          <w:szCs w:val="22"/>
        </w:rPr>
      </w:pPr>
      <w:r w:rsidRPr="005E136E">
        <w:rPr>
          <w:rFonts w:eastAsia="Calibri"/>
          <w:sz w:val="22"/>
          <w:szCs w:val="22"/>
        </w:rPr>
        <w:t xml:space="preserve">“Planning, Zoning and Development Laws.” Governor’s Office of Planning and Research </w:t>
      </w:r>
      <w:hyperlink r:id="rId36" w:history="1">
        <w:r w:rsidRPr="005E136E">
          <w:rPr>
            <w:sz w:val="22"/>
            <w:szCs w:val="22"/>
            <w:u w:val="single"/>
          </w:rPr>
          <w:t>http://opr.ca.gov/docs/PZD2012.pdf</w:t>
        </w:r>
      </w:hyperlink>
    </w:p>
    <w:p w:rsidR="009F70E2" w:rsidRPr="005E136E" w:rsidRDefault="009F70E2" w:rsidP="009F70E2">
      <w:pPr>
        <w:spacing w:after="200" w:line="276" w:lineRule="auto"/>
        <w:ind w:left="720"/>
        <w:contextualSpacing/>
        <w:rPr>
          <w:rFonts w:eastAsia="Calibri"/>
          <w:sz w:val="22"/>
          <w:szCs w:val="22"/>
        </w:rPr>
      </w:pPr>
    </w:p>
    <w:p w:rsidR="006C2797" w:rsidRPr="005E136E" w:rsidRDefault="006C2797" w:rsidP="004C794B">
      <w:pPr>
        <w:numPr>
          <w:ilvl w:val="0"/>
          <w:numId w:val="19"/>
        </w:numPr>
        <w:spacing w:after="200" w:line="276" w:lineRule="auto"/>
        <w:contextualSpacing/>
        <w:rPr>
          <w:rFonts w:eastAsia="Calibri"/>
          <w:sz w:val="22"/>
          <w:szCs w:val="22"/>
        </w:rPr>
      </w:pPr>
      <w:r w:rsidRPr="005E136E">
        <w:rPr>
          <w:rFonts w:eastAsia="Calibri"/>
          <w:sz w:val="22"/>
          <w:szCs w:val="22"/>
        </w:rPr>
        <w:t xml:space="preserve">“Transient Occupancy Tax.” Napa County, California, Code of Ordinances </w:t>
      </w:r>
      <w:hyperlink r:id="rId37" w:history="1">
        <w:r w:rsidRPr="005E136E">
          <w:rPr>
            <w:sz w:val="22"/>
            <w:szCs w:val="22"/>
            <w:u w:val="single"/>
          </w:rPr>
          <w:t>http://search.municode.com/html/16513/level2/TIT3REFI_CH3.32TROCTA.html</w:t>
        </w:r>
      </w:hyperlink>
    </w:p>
    <w:p w:rsidR="006C2797" w:rsidRPr="005E136E" w:rsidRDefault="006C2797" w:rsidP="006C2797">
      <w:pPr>
        <w:spacing w:after="200" w:line="276" w:lineRule="auto"/>
        <w:ind w:left="720"/>
        <w:contextualSpacing/>
        <w:rPr>
          <w:rFonts w:eastAsia="Calibri"/>
          <w:sz w:val="22"/>
          <w:szCs w:val="22"/>
        </w:rPr>
      </w:pPr>
    </w:p>
    <w:p w:rsidR="00271566" w:rsidRPr="005E136E" w:rsidRDefault="00271566" w:rsidP="004C794B">
      <w:pPr>
        <w:numPr>
          <w:ilvl w:val="0"/>
          <w:numId w:val="19"/>
        </w:numPr>
        <w:spacing w:after="200" w:line="276" w:lineRule="auto"/>
        <w:contextualSpacing/>
        <w:rPr>
          <w:rFonts w:eastAsia="Calibri"/>
          <w:sz w:val="22"/>
          <w:szCs w:val="22"/>
        </w:rPr>
      </w:pPr>
      <w:r w:rsidRPr="005E136E">
        <w:rPr>
          <w:rFonts w:eastAsia="Calibri"/>
          <w:sz w:val="22"/>
          <w:szCs w:val="22"/>
        </w:rPr>
        <w:t>“Napa’s Transportation Future 2009.” Napa County Transportation &amp; Planning Agency</w:t>
      </w:r>
    </w:p>
    <w:p w:rsidR="00271566" w:rsidRPr="005E136E" w:rsidRDefault="00CB322F" w:rsidP="00271566">
      <w:pPr>
        <w:ind w:firstLine="720"/>
        <w:rPr>
          <w:rFonts w:eastAsia="Calibri"/>
          <w:sz w:val="22"/>
          <w:szCs w:val="22"/>
        </w:rPr>
      </w:pPr>
      <w:hyperlink r:id="rId38" w:history="1">
        <w:r w:rsidR="00271566" w:rsidRPr="005E136E">
          <w:rPr>
            <w:rFonts w:eastAsia="Calibri"/>
            <w:sz w:val="22"/>
            <w:szCs w:val="22"/>
            <w:u w:val="single"/>
          </w:rPr>
          <w:t>http://www.nctpa.net/napas-transportation-future</w:t>
        </w:r>
      </w:hyperlink>
    </w:p>
    <w:p w:rsidR="00271566" w:rsidRPr="005E136E" w:rsidRDefault="00271566" w:rsidP="00271566">
      <w:pPr>
        <w:ind w:firstLine="720"/>
        <w:rPr>
          <w:rFonts w:eastAsia="Calibri"/>
          <w:sz w:val="22"/>
          <w:szCs w:val="22"/>
        </w:rPr>
      </w:pPr>
    </w:p>
    <w:p w:rsidR="00271566" w:rsidRPr="005E136E" w:rsidRDefault="00271566" w:rsidP="004C794B">
      <w:pPr>
        <w:numPr>
          <w:ilvl w:val="0"/>
          <w:numId w:val="19"/>
        </w:numPr>
        <w:spacing w:after="200" w:line="276" w:lineRule="auto"/>
        <w:contextualSpacing/>
        <w:rPr>
          <w:rFonts w:eastAsia="Calibri"/>
          <w:sz w:val="22"/>
          <w:szCs w:val="22"/>
        </w:rPr>
      </w:pPr>
      <w:r w:rsidRPr="005E136E">
        <w:rPr>
          <w:rFonts w:eastAsia="Calibri"/>
          <w:sz w:val="22"/>
          <w:szCs w:val="22"/>
        </w:rPr>
        <w:t>“FY13 Budget Chart for Selected HUD and USDA Programs.” National Low Income Housing Coalition</w:t>
      </w:r>
    </w:p>
    <w:p w:rsidR="00271566" w:rsidRPr="005E136E" w:rsidRDefault="00CB322F" w:rsidP="00271566">
      <w:pPr>
        <w:ind w:firstLine="720"/>
        <w:rPr>
          <w:rFonts w:eastAsia="Calibri"/>
          <w:sz w:val="22"/>
          <w:szCs w:val="22"/>
        </w:rPr>
      </w:pPr>
      <w:hyperlink r:id="rId39" w:history="1">
        <w:r w:rsidR="00271566" w:rsidRPr="005E136E">
          <w:rPr>
            <w:rFonts w:eastAsia="Calibri"/>
            <w:sz w:val="22"/>
            <w:szCs w:val="22"/>
            <w:u w:val="single"/>
          </w:rPr>
          <w:t>http://nlihc.org/sites/default/files/FY13_Budget_Chart.pdf</w:t>
        </w:r>
      </w:hyperlink>
    </w:p>
    <w:p w:rsidR="00271566" w:rsidRPr="005E136E" w:rsidRDefault="00271566" w:rsidP="00271566">
      <w:pPr>
        <w:ind w:firstLine="720"/>
        <w:rPr>
          <w:rFonts w:eastAsia="Calibri"/>
          <w:sz w:val="22"/>
          <w:szCs w:val="22"/>
        </w:rPr>
      </w:pPr>
    </w:p>
    <w:p w:rsidR="00271566" w:rsidRPr="005E136E" w:rsidRDefault="00271566" w:rsidP="004C794B">
      <w:pPr>
        <w:numPr>
          <w:ilvl w:val="0"/>
          <w:numId w:val="19"/>
        </w:numPr>
        <w:spacing w:after="200" w:line="276" w:lineRule="auto"/>
        <w:contextualSpacing/>
        <w:rPr>
          <w:rFonts w:eastAsia="Calibri"/>
          <w:sz w:val="22"/>
          <w:szCs w:val="22"/>
        </w:rPr>
      </w:pPr>
      <w:r w:rsidRPr="005E136E">
        <w:rPr>
          <w:rFonts w:eastAsia="Calibri"/>
          <w:sz w:val="22"/>
          <w:szCs w:val="22"/>
        </w:rPr>
        <w:t>“Impact of Sequestration: More than Two Million Americans Face Negative Impacts of 2013 Cuts to Affordable Housing and Community Development Programs.” National Low Income Housing Coalition</w:t>
      </w:r>
    </w:p>
    <w:p w:rsidR="00271566" w:rsidRPr="005E136E" w:rsidRDefault="00CB322F" w:rsidP="00271566">
      <w:pPr>
        <w:ind w:firstLine="720"/>
        <w:rPr>
          <w:rFonts w:eastAsia="Calibri"/>
          <w:sz w:val="22"/>
          <w:szCs w:val="22"/>
        </w:rPr>
      </w:pPr>
      <w:hyperlink r:id="rId40" w:history="1">
        <w:r w:rsidR="00271566" w:rsidRPr="005E136E">
          <w:rPr>
            <w:rFonts w:eastAsia="Calibri"/>
            <w:sz w:val="22"/>
            <w:szCs w:val="22"/>
            <w:u w:val="single"/>
          </w:rPr>
          <w:t>http://nlihc.org/sites/default/files/CHCDF_Sequestration_Impacts_8-12-12.pdf</w:t>
        </w:r>
      </w:hyperlink>
    </w:p>
    <w:p w:rsidR="00271566" w:rsidRPr="005E136E" w:rsidRDefault="00271566" w:rsidP="00271566">
      <w:pPr>
        <w:ind w:firstLine="720"/>
        <w:rPr>
          <w:rFonts w:eastAsia="Calibri"/>
          <w:sz w:val="22"/>
          <w:szCs w:val="22"/>
        </w:rPr>
      </w:pPr>
    </w:p>
    <w:p w:rsidR="00D2782B" w:rsidRPr="005E136E" w:rsidRDefault="00D2782B" w:rsidP="004C794B">
      <w:pPr>
        <w:numPr>
          <w:ilvl w:val="0"/>
          <w:numId w:val="19"/>
        </w:numPr>
        <w:spacing w:after="200" w:line="276" w:lineRule="auto"/>
        <w:contextualSpacing/>
        <w:rPr>
          <w:rFonts w:eastAsia="Calibri"/>
          <w:sz w:val="22"/>
          <w:szCs w:val="22"/>
        </w:rPr>
      </w:pPr>
      <w:r w:rsidRPr="005E136E">
        <w:rPr>
          <w:rFonts w:eastAsia="Calibri"/>
          <w:sz w:val="22"/>
          <w:szCs w:val="22"/>
        </w:rPr>
        <w:t>“M</w:t>
      </w:r>
      <w:r w:rsidR="00841F8C" w:rsidRPr="005E136E">
        <w:rPr>
          <w:rFonts w:eastAsia="Calibri"/>
          <w:sz w:val="22"/>
          <w:szCs w:val="22"/>
        </w:rPr>
        <w:t xml:space="preserve">easure N: Article XXXIV Housing.” Smart Voter </w:t>
      </w:r>
      <w:hyperlink r:id="rId41" w:history="1">
        <w:r w:rsidR="00841F8C" w:rsidRPr="005E136E">
          <w:rPr>
            <w:sz w:val="22"/>
            <w:szCs w:val="22"/>
            <w:u w:val="single"/>
          </w:rPr>
          <w:t>http://www.smartvoter.org/2004/11/02/ca/sn/meas/N/</w:t>
        </w:r>
      </w:hyperlink>
    </w:p>
    <w:p w:rsidR="00841F8C" w:rsidRPr="005E136E" w:rsidRDefault="00841F8C" w:rsidP="00841F8C">
      <w:pPr>
        <w:spacing w:after="200" w:line="276" w:lineRule="auto"/>
        <w:ind w:left="720"/>
        <w:contextualSpacing/>
        <w:rPr>
          <w:rFonts w:eastAsia="Calibri"/>
          <w:sz w:val="22"/>
          <w:szCs w:val="22"/>
        </w:rPr>
      </w:pPr>
    </w:p>
    <w:p w:rsidR="00271566" w:rsidRPr="005E136E" w:rsidRDefault="00271566" w:rsidP="004C794B">
      <w:pPr>
        <w:numPr>
          <w:ilvl w:val="0"/>
          <w:numId w:val="19"/>
        </w:numPr>
        <w:spacing w:after="200" w:line="276" w:lineRule="auto"/>
        <w:contextualSpacing/>
        <w:rPr>
          <w:rFonts w:eastAsia="Calibri"/>
          <w:sz w:val="22"/>
          <w:szCs w:val="22"/>
        </w:rPr>
      </w:pPr>
      <w:r w:rsidRPr="005E136E">
        <w:rPr>
          <w:rFonts w:eastAsia="Calibri"/>
          <w:sz w:val="22"/>
          <w:szCs w:val="22"/>
        </w:rPr>
        <w:t>“Approved State &amp; Local Consolidated Plans.” U.S. Department of Housing and Community Development</w:t>
      </w:r>
    </w:p>
    <w:p w:rsidR="00271566" w:rsidRPr="005E136E" w:rsidRDefault="00CB322F" w:rsidP="00271566">
      <w:pPr>
        <w:ind w:left="720"/>
        <w:rPr>
          <w:rFonts w:eastAsia="Calibri"/>
          <w:sz w:val="22"/>
          <w:szCs w:val="22"/>
        </w:rPr>
      </w:pPr>
      <w:hyperlink r:id="rId42" w:history="1">
        <w:r w:rsidR="00271566" w:rsidRPr="005E136E">
          <w:rPr>
            <w:rFonts w:eastAsia="Calibri"/>
            <w:sz w:val="22"/>
            <w:szCs w:val="22"/>
            <w:u w:val="single"/>
          </w:rPr>
          <w:t>http://portal.hud.gov/hudportal/HUD?src=/program_offices/comm_planning/about/conplan/local</w:t>
        </w:r>
      </w:hyperlink>
    </w:p>
    <w:p w:rsidR="00271566" w:rsidRPr="005E136E" w:rsidRDefault="00271566" w:rsidP="00271566">
      <w:pPr>
        <w:ind w:left="720"/>
        <w:rPr>
          <w:rFonts w:eastAsia="Calibri"/>
          <w:sz w:val="22"/>
          <w:szCs w:val="22"/>
        </w:rPr>
      </w:pPr>
    </w:p>
    <w:p w:rsidR="00271566" w:rsidRPr="005E136E" w:rsidRDefault="00271566" w:rsidP="004C794B">
      <w:pPr>
        <w:numPr>
          <w:ilvl w:val="0"/>
          <w:numId w:val="19"/>
        </w:numPr>
        <w:spacing w:after="200" w:line="276" w:lineRule="auto"/>
        <w:contextualSpacing/>
        <w:rPr>
          <w:rFonts w:eastAsia="Calibri"/>
          <w:sz w:val="22"/>
          <w:szCs w:val="22"/>
        </w:rPr>
      </w:pPr>
      <w:r w:rsidRPr="005E136E">
        <w:rPr>
          <w:rFonts w:eastAsia="Calibri"/>
          <w:sz w:val="22"/>
          <w:szCs w:val="22"/>
        </w:rPr>
        <w:t>“Consolidated Planning.” U.S. Department of Housing and Community Development</w:t>
      </w:r>
    </w:p>
    <w:p w:rsidR="00271566" w:rsidRPr="005E136E" w:rsidRDefault="00CB322F" w:rsidP="00271566">
      <w:pPr>
        <w:ind w:firstLine="720"/>
        <w:rPr>
          <w:rFonts w:eastAsia="Calibri"/>
          <w:sz w:val="22"/>
          <w:szCs w:val="22"/>
          <w:u w:val="single"/>
        </w:rPr>
      </w:pPr>
      <w:hyperlink r:id="rId43" w:history="1">
        <w:r w:rsidR="00271566" w:rsidRPr="005E136E">
          <w:rPr>
            <w:rFonts w:eastAsia="Calibri"/>
            <w:sz w:val="22"/>
            <w:szCs w:val="22"/>
            <w:u w:val="single"/>
          </w:rPr>
          <w:t>http://portal.hud.gov/hudportal/HUD?src=/program_offices/comm_planning/about/conplan</w:t>
        </w:r>
      </w:hyperlink>
    </w:p>
    <w:p w:rsidR="00DD50E5" w:rsidRPr="005E136E" w:rsidRDefault="00DD50E5" w:rsidP="00271566">
      <w:pPr>
        <w:ind w:firstLine="720"/>
        <w:rPr>
          <w:rFonts w:eastAsia="Calibri"/>
          <w:sz w:val="22"/>
          <w:szCs w:val="22"/>
          <w:u w:val="single"/>
        </w:rPr>
      </w:pPr>
    </w:p>
    <w:p w:rsidR="00DD50E5" w:rsidRPr="005E136E" w:rsidRDefault="00DD50E5" w:rsidP="004C794B">
      <w:pPr>
        <w:pStyle w:val="ListParagraph"/>
        <w:numPr>
          <w:ilvl w:val="0"/>
          <w:numId w:val="19"/>
        </w:numPr>
        <w:rPr>
          <w:rFonts w:eastAsia="Calibri"/>
        </w:rPr>
      </w:pPr>
      <w:r w:rsidRPr="005E136E">
        <w:rPr>
          <w:rFonts w:eastAsia="Calibri"/>
        </w:rPr>
        <w:t xml:space="preserve">“Transmittal of Fiscal Year (FY) 1998 Public Housing/Section 8 Income Limits.” U.S. Department of Housing and </w:t>
      </w:r>
      <w:r w:rsidR="00980C2F" w:rsidRPr="005E136E">
        <w:rPr>
          <w:rFonts w:eastAsia="Calibri"/>
        </w:rPr>
        <w:t>Urban</w:t>
      </w:r>
      <w:r w:rsidRPr="005E136E">
        <w:rPr>
          <w:rFonts w:eastAsia="Calibri"/>
        </w:rPr>
        <w:t xml:space="preserve"> Development</w:t>
      </w:r>
      <w:r w:rsidR="00980C2F" w:rsidRPr="005E136E">
        <w:rPr>
          <w:rFonts w:eastAsia="Calibri"/>
        </w:rPr>
        <w:t xml:space="preserve"> </w:t>
      </w:r>
      <w:r w:rsidR="009A5653" w:rsidRPr="005E136E">
        <w:rPr>
          <w:rFonts w:eastAsia="Calibri"/>
        </w:rPr>
        <w:t xml:space="preserve"> </w:t>
      </w:r>
      <w:r w:rsidR="00980C2F" w:rsidRPr="005E136E">
        <w:rPr>
          <w:rFonts w:eastAsia="Calibri"/>
          <w:u w:val="single"/>
        </w:rPr>
        <w:t>http://www.huduser.org/portal/datasets/il/fmr98/sect8.html</w:t>
      </w:r>
    </w:p>
    <w:p w:rsidR="007F407A" w:rsidRPr="00187483" w:rsidRDefault="007F407A">
      <w:pPr>
        <w:rPr>
          <w:b/>
          <w:sz w:val="22"/>
          <w:szCs w:val="22"/>
        </w:rPr>
      </w:pPr>
      <w:r w:rsidRPr="00187483">
        <w:rPr>
          <w:sz w:val="22"/>
          <w:szCs w:val="22"/>
        </w:rPr>
        <w:br w:type="page"/>
      </w:r>
    </w:p>
    <w:p w:rsidR="007F407A" w:rsidRPr="00F414D6" w:rsidRDefault="00CB322F" w:rsidP="007E545D">
      <w:pPr>
        <w:pStyle w:val="TOC10"/>
        <w:rPr>
          <w:color w:val="000000" w:themeColor="text1"/>
        </w:rPr>
      </w:pPr>
      <w:hyperlink w:anchor="Table_of_Contents" w:history="1">
        <w:bookmarkStart w:id="81" w:name="_Toc352584388"/>
        <w:bookmarkStart w:id="82" w:name="_Toc359933722"/>
        <w:r w:rsidR="00554937" w:rsidRPr="00181F6C">
          <w:rPr>
            <w:rStyle w:val="Hyperlink"/>
          </w:rPr>
          <w:t>Appendix B</w:t>
        </w:r>
        <w:r w:rsidR="007E545D" w:rsidRPr="00181F6C">
          <w:rPr>
            <w:rStyle w:val="Hyperlink"/>
          </w:rPr>
          <w:br/>
        </w:r>
        <w:r w:rsidR="007F407A" w:rsidRPr="00181F6C">
          <w:rPr>
            <w:rStyle w:val="Hyperlink"/>
          </w:rPr>
          <w:t>Summary</w:t>
        </w:r>
        <w:r w:rsidR="00C20DB6" w:rsidRPr="00181F6C">
          <w:rPr>
            <w:rStyle w:val="Hyperlink"/>
          </w:rPr>
          <w:t xml:space="preserve"> of Task Force Meetings</w:t>
        </w:r>
        <w:bookmarkEnd w:id="81"/>
        <w:bookmarkEnd w:id="82"/>
      </w:hyperlink>
    </w:p>
    <w:p w:rsidR="007F407A" w:rsidRDefault="007F407A" w:rsidP="00DE4F01">
      <w:pPr>
        <w:pStyle w:val="TODHeading2"/>
      </w:pPr>
    </w:p>
    <w:p w:rsidR="007F407A" w:rsidRDefault="0011649E" w:rsidP="00BE44D9">
      <w:pPr>
        <w:autoSpaceDE w:val="0"/>
        <w:autoSpaceDN w:val="0"/>
        <w:adjustRightInd w:val="0"/>
        <w:spacing w:after="200" w:line="276" w:lineRule="auto"/>
        <w:jc w:val="both"/>
        <w:rPr>
          <w:sz w:val="22"/>
          <w:szCs w:val="22"/>
        </w:rPr>
      </w:pPr>
      <w:r>
        <w:rPr>
          <w:sz w:val="22"/>
          <w:szCs w:val="22"/>
        </w:rPr>
        <w:t xml:space="preserve">The </w:t>
      </w:r>
      <w:r w:rsidR="007F407A">
        <w:rPr>
          <w:sz w:val="22"/>
          <w:szCs w:val="22"/>
        </w:rPr>
        <w:t>Task Force</w:t>
      </w:r>
      <w:r w:rsidR="00DB3496">
        <w:rPr>
          <w:sz w:val="22"/>
          <w:szCs w:val="22"/>
        </w:rPr>
        <w:t xml:space="preserve"> met over the course of </w:t>
      </w:r>
      <w:r w:rsidR="009B54F6">
        <w:rPr>
          <w:sz w:val="22"/>
          <w:szCs w:val="22"/>
        </w:rPr>
        <w:t>nine</w:t>
      </w:r>
      <w:r w:rsidR="007F407A">
        <w:rPr>
          <w:sz w:val="22"/>
          <w:szCs w:val="22"/>
        </w:rPr>
        <w:t xml:space="preserve"> months</w:t>
      </w:r>
      <w:r w:rsidR="007F407A" w:rsidRPr="00A93033">
        <w:rPr>
          <w:sz w:val="22"/>
          <w:szCs w:val="22"/>
        </w:rPr>
        <w:t xml:space="preserve"> </w:t>
      </w:r>
      <w:r w:rsidR="007F407A" w:rsidRPr="007042A3">
        <w:rPr>
          <w:sz w:val="22"/>
          <w:szCs w:val="22"/>
        </w:rPr>
        <w:t>to discuss incentives and formulate this recommendation report. The dates and venues of these meetings were:</w:t>
      </w:r>
    </w:p>
    <w:p w:rsidR="007F407A" w:rsidRPr="007042A3" w:rsidRDefault="007F407A" w:rsidP="009427E9">
      <w:pPr>
        <w:pStyle w:val="TOC10"/>
      </w:pPr>
    </w:p>
    <w:p w:rsidR="007F407A" w:rsidRPr="009141BF" w:rsidRDefault="007F407A" w:rsidP="007F407A">
      <w:pPr>
        <w:autoSpaceDE w:val="0"/>
        <w:autoSpaceDN w:val="0"/>
        <w:adjustRightInd w:val="0"/>
        <w:ind w:left="720"/>
        <w:rPr>
          <w:b/>
          <w:sz w:val="22"/>
          <w:szCs w:val="22"/>
        </w:rPr>
      </w:pPr>
      <w:r w:rsidRPr="009141BF">
        <w:rPr>
          <w:b/>
          <w:sz w:val="22"/>
          <w:szCs w:val="22"/>
        </w:rPr>
        <w:t>Meeting #1:</w:t>
      </w:r>
      <w:r w:rsidRPr="009141BF">
        <w:rPr>
          <w:b/>
          <w:sz w:val="22"/>
          <w:szCs w:val="22"/>
        </w:rPr>
        <w:tab/>
        <w:t>July 25, 2012</w:t>
      </w:r>
    </w:p>
    <w:p w:rsidR="007F407A" w:rsidRPr="007042A3" w:rsidRDefault="007F407A" w:rsidP="007F407A">
      <w:pPr>
        <w:autoSpaceDE w:val="0"/>
        <w:autoSpaceDN w:val="0"/>
        <w:adjustRightInd w:val="0"/>
        <w:ind w:left="2160"/>
        <w:rPr>
          <w:sz w:val="22"/>
          <w:szCs w:val="22"/>
        </w:rPr>
      </w:pPr>
      <w:r w:rsidRPr="007042A3">
        <w:rPr>
          <w:sz w:val="22"/>
          <w:szCs w:val="22"/>
        </w:rPr>
        <w:t>Napa County Airport, Conference Room</w:t>
      </w:r>
    </w:p>
    <w:p w:rsidR="007F407A" w:rsidRPr="007042A3" w:rsidRDefault="007F407A" w:rsidP="007F407A">
      <w:pPr>
        <w:autoSpaceDE w:val="0"/>
        <w:autoSpaceDN w:val="0"/>
        <w:adjustRightInd w:val="0"/>
        <w:ind w:left="720"/>
        <w:rPr>
          <w:sz w:val="22"/>
          <w:szCs w:val="22"/>
        </w:rPr>
      </w:pPr>
    </w:p>
    <w:p w:rsidR="007F407A" w:rsidRPr="009141BF" w:rsidRDefault="007F407A" w:rsidP="007F407A">
      <w:pPr>
        <w:autoSpaceDE w:val="0"/>
        <w:autoSpaceDN w:val="0"/>
        <w:adjustRightInd w:val="0"/>
        <w:ind w:left="720"/>
        <w:rPr>
          <w:b/>
          <w:sz w:val="22"/>
          <w:szCs w:val="22"/>
        </w:rPr>
      </w:pPr>
      <w:r w:rsidRPr="009141BF">
        <w:rPr>
          <w:b/>
          <w:sz w:val="22"/>
          <w:szCs w:val="22"/>
        </w:rPr>
        <w:t>Meeting #2:</w:t>
      </w:r>
      <w:r w:rsidRPr="009141BF">
        <w:rPr>
          <w:b/>
          <w:sz w:val="22"/>
          <w:szCs w:val="22"/>
        </w:rPr>
        <w:tab/>
        <w:t>August 8, 2012</w:t>
      </w:r>
    </w:p>
    <w:p w:rsidR="007F407A" w:rsidRPr="007042A3" w:rsidRDefault="007F407A" w:rsidP="00BE44D9">
      <w:pPr>
        <w:autoSpaceDE w:val="0"/>
        <w:autoSpaceDN w:val="0"/>
        <w:adjustRightInd w:val="0"/>
        <w:ind w:left="2160"/>
        <w:rPr>
          <w:sz w:val="22"/>
          <w:szCs w:val="22"/>
        </w:rPr>
      </w:pPr>
      <w:r w:rsidRPr="007042A3">
        <w:rPr>
          <w:sz w:val="22"/>
          <w:szCs w:val="22"/>
        </w:rPr>
        <w:t>Napa Valley College, McCarthy Library Community Meeting Room</w:t>
      </w:r>
    </w:p>
    <w:p w:rsidR="007F407A" w:rsidRPr="007042A3" w:rsidRDefault="007F407A" w:rsidP="007F407A">
      <w:pPr>
        <w:autoSpaceDE w:val="0"/>
        <w:autoSpaceDN w:val="0"/>
        <w:adjustRightInd w:val="0"/>
        <w:ind w:left="720"/>
        <w:rPr>
          <w:sz w:val="22"/>
          <w:szCs w:val="22"/>
        </w:rPr>
      </w:pPr>
    </w:p>
    <w:p w:rsidR="007F407A" w:rsidRPr="009141BF" w:rsidRDefault="007F407A" w:rsidP="007F407A">
      <w:pPr>
        <w:autoSpaceDE w:val="0"/>
        <w:autoSpaceDN w:val="0"/>
        <w:adjustRightInd w:val="0"/>
        <w:ind w:left="720"/>
        <w:rPr>
          <w:b/>
          <w:sz w:val="22"/>
          <w:szCs w:val="22"/>
        </w:rPr>
      </w:pPr>
      <w:r w:rsidRPr="009141BF">
        <w:rPr>
          <w:b/>
          <w:sz w:val="22"/>
          <w:szCs w:val="22"/>
        </w:rPr>
        <w:t>Meeting #3:</w:t>
      </w:r>
      <w:r w:rsidRPr="009141BF">
        <w:rPr>
          <w:b/>
          <w:sz w:val="22"/>
          <w:szCs w:val="22"/>
        </w:rPr>
        <w:tab/>
        <w:t>September 12, 2012</w:t>
      </w:r>
    </w:p>
    <w:p w:rsidR="007F407A" w:rsidRPr="007042A3" w:rsidRDefault="007F407A" w:rsidP="007F407A">
      <w:pPr>
        <w:autoSpaceDE w:val="0"/>
        <w:autoSpaceDN w:val="0"/>
        <w:adjustRightInd w:val="0"/>
        <w:ind w:left="2160"/>
        <w:rPr>
          <w:sz w:val="22"/>
          <w:szCs w:val="22"/>
        </w:rPr>
      </w:pPr>
      <w:r w:rsidRPr="007042A3">
        <w:rPr>
          <w:sz w:val="22"/>
          <w:szCs w:val="22"/>
        </w:rPr>
        <w:t>Yountville Community Center, Heritage Room</w:t>
      </w:r>
    </w:p>
    <w:p w:rsidR="007F407A" w:rsidRPr="007042A3" w:rsidRDefault="007F407A" w:rsidP="007F407A">
      <w:pPr>
        <w:autoSpaceDE w:val="0"/>
        <w:autoSpaceDN w:val="0"/>
        <w:adjustRightInd w:val="0"/>
        <w:ind w:left="720"/>
        <w:rPr>
          <w:sz w:val="22"/>
          <w:szCs w:val="22"/>
        </w:rPr>
      </w:pPr>
    </w:p>
    <w:p w:rsidR="007F407A" w:rsidRPr="009141BF" w:rsidRDefault="007F407A" w:rsidP="007F407A">
      <w:pPr>
        <w:autoSpaceDE w:val="0"/>
        <w:autoSpaceDN w:val="0"/>
        <w:adjustRightInd w:val="0"/>
        <w:ind w:left="720"/>
        <w:rPr>
          <w:b/>
          <w:sz w:val="22"/>
          <w:szCs w:val="22"/>
        </w:rPr>
      </w:pPr>
      <w:r w:rsidRPr="009141BF">
        <w:rPr>
          <w:b/>
          <w:sz w:val="22"/>
          <w:szCs w:val="22"/>
        </w:rPr>
        <w:t>Meeting #4:</w:t>
      </w:r>
      <w:r w:rsidRPr="009141BF">
        <w:rPr>
          <w:b/>
          <w:sz w:val="22"/>
          <w:szCs w:val="22"/>
        </w:rPr>
        <w:tab/>
        <w:t>October 10, 2012</w:t>
      </w:r>
    </w:p>
    <w:p w:rsidR="007F407A" w:rsidRPr="007042A3" w:rsidRDefault="007F407A" w:rsidP="007F407A">
      <w:pPr>
        <w:autoSpaceDE w:val="0"/>
        <w:autoSpaceDN w:val="0"/>
        <w:adjustRightInd w:val="0"/>
        <w:ind w:left="2160"/>
        <w:rPr>
          <w:sz w:val="22"/>
          <w:szCs w:val="22"/>
        </w:rPr>
      </w:pPr>
      <w:r w:rsidRPr="007042A3">
        <w:rPr>
          <w:sz w:val="22"/>
          <w:szCs w:val="22"/>
        </w:rPr>
        <w:t>Napa Valley College, McCarthy Library Community Meeting Room</w:t>
      </w:r>
    </w:p>
    <w:p w:rsidR="007F407A" w:rsidRPr="007042A3" w:rsidRDefault="007F407A" w:rsidP="007F407A">
      <w:pPr>
        <w:autoSpaceDE w:val="0"/>
        <w:autoSpaceDN w:val="0"/>
        <w:adjustRightInd w:val="0"/>
        <w:ind w:left="720"/>
        <w:rPr>
          <w:sz w:val="22"/>
          <w:szCs w:val="22"/>
        </w:rPr>
      </w:pPr>
    </w:p>
    <w:p w:rsidR="007F407A" w:rsidRPr="009141BF" w:rsidRDefault="007F407A" w:rsidP="007F407A">
      <w:pPr>
        <w:autoSpaceDE w:val="0"/>
        <w:autoSpaceDN w:val="0"/>
        <w:adjustRightInd w:val="0"/>
        <w:ind w:left="720"/>
        <w:rPr>
          <w:b/>
          <w:sz w:val="22"/>
          <w:szCs w:val="22"/>
        </w:rPr>
      </w:pPr>
      <w:r w:rsidRPr="009141BF">
        <w:rPr>
          <w:b/>
          <w:sz w:val="22"/>
          <w:szCs w:val="22"/>
        </w:rPr>
        <w:t>Meeting #5:</w:t>
      </w:r>
      <w:r w:rsidRPr="009141BF">
        <w:rPr>
          <w:b/>
          <w:sz w:val="22"/>
          <w:szCs w:val="22"/>
        </w:rPr>
        <w:tab/>
        <w:t>November 14, 2012</w:t>
      </w:r>
    </w:p>
    <w:p w:rsidR="007F407A" w:rsidRPr="007042A3" w:rsidRDefault="007F407A" w:rsidP="007F407A">
      <w:pPr>
        <w:autoSpaceDE w:val="0"/>
        <w:autoSpaceDN w:val="0"/>
        <w:adjustRightInd w:val="0"/>
        <w:ind w:left="2160"/>
        <w:rPr>
          <w:sz w:val="22"/>
          <w:szCs w:val="22"/>
        </w:rPr>
      </w:pPr>
      <w:r w:rsidRPr="007042A3">
        <w:rPr>
          <w:sz w:val="22"/>
          <w:szCs w:val="22"/>
        </w:rPr>
        <w:t>Napa Valley College, McCarthy Library Community Meeting Room</w:t>
      </w:r>
    </w:p>
    <w:p w:rsidR="007F407A" w:rsidRPr="007042A3" w:rsidRDefault="007F407A" w:rsidP="007F407A">
      <w:pPr>
        <w:autoSpaceDE w:val="0"/>
        <w:autoSpaceDN w:val="0"/>
        <w:adjustRightInd w:val="0"/>
        <w:ind w:left="720"/>
        <w:rPr>
          <w:sz w:val="22"/>
          <w:szCs w:val="22"/>
        </w:rPr>
      </w:pPr>
    </w:p>
    <w:p w:rsidR="007F407A" w:rsidRPr="009141BF" w:rsidRDefault="007F407A" w:rsidP="007F407A">
      <w:pPr>
        <w:autoSpaceDE w:val="0"/>
        <w:autoSpaceDN w:val="0"/>
        <w:adjustRightInd w:val="0"/>
        <w:ind w:left="720"/>
        <w:rPr>
          <w:b/>
          <w:sz w:val="22"/>
          <w:szCs w:val="22"/>
        </w:rPr>
      </w:pPr>
      <w:r w:rsidRPr="009141BF">
        <w:rPr>
          <w:b/>
          <w:sz w:val="22"/>
          <w:szCs w:val="22"/>
        </w:rPr>
        <w:t>Meeting #6:</w:t>
      </w:r>
      <w:r w:rsidRPr="009141BF">
        <w:rPr>
          <w:b/>
          <w:sz w:val="22"/>
          <w:szCs w:val="22"/>
        </w:rPr>
        <w:tab/>
        <w:t>December 12, 2012</w:t>
      </w:r>
    </w:p>
    <w:p w:rsidR="007F407A" w:rsidRDefault="007F407A" w:rsidP="007F407A">
      <w:pPr>
        <w:autoSpaceDE w:val="0"/>
        <w:autoSpaceDN w:val="0"/>
        <w:adjustRightInd w:val="0"/>
        <w:ind w:left="2160"/>
        <w:rPr>
          <w:sz w:val="22"/>
          <w:szCs w:val="22"/>
        </w:rPr>
      </w:pPr>
      <w:r w:rsidRPr="007042A3">
        <w:rPr>
          <w:sz w:val="22"/>
          <w:szCs w:val="22"/>
        </w:rPr>
        <w:t>Napa Valley College, McCarthy Library Community Meeting Room</w:t>
      </w:r>
    </w:p>
    <w:p w:rsidR="00D36A50" w:rsidRDefault="00D36A50" w:rsidP="007F407A">
      <w:pPr>
        <w:autoSpaceDE w:val="0"/>
        <w:autoSpaceDN w:val="0"/>
        <w:adjustRightInd w:val="0"/>
        <w:ind w:left="2160"/>
        <w:rPr>
          <w:sz w:val="22"/>
          <w:szCs w:val="22"/>
        </w:rPr>
      </w:pPr>
    </w:p>
    <w:p w:rsidR="00D36A50" w:rsidRPr="00D36A50" w:rsidRDefault="00D36A50" w:rsidP="00D36A50">
      <w:pPr>
        <w:autoSpaceDE w:val="0"/>
        <w:autoSpaceDN w:val="0"/>
        <w:adjustRightInd w:val="0"/>
        <w:ind w:left="2160" w:hanging="1440"/>
        <w:rPr>
          <w:b/>
          <w:sz w:val="22"/>
          <w:szCs w:val="22"/>
        </w:rPr>
      </w:pPr>
      <w:r w:rsidRPr="00D36A50">
        <w:rPr>
          <w:b/>
          <w:sz w:val="22"/>
          <w:szCs w:val="22"/>
        </w:rPr>
        <w:t>Meeting #7:</w:t>
      </w:r>
      <w:r w:rsidRPr="00D36A50">
        <w:rPr>
          <w:b/>
          <w:sz w:val="22"/>
          <w:szCs w:val="22"/>
        </w:rPr>
        <w:tab/>
        <w:t>March 13, 2013</w:t>
      </w:r>
    </w:p>
    <w:p w:rsidR="00D36A50" w:rsidRPr="007042A3" w:rsidRDefault="00D36A50" w:rsidP="00F65009">
      <w:pPr>
        <w:autoSpaceDE w:val="0"/>
        <w:autoSpaceDN w:val="0"/>
        <w:adjustRightInd w:val="0"/>
        <w:spacing w:after="200" w:line="276" w:lineRule="auto"/>
        <w:ind w:left="2160" w:hanging="1440"/>
        <w:rPr>
          <w:sz w:val="22"/>
          <w:szCs w:val="22"/>
        </w:rPr>
      </w:pPr>
      <w:r>
        <w:rPr>
          <w:sz w:val="22"/>
          <w:szCs w:val="22"/>
        </w:rPr>
        <w:tab/>
        <w:t xml:space="preserve">Napa Valley College, </w:t>
      </w:r>
      <w:r w:rsidRPr="007042A3">
        <w:rPr>
          <w:sz w:val="22"/>
          <w:szCs w:val="22"/>
        </w:rPr>
        <w:t>McCarthy Library Community Meeting Room</w:t>
      </w:r>
    </w:p>
    <w:p w:rsidR="007F407A" w:rsidRDefault="007F407A" w:rsidP="007F407A">
      <w:pPr>
        <w:autoSpaceDE w:val="0"/>
        <w:autoSpaceDN w:val="0"/>
        <w:adjustRightInd w:val="0"/>
        <w:rPr>
          <w:sz w:val="22"/>
          <w:szCs w:val="22"/>
        </w:rPr>
      </w:pPr>
    </w:p>
    <w:p w:rsidR="007F407A" w:rsidRDefault="007F407A" w:rsidP="007F407A">
      <w:pPr>
        <w:autoSpaceDE w:val="0"/>
        <w:autoSpaceDN w:val="0"/>
        <w:adjustRightInd w:val="0"/>
        <w:ind w:left="112" w:right="1130"/>
        <w:rPr>
          <w:rFonts w:eastAsia="Calibri"/>
        </w:rPr>
      </w:pPr>
      <w:r>
        <w:rPr>
          <w:rFonts w:eastAsia="Calibri"/>
        </w:rPr>
        <w:t>T</w:t>
      </w:r>
      <w:r w:rsidRPr="0008253F">
        <w:rPr>
          <w:rFonts w:eastAsia="Calibri"/>
        </w:rPr>
        <w:t>opics discu</w:t>
      </w:r>
      <w:r w:rsidRPr="0008253F">
        <w:rPr>
          <w:rFonts w:eastAsia="Calibri"/>
          <w:spacing w:val="1"/>
        </w:rPr>
        <w:t>s</w:t>
      </w:r>
      <w:r w:rsidR="0011649E">
        <w:rPr>
          <w:rFonts w:eastAsia="Calibri"/>
        </w:rPr>
        <w:t xml:space="preserve">sed at the </w:t>
      </w:r>
      <w:r>
        <w:rPr>
          <w:rFonts w:eastAsia="Calibri"/>
        </w:rPr>
        <w:t>Task Force meetings</w:t>
      </w:r>
      <w:r w:rsidRPr="0008253F">
        <w:rPr>
          <w:rFonts w:eastAsia="Calibri"/>
        </w:rPr>
        <w:t xml:space="preserve"> are listed below.</w:t>
      </w:r>
    </w:p>
    <w:p w:rsidR="007F407A" w:rsidRDefault="007F407A" w:rsidP="007F407A">
      <w:pPr>
        <w:autoSpaceDE w:val="0"/>
        <w:autoSpaceDN w:val="0"/>
        <w:adjustRightInd w:val="0"/>
        <w:ind w:left="112" w:right="1130"/>
        <w:rPr>
          <w:rFonts w:eastAsia="Calibri"/>
        </w:rPr>
      </w:pPr>
    </w:p>
    <w:p w:rsidR="007F407A" w:rsidRDefault="007F407A" w:rsidP="007F407A">
      <w:pPr>
        <w:autoSpaceDE w:val="0"/>
        <w:autoSpaceDN w:val="0"/>
        <w:adjustRightInd w:val="0"/>
        <w:ind w:left="112" w:right="1130"/>
        <w:rPr>
          <w:rFonts w:eastAsia="Calibri"/>
        </w:rPr>
      </w:pPr>
    </w:p>
    <w:tbl>
      <w:tblPr>
        <w:tblStyle w:val="TableGrid1"/>
        <w:tblW w:w="0" w:type="auto"/>
        <w:tblInd w:w="288" w:type="dxa"/>
        <w:tblLook w:val="04A0" w:firstRow="1" w:lastRow="0" w:firstColumn="1" w:lastColumn="0" w:noHBand="0" w:noVBand="1"/>
      </w:tblPr>
      <w:tblGrid>
        <w:gridCol w:w="4201"/>
        <w:gridCol w:w="5087"/>
      </w:tblGrid>
      <w:tr w:rsidR="007F407A" w:rsidRPr="0008253F" w:rsidTr="00113EB0">
        <w:tc>
          <w:tcPr>
            <w:tcW w:w="9288" w:type="dxa"/>
            <w:gridSpan w:val="2"/>
            <w:shd w:val="clear" w:color="auto" w:fill="000000" w:themeFill="text1"/>
          </w:tcPr>
          <w:p w:rsidR="007F407A" w:rsidRPr="00F11C3B" w:rsidRDefault="007F407A" w:rsidP="00125F05">
            <w:pPr>
              <w:autoSpaceDE w:val="0"/>
              <w:autoSpaceDN w:val="0"/>
              <w:adjustRightInd w:val="0"/>
              <w:spacing w:before="53"/>
              <w:ind w:right="95"/>
              <w:jc w:val="center"/>
              <w:rPr>
                <w:rFonts w:ascii="Times New Roman" w:hAnsi="Times New Roman"/>
                <w:b/>
              </w:rPr>
            </w:pPr>
            <w:r w:rsidRPr="00F11C3B">
              <w:rPr>
                <w:rFonts w:ascii="Times New Roman" w:hAnsi="Times New Roman"/>
                <w:b/>
              </w:rPr>
              <w:t>July 25, 2012</w:t>
            </w:r>
          </w:p>
        </w:tc>
      </w:tr>
      <w:tr w:rsidR="007F407A" w:rsidRPr="0008253F" w:rsidTr="00113EB0">
        <w:tc>
          <w:tcPr>
            <w:tcW w:w="9288" w:type="dxa"/>
            <w:gridSpan w:val="2"/>
            <w:shd w:val="clear" w:color="auto" w:fill="000000" w:themeFill="text1"/>
          </w:tcPr>
          <w:p w:rsidR="007F407A" w:rsidRDefault="007F407A" w:rsidP="00125F05">
            <w:pPr>
              <w:autoSpaceDE w:val="0"/>
              <w:autoSpaceDN w:val="0"/>
              <w:adjustRightInd w:val="0"/>
              <w:spacing w:before="53"/>
              <w:ind w:right="95"/>
              <w:jc w:val="center"/>
              <w:rPr>
                <w:rFonts w:ascii="Times New Roman" w:hAnsi="Times New Roman"/>
                <w:b/>
              </w:rPr>
            </w:pPr>
            <w:r w:rsidRPr="00F11C3B">
              <w:rPr>
                <w:rFonts w:ascii="Times New Roman" w:hAnsi="Times New Roman"/>
                <w:b/>
              </w:rPr>
              <w:t>Napa County Airport</w:t>
            </w:r>
          </w:p>
          <w:p w:rsidR="007F407A" w:rsidRPr="00F11C3B" w:rsidRDefault="007F407A" w:rsidP="00125F05">
            <w:pPr>
              <w:autoSpaceDE w:val="0"/>
              <w:autoSpaceDN w:val="0"/>
              <w:adjustRightInd w:val="0"/>
              <w:spacing w:before="53"/>
              <w:ind w:right="95"/>
              <w:jc w:val="center"/>
              <w:rPr>
                <w:rFonts w:ascii="Times New Roman" w:hAnsi="Times New Roman"/>
                <w:b/>
              </w:rPr>
            </w:pPr>
          </w:p>
        </w:tc>
      </w:tr>
      <w:tr w:rsidR="007F407A" w:rsidRPr="0008253F" w:rsidTr="00113EB0">
        <w:tc>
          <w:tcPr>
            <w:tcW w:w="4201" w:type="dxa"/>
          </w:tcPr>
          <w:p w:rsidR="007F407A" w:rsidRPr="0008253F" w:rsidRDefault="007F407A" w:rsidP="00125F05">
            <w:pPr>
              <w:autoSpaceDE w:val="0"/>
              <w:autoSpaceDN w:val="0"/>
              <w:adjustRightInd w:val="0"/>
              <w:spacing w:before="53"/>
              <w:ind w:right="95"/>
              <w:jc w:val="center"/>
              <w:rPr>
                <w:rFonts w:ascii="Times New Roman" w:hAnsi="Times New Roman"/>
                <w:b/>
              </w:rPr>
            </w:pPr>
            <w:r w:rsidRPr="0008253F">
              <w:rPr>
                <w:rFonts w:ascii="Times New Roman" w:hAnsi="Times New Roman"/>
                <w:b/>
              </w:rPr>
              <w:t>Topics of Discussion</w:t>
            </w:r>
          </w:p>
        </w:tc>
        <w:tc>
          <w:tcPr>
            <w:tcW w:w="5087" w:type="dxa"/>
          </w:tcPr>
          <w:p w:rsidR="007F407A" w:rsidRPr="0008253F" w:rsidRDefault="007F407A" w:rsidP="00125F05">
            <w:pPr>
              <w:autoSpaceDE w:val="0"/>
              <w:autoSpaceDN w:val="0"/>
              <w:adjustRightInd w:val="0"/>
              <w:spacing w:before="53"/>
              <w:ind w:right="95"/>
              <w:jc w:val="center"/>
              <w:rPr>
                <w:rFonts w:ascii="Times New Roman" w:hAnsi="Times New Roman"/>
                <w:b/>
              </w:rPr>
            </w:pPr>
            <w:r>
              <w:rPr>
                <w:rFonts w:ascii="Times New Roman" w:hAnsi="Times New Roman"/>
                <w:b/>
              </w:rPr>
              <w:t>Description</w:t>
            </w:r>
          </w:p>
        </w:tc>
      </w:tr>
      <w:tr w:rsidR="007F407A" w:rsidRPr="0008253F" w:rsidTr="00113EB0">
        <w:tc>
          <w:tcPr>
            <w:tcW w:w="4201" w:type="dxa"/>
          </w:tcPr>
          <w:p w:rsidR="007F407A" w:rsidRPr="00313DDF" w:rsidRDefault="007F407A" w:rsidP="00125F05">
            <w:pPr>
              <w:autoSpaceDE w:val="0"/>
              <w:autoSpaceDN w:val="0"/>
              <w:adjustRightInd w:val="0"/>
              <w:spacing w:before="53"/>
              <w:ind w:right="95"/>
              <w:jc w:val="right"/>
              <w:rPr>
                <w:rFonts w:ascii="Times New Roman" w:hAnsi="Times New Roman"/>
                <w:sz w:val="20"/>
                <w:szCs w:val="20"/>
              </w:rPr>
            </w:pPr>
            <w:r>
              <w:rPr>
                <w:rFonts w:ascii="Times New Roman" w:hAnsi="Times New Roman"/>
                <w:sz w:val="20"/>
                <w:szCs w:val="20"/>
              </w:rPr>
              <w:t>Overview of Task Force Process and Goals</w:t>
            </w:r>
          </w:p>
        </w:tc>
        <w:tc>
          <w:tcPr>
            <w:tcW w:w="5087" w:type="dxa"/>
          </w:tcPr>
          <w:p w:rsidR="007F407A" w:rsidRDefault="006B43CA" w:rsidP="004C794B">
            <w:pPr>
              <w:pStyle w:val="ListParagraph"/>
              <w:numPr>
                <w:ilvl w:val="0"/>
                <w:numId w:val="6"/>
              </w:numPr>
              <w:suppressAutoHyphens w:val="0"/>
              <w:spacing w:before="53" w:after="0" w:line="240" w:lineRule="auto"/>
              <w:ind w:right="95"/>
              <w:contextualSpacing/>
              <w:textAlignment w:val="auto"/>
              <w:rPr>
                <w:rFonts w:ascii="Times New Roman" w:hAnsi="Times New Roman"/>
                <w:sz w:val="20"/>
                <w:szCs w:val="20"/>
              </w:rPr>
            </w:pPr>
            <w:r>
              <w:rPr>
                <w:rFonts w:ascii="Times New Roman" w:hAnsi="Times New Roman"/>
                <w:sz w:val="20"/>
                <w:szCs w:val="20"/>
              </w:rPr>
              <w:t>Overview presented</w:t>
            </w:r>
          </w:p>
          <w:p w:rsidR="007F407A" w:rsidRPr="00313DDF" w:rsidRDefault="007F407A" w:rsidP="00125F05">
            <w:pPr>
              <w:pStyle w:val="ListParagraph"/>
              <w:suppressAutoHyphens w:val="0"/>
              <w:spacing w:before="53" w:after="0" w:line="240" w:lineRule="auto"/>
              <w:ind w:right="95"/>
              <w:contextualSpacing/>
              <w:textAlignment w:val="auto"/>
              <w:rPr>
                <w:rFonts w:ascii="Times New Roman" w:hAnsi="Times New Roman"/>
                <w:sz w:val="20"/>
                <w:szCs w:val="20"/>
              </w:rPr>
            </w:pPr>
          </w:p>
        </w:tc>
      </w:tr>
      <w:tr w:rsidR="007F407A" w:rsidRPr="0008253F" w:rsidTr="00113EB0">
        <w:tc>
          <w:tcPr>
            <w:tcW w:w="4201" w:type="dxa"/>
          </w:tcPr>
          <w:p w:rsidR="007F407A" w:rsidRDefault="007F407A" w:rsidP="00125F05">
            <w:pPr>
              <w:autoSpaceDE w:val="0"/>
              <w:autoSpaceDN w:val="0"/>
              <w:adjustRightInd w:val="0"/>
              <w:spacing w:before="53"/>
              <w:ind w:right="95"/>
              <w:jc w:val="right"/>
              <w:rPr>
                <w:rFonts w:ascii="Times New Roman" w:hAnsi="Times New Roman"/>
                <w:sz w:val="20"/>
                <w:szCs w:val="20"/>
              </w:rPr>
            </w:pPr>
            <w:r>
              <w:rPr>
                <w:rFonts w:ascii="Times New Roman" w:hAnsi="Times New Roman"/>
                <w:sz w:val="20"/>
                <w:szCs w:val="20"/>
              </w:rPr>
              <w:t>Task Force Ground Rules</w:t>
            </w:r>
          </w:p>
        </w:tc>
        <w:tc>
          <w:tcPr>
            <w:tcW w:w="5087" w:type="dxa"/>
          </w:tcPr>
          <w:p w:rsidR="007F407A" w:rsidRPr="006B43CA" w:rsidRDefault="007F407A" w:rsidP="004C794B">
            <w:pPr>
              <w:pStyle w:val="ListParagraph"/>
              <w:numPr>
                <w:ilvl w:val="0"/>
                <w:numId w:val="6"/>
              </w:numPr>
              <w:spacing w:before="53"/>
              <w:ind w:right="95"/>
              <w:contextualSpacing/>
              <w:rPr>
                <w:sz w:val="20"/>
                <w:szCs w:val="20"/>
              </w:rPr>
            </w:pPr>
            <w:r w:rsidRPr="006B43CA">
              <w:rPr>
                <w:sz w:val="20"/>
                <w:szCs w:val="20"/>
              </w:rPr>
              <w:t xml:space="preserve">PowerPoint </w:t>
            </w:r>
            <w:r w:rsidR="006B43CA">
              <w:rPr>
                <w:sz w:val="20"/>
                <w:szCs w:val="20"/>
              </w:rPr>
              <w:t xml:space="preserve">presented </w:t>
            </w:r>
            <w:r w:rsidRPr="006B43CA">
              <w:rPr>
                <w:sz w:val="20"/>
                <w:szCs w:val="20"/>
              </w:rPr>
              <w:t>on Brown Act</w:t>
            </w:r>
          </w:p>
          <w:p w:rsidR="007F407A" w:rsidRPr="001C07DA" w:rsidRDefault="007F407A" w:rsidP="00125F05">
            <w:pPr>
              <w:pStyle w:val="ListParagraph"/>
              <w:suppressAutoHyphens w:val="0"/>
              <w:spacing w:before="53" w:after="0" w:line="240" w:lineRule="auto"/>
              <w:ind w:left="1440" w:right="95"/>
              <w:contextualSpacing/>
              <w:textAlignment w:val="auto"/>
              <w:rPr>
                <w:rFonts w:ascii="Times New Roman" w:hAnsi="Times New Roman"/>
                <w:sz w:val="18"/>
                <w:szCs w:val="18"/>
              </w:rPr>
            </w:pPr>
          </w:p>
        </w:tc>
      </w:tr>
      <w:tr w:rsidR="007F407A" w:rsidRPr="0008253F" w:rsidTr="00113EB0">
        <w:tc>
          <w:tcPr>
            <w:tcW w:w="4201" w:type="dxa"/>
          </w:tcPr>
          <w:p w:rsidR="007F407A" w:rsidRPr="00313DDF" w:rsidRDefault="007F407A" w:rsidP="00125F05">
            <w:pPr>
              <w:autoSpaceDE w:val="0"/>
              <w:autoSpaceDN w:val="0"/>
              <w:adjustRightInd w:val="0"/>
              <w:spacing w:before="53"/>
              <w:ind w:right="95"/>
              <w:jc w:val="right"/>
              <w:rPr>
                <w:rFonts w:ascii="Times New Roman" w:hAnsi="Times New Roman"/>
                <w:sz w:val="20"/>
                <w:szCs w:val="20"/>
              </w:rPr>
            </w:pPr>
            <w:r w:rsidRPr="00313DDF">
              <w:rPr>
                <w:rFonts w:ascii="Times New Roman" w:hAnsi="Times New Roman"/>
                <w:sz w:val="20"/>
                <w:szCs w:val="20"/>
              </w:rPr>
              <w:t>Affordable Housing Background Information Overview</w:t>
            </w:r>
          </w:p>
        </w:tc>
        <w:tc>
          <w:tcPr>
            <w:tcW w:w="5087" w:type="dxa"/>
          </w:tcPr>
          <w:p w:rsidR="007F407A" w:rsidRDefault="007F407A" w:rsidP="004C794B">
            <w:pPr>
              <w:pStyle w:val="ListParagraph"/>
              <w:numPr>
                <w:ilvl w:val="0"/>
                <w:numId w:val="6"/>
              </w:numPr>
              <w:suppressAutoHyphens w:val="0"/>
              <w:spacing w:before="53" w:after="0" w:line="240" w:lineRule="auto"/>
              <w:ind w:right="95"/>
              <w:contextualSpacing/>
              <w:textAlignment w:val="auto"/>
              <w:rPr>
                <w:rFonts w:ascii="Times New Roman" w:hAnsi="Times New Roman"/>
                <w:sz w:val="20"/>
                <w:szCs w:val="20"/>
              </w:rPr>
            </w:pPr>
            <w:r>
              <w:rPr>
                <w:rFonts w:ascii="Times New Roman" w:hAnsi="Times New Roman"/>
                <w:sz w:val="20"/>
                <w:szCs w:val="20"/>
              </w:rPr>
              <w:t xml:space="preserve">Presented </w:t>
            </w:r>
            <w:r w:rsidR="006B43CA">
              <w:rPr>
                <w:rFonts w:ascii="Times New Roman" w:hAnsi="Times New Roman"/>
                <w:sz w:val="20"/>
                <w:szCs w:val="20"/>
              </w:rPr>
              <w:t>the following:</w:t>
            </w:r>
          </w:p>
          <w:p w:rsidR="007F407A" w:rsidRPr="001C07DA" w:rsidRDefault="007F407A" w:rsidP="004C794B">
            <w:pPr>
              <w:pStyle w:val="ListParagraph"/>
              <w:numPr>
                <w:ilvl w:val="1"/>
                <w:numId w:val="6"/>
              </w:numPr>
              <w:suppressAutoHyphens w:val="0"/>
              <w:spacing w:before="53" w:after="0" w:line="240" w:lineRule="auto"/>
              <w:ind w:right="95"/>
              <w:contextualSpacing/>
              <w:textAlignment w:val="auto"/>
              <w:rPr>
                <w:rFonts w:ascii="Times New Roman" w:hAnsi="Times New Roman"/>
                <w:sz w:val="18"/>
                <w:szCs w:val="18"/>
              </w:rPr>
            </w:pPr>
            <w:r w:rsidRPr="001C07DA">
              <w:rPr>
                <w:rFonts w:ascii="Times New Roman" w:hAnsi="Times New Roman"/>
                <w:sz w:val="18"/>
                <w:szCs w:val="18"/>
              </w:rPr>
              <w:t>Inventory of affordable housing units</w:t>
            </w:r>
          </w:p>
          <w:p w:rsidR="007F407A" w:rsidRPr="001C07DA" w:rsidRDefault="007F407A" w:rsidP="004C794B">
            <w:pPr>
              <w:pStyle w:val="ListParagraph"/>
              <w:numPr>
                <w:ilvl w:val="1"/>
                <w:numId w:val="6"/>
              </w:numPr>
              <w:suppressAutoHyphens w:val="0"/>
              <w:spacing w:before="53" w:after="0" w:line="240" w:lineRule="auto"/>
              <w:ind w:right="95"/>
              <w:contextualSpacing/>
              <w:textAlignment w:val="auto"/>
              <w:rPr>
                <w:rFonts w:ascii="Times New Roman" w:hAnsi="Times New Roman"/>
                <w:sz w:val="18"/>
                <w:szCs w:val="18"/>
              </w:rPr>
            </w:pPr>
            <w:r w:rsidRPr="001C07DA">
              <w:rPr>
                <w:rFonts w:ascii="Times New Roman" w:hAnsi="Times New Roman"/>
                <w:sz w:val="18"/>
                <w:szCs w:val="18"/>
              </w:rPr>
              <w:t>City of Napa funding history</w:t>
            </w:r>
          </w:p>
          <w:p w:rsidR="007F407A" w:rsidRPr="00522B9F" w:rsidRDefault="007F407A" w:rsidP="004C794B">
            <w:pPr>
              <w:pStyle w:val="ListParagraph"/>
              <w:numPr>
                <w:ilvl w:val="1"/>
                <w:numId w:val="6"/>
              </w:numPr>
              <w:suppressAutoHyphens w:val="0"/>
              <w:spacing w:before="53" w:after="0" w:line="240" w:lineRule="auto"/>
              <w:ind w:right="95"/>
              <w:contextualSpacing/>
              <w:textAlignment w:val="auto"/>
              <w:rPr>
                <w:rFonts w:ascii="Times New Roman" w:hAnsi="Times New Roman"/>
              </w:rPr>
            </w:pPr>
            <w:r w:rsidRPr="001C07DA">
              <w:rPr>
                <w:rFonts w:ascii="Times New Roman" w:hAnsi="Times New Roman"/>
                <w:sz w:val="18"/>
                <w:szCs w:val="18"/>
              </w:rPr>
              <w:t>Section 8 rental assistance statistics</w:t>
            </w:r>
          </w:p>
          <w:p w:rsidR="007F407A" w:rsidRPr="00313DDF" w:rsidRDefault="007F407A" w:rsidP="00125F05">
            <w:pPr>
              <w:pStyle w:val="ListParagraph"/>
              <w:suppressAutoHyphens w:val="0"/>
              <w:spacing w:before="53" w:after="0" w:line="240" w:lineRule="auto"/>
              <w:ind w:left="1440" w:right="95"/>
              <w:contextualSpacing/>
              <w:textAlignment w:val="auto"/>
              <w:rPr>
                <w:rFonts w:ascii="Times New Roman" w:hAnsi="Times New Roman"/>
              </w:rPr>
            </w:pPr>
          </w:p>
        </w:tc>
      </w:tr>
      <w:tr w:rsidR="007F407A" w:rsidRPr="0008253F" w:rsidTr="00113EB0">
        <w:tc>
          <w:tcPr>
            <w:tcW w:w="4201" w:type="dxa"/>
          </w:tcPr>
          <w:p w:rsidR="007F407A" w:rsidRPr="00313DDF" w:rsidRDefault="007F407A" w:rsidP="00125F05">
            <w:pPr>
              <w:autoSpaceDE w:val="0"/>
              <w:autoSpaceDN w:val="0"/>
              <w:adjustRightInd w:val="0"/>
              <w:spacing w:before="53"/>
              <w:ind w:right="95"/>
              <w:jc w:val="right"/>
              <w:rPr>
                <w:rFonts w:ascii="Times New Roman" w:hAnsi="Times New Roman"/>
                <w:sz w:val="20"/>
                <w:szCs w:val="20"/>
              </w:rPr>
            </w:pPr>
            <w:r>
              <w:rPr>
                <w:rFonts w:ascii="Times New Roman" w:hAnsi="Times New Roman"/>
                <w:sz w:val="20"/>
                <w:szCs w:val="20"/>
              </w:rPr>
              <w:t>Housing Needs Requirements</w:t>
            </w:r>
          </w:p>
        </w:tc>
        <w:tc>
          <w:tcPr>
            <w:tcW w:w="5087" w:type="dxa"/>
          </w:tcPr>
          <w:p w:rsidR="007F407A" w:rsidRPr="000A7999" w:rsidRDefault="007F407A" w:rsidP="004C794B">
            <w:pPr>
              <w:pStyle w:val="ListParagraph"/>
              <w:numPr>
                <w:ilvl w:val="0"/>
                <w:numId w:val="7"/>
              </w:numPr>
              <w:suppressAutoHyphens w:val="0"/>
              <w:spacing w:before="53" w:after="0" w:line="240" w:lineRule="auto"/>
              <w:ind w:right="95"/>
              <w:contextualSpacing/>
              <w:textAlignment w:val="auto"/>
              <w:rPr>
                <w:rFonts w:ascii="Times New Roman" w:hAnsi="Times New Roman"/>
                <w:sz w:val="20"/>
                <w:szCs w:val="20"/>
              </w:rPr>
            </w:pPr>
            <w:r w:rsidRPr="000A7999">
              <w:rPr>
                <w:rFonts w:ascii="Times New Roman" w:hAnsi="Times New Roman"/>
                <w:sz w:val="20"/>
                <w:szCs w:val="20"/>
              </w:rPr>
              <w:t xml:space="preserve">Presented </w:t>
            </w:r>
            <w:r w:rsidR="006B43CA">
              <w:rPr>
                <w:rFonts w:ascii="Times New Roman" w:hAnsi="Times New Roman"/>
                <w:sz w:val="20"/>
                <w:szCs w:val="20"/>
              </w:rPr>
              <w:t>the following:</w:t>
            </w:r>
          </w:p>
          <w:p w:rsidR="007F407A" w:rsidRPr="000A7999" w:rsidRDefault="007F407A" w:rsidP="004C794B">
            <w:pPr>
              <w:pStyle w:val="ListParagraph"/>
              <w:numPr>
                <w:ilvl w:val="1"/>
                <w:numId w:val="7"/>
              </w:numPr>
              <w:suppressAutoHyphens w:val="0"/>
              <w:spacing w:before="53" w:after="0" w:line="240" w:lineRule="auto"/>
              <w:ind w:right="95"/>
              <w:contextualSpacing/>
              <w:textAlignment w:val="auto"/>
              <w:rPr>
                <w:rFonts w:ascii="Times New Roman" w:hAnsi="Times New Roman"/>
                <w:sz w:val="18"/>
                <w:szCs w:val="18"/>
              </w:rPr>
            </w:pPr>
            <w:r w:rsidRPr="000A7999">
              <w:rPr>
                <w:rFonts w:ascii="Times New Roman" w:hAnsi="Times New Roman"/>
                <w:sz w:val="18"/>
                <w:szCs w:val="18"/>
              </w:rPr>
              <w:t>Farmworker sector background information</w:t>
            </w:r>
          </w:p>
          <w:p w:rsidR="007F407A" w:rsidRPr="000A7999" w:rsidRDefault="007F407A" w:rsidP="004C794B">
            <w:pPr>
              <w:pStyle w:val="ListParagraph"/>
              <w:numPr>
                <w:ilvl w:val="1"/>
                <w:numId w:val="7"/>
              </w:numPr>
              <w:suppressAutoHyphens w:val="0"/>
              <w:spacing w:before="53" w:after="0" w:line="240" w:lineRule="auto"/>
              <w:ind w:right="95"/>
              <w:contextualSpacing/>
              <w:textAlignment w:val="auto"/>
              <w:rPr>
                <w:rFonts w:ascii="Times New Roman" w:hAnsi="Times New Roman"/>
                <w:sz w:val="18"/>
                <w:szCs w:val="18"/>
              </w:rPr>
            </w:pPr>
            <w:r w:rsidRPr="000A7999">
              <w:rPr>
                <w:rFonts w:ascii="Times New Roman" w:hAnsi="Times New Roman"/>
                <w:sz w:val="18"/>
                <w:szCs w:val="18"/>
              </w:rPr>
              <w:t>Immigration study overview</w:t>
            </w:r>
          </w:p>
          <w:p w:rsidR="007F407A" w:rsidRPr="000A7999" w:rsidRDefault="007F407A" w:rsidP="004C794B">
            <w:pPr>
              <w:pStyle w:val="ListParagraph"/>
              <w:numPr>
                <w:ilvl w:val="1"/>
                <w:numId w:val="7"/>
              </w:numPr>
              <w:suppressAutoHyphens w:val="0"/>
              <w:spacing w:before="53" w:after="0" w:line="240" w:lineRule="auto"/>
              <w:ind w:right="95"/>
              <w:contextualSpacing/>
              <w:textAlignment w:val="auto"/>
              <w:rPr>
                <w:rFonts w:ascii="Times New Roman" w:hAnsi="Times New Roman"/>
                <w:sz w:val="18"/>
                <w:szCs w:val="18"/>
              </w:rPr>
            </w:pPr>
            <w:r w:rsidRPr="000A7999">
              <w:rPr>
                <w:rFonts w:ascii="Times New Roman" w:hAnsi="Times New Roman"/>
                <w:sz w:val="18"/>
                <w:szCs w:val="18"/>
              </w:rPr>
              <w:t>Large employer data</w:t>
            </w:r>
          </w:p>
          <w:p w:rsidR="007F407A" w:rsidRPr="000A7999" w:rsidRDefault="007F407A" w:rsidP="004C794B">
            <w:pPr>
              <w:pStyle w:val="ListParagraph"/>
              <w:numPr>
                <w:ilvl w:val="1"/>
                <w:numId w:val="7"/>
              </w:numPr>
              <w:suppressAutoHyphens w:val="0"/>
              <w:spacing w:before="53" w:after="0" w:line="240" w:lineRule="auto"/>
              <w:ind w:right="95"/>
              <w:contextualSpacing/>
              <w:textAlignment w:val="auto"/>
              <w:rPr>
                <w:rFonts w:ascii="Times New Roman" w:hAnsi="Times New Roman"/>
                <w:sz w:val="18"/>
                <w:szCs w:val="18"/>
              </w:rPr>
            </w:pPr>
            <w:r w:rsidRPr="000A7999">
              <w:rPr>
                <w:rFonts w:ascii="Times New Roman" w:hAnsi="Times New Roman"/>
                <w:sz w:val="18"/>
                <w:szCs w:val="18"/>
              </w:rPr>
              <w:t>Existing homeless stats</w:t>
            </w:r>
          </w:p>
          <w:p w:rsidR="007F407A" w:rsidRPr="000A7999" w:rsidRDefault="007F407A" w:rsidP="004C794B">
            <w:pPr>
              <w:pStyle w:val="ListParagraph"/>
              <w:numPr>
                <w:ilvl w:val="1"/>
                <w:numId w:val="7"/>
              </w:numPr>
              <w:suppressAutoHyphens w:val="0"/>
              <w:spacing w:before="53" w:after="0" w:line="240" w:lineRule="auto"/>
              <w:ind w:right="95"/>
              <w:contextualSpacing/>
              <w:textAlignment w:val="auto"/>
              <w:rPr>
                <w:rFonts w:ascii="Times New Roman" w:hAnsi="Times New Roman"/>
                <w:sz w:val="18"/>
                <w:szCs w:val="18"/>
              </w:rPr>
            </w:pPr>
            <w:r w:rsidRPr="000A7999">
              <w:rPr>
                <w:rFonts w:ascii="Times New Roman" w:hAnsi="Times New Roman"/>
                <w:sz w:val="18"/>
                <w:szCs w:val="18"/>
              </w:rPr>
              <w:t>Cities/County housing element requirements</w:t>
            </w:r>
          </w:p>
          <w:p w:rsidR="007F407A" w:rsidRPr="000A7999" w:rsidRDefault="007F407A" w:rsidP="004C794B">
            <w:pPr>
              <w:pStyle w:val="ListParagraph"/>
              <w:numPr>
                <w:ilvl w:val="1"/>
                <w:numId w:val="7"/>
              </w:numPr>
              <w:suppressAutoHyphens w:val="0"/>
              <w:spacing w:before="53" w:after="0" w:line="240" w:lineRule="auto"/>
              <w:ind w:right="95"/>
              <w:contextualSpacing/>
              <w:textAlignment w:val="auto"/>
              <w:rPr>
                <w:rFonts w:ascii="Times New Roman" w:hAnsi="Times New Roman"/>
                <w:sz w:val="18"/>
                <w:szCs w:val="18"/>
              </w:rPr>
            </w:pPr>
            <w:r w:rsidRPr="000A7999">
              <w:rPr>
                <w:rFonts w:ascii="Times New Roman" w:hAnsi="Times New Roman"/>
                <w:sz w:val="18"/>
                <w:szCs w:val="18"/>
              </w:rPr>
              <w:t>Regional housing needs assessment – affordable housing unit allocation</w:t>
            </w:r>
          </w:p>
          <w:p w:rsidR="007F407A" w:rsidRPr="000A7999" w:rsidRDefault="007F407A" w:rsidP="004C794B">
            <w:pPr>
              <w:pStyle w:val="ListParagraph"/>
              <w:numPr>
                <w:ilvl w:val="1"/>
                <w:numId w:val="7"/>
              </w:numPr>
              <w:suppressAutoHyphens w:val="0"/>
              <w:spacing w:before="53" w:after="0" w:line="240" w:lineRule="auto"/>
              <w:ind w:right="95"/>
              <w:contextualSpacing/>
              <w:textAlignment w:val="auto"/>
              <w:rPr>
                <w:rFonts w:ascii="Times New Roman" w:hAnsi="Times New Roman"/>
                <w:sz w:val="18"/>
                <w:szCs w:val="18"/>
              </w:rPr>
            </w:pPr>
            <w:r w:rsidRPr="000A7999">
              <w:rPr>
                <w:rFonts w:ascii="Times New Roman" w:hAnsi="Times New Roman"/>
                <w:sz w:val="18"/>
                <w:szCs w:val="18"/>
              </w:rPr>
              <w:t>Commuter data</w:t>
            </w:r>
          </w:p>
          <w:p w:rsidR="007F407A" w:rsidRPr="00522B9F" w:rsidRDefault="007F407A" w:rsidP="004C794B">
            <w:pPr>
              <w:pStyle w:val="ListParagraph"/>
              <w:numPr>
                <w:ilvl w:val="1"/>
                <w:numId w:val="7"/>
              </w:numPr>
              <w:suppressAutoHyphens w:val="0"/>
              <w:spacing w:before="53" w:after="0" w:line="240" w:lineRule="auto"/>
              <w:ind w:right="95"/>
              <w:contextualSpacing/>
              <w:textAlignment w:val="auto"/>
              <w:rPr>
                <w:rFonts w:ascii="Times New Roman" w:hAnsi="Times New Roman"/>
              </w:rPr>
            </w:pPr>
            <w:r w:rsidRPr="000A7999">
              <w:rPr>
                <w:rFonts w:ascii="Times New Roman" w:hAnsi="Times New Roman"/>
                <w:sz w:val="18"/>
                <w:szCs w:val="18"/>
              </w:rPr>
              <w:t>Occupations by affordable income category</w:t>
            </w:r>
          </w:p>
          <w:p w:rsidR="007F407A" w:rsidRPr="00313DDF" w:rsidRDefault="007F407A" w:rsidP="00125F05">
            <w:pPr>
              <w:pStyle w:val="ListParagraph"/>
              <w:suppressAutoHyphens w:val="0"/>
              <w:spacing w:before="53" w:after="0" w:line="240" w:lineRule="auto"/>
              <w:ind w:left="1440" w:right="95"/>
              <w:contextualSpacing/>
              <w:textAlignment w:val="auto"/>
              <w:rPr>
                <w:rFonts w:ascii="Times New Roman" w:hAnsi="Times New Roman"/>
              </w:rPr>
            </w:pPr>
          </w:p>
        </w:tc>
      </w:tr>
      <w:tr w:rsidR="007F407A" w:rsidRPr="0008253F" w:rsidTr="00113EB0">
        <w:tc>
          <w:tcPr>
            <w:tcW w:w="4201" w:type="dxa"/>
            <w:tcBorders>
              <w:bottom w:val="single" w:sz="4" w:space="0" w:color="auto"/>
            </w:tcBorders>
          </w:tcPr>
          <w:p w:rsidR="007F407A" w:rsidRPr="00313DDF" w:rsidRDefault="007F407A" w:rsidP="0011649E">
            <w:pPr>
              <w:autoSpaceDE w:val="0"/>
              <w:autoSpaceDN w:val="0"/>
              <w:adjustRightInd w:val="0"/>
              <w:spacing w:before="53"/>
              <w:ind w:right="95"/>
              <w:rPr>
                <w:rFonts w:ascii="Times New Roman" w:hAnsi="Times New Roman"/>
                <w:sz w:val="20"/>
                <w:szCs w:val="20"/>
              </w:rPr>
            </w:pPr>
            <w:r>
              <w:rPr>
                <w:rFonts w:ascii="Times New Roman" w:hAnsi="Times New Roman"/>
                <w:sz w:val="20"/>
                <w:szCs w:val="20"/>
              </w:rPr>
              <w:t>Task Force Discussion of Affordable Housing Needs and Issues</w:t>
            </w:r>
          </w:p>
        </w:tc>
        <w:tc>
          <w:tcPr>
            <w:tcW w:w="5087" w:type="dxa"/>
            <w:tcBorders>
              <w:bottom w:val="single" w:sz="4" w:space="0" w:color="auto"/>
            </w:tcBorders>
          </w:tcPr>
          <w:p w:rsidR="007F407A" w:rsidRPr="00313DDF" w:rsidRDefault="007F407A" w:rsidP="004C794B">
            <w:pPr>
              <w:pStyle w:val="ListParagraph"/>
              <w:numPr>
                <w:ilvl w:val="0"/>
                <w:numId w:val="6"/>
              </w:numPr>
              <w:suppressAutoHyphens w:val="0"/>
              <w:spacing w:before="53" w:after="0" w:line="240" w:lineRule="auto"/>
              <w:ind w:right="95"/>
              <w:contextualSpacing/>
              <w:textAlignment w:val="auto"/>
              <w:rPr>
                <w:rFonts w:ascii="Times New Roman" w:hAnsi="Times New Roman"/>
                <w:sz w:val="20"/>
                <w:szCs w:val="20"/>
              </w:rPr>
            </w:pPr>
            <w:r>
              <w:rPr>
                <w:rFonts w:ascii="Times New Roman" w:hAnsi="Times New Roman"/>
                <w:sz w:val="20"/>
                <w:szCs w:val="20"/>
              </w:rPr>
              <w:t>Discussion of task force goals</w:t>
            </w:r>
          </w:p>
          <w:p w:rsidR="007F407A" w:rsidRPr="00313DDF" w:rsidRDefault="007F407A" w:rsidP="004C794B">
            <w:pPr>
              <w:pStyle w:val="ListParagraph"/>
              <w:numPr>
                <w:ilvl w:val="0"/>
                <w:numId w:val="6"/>
              </w:numPr>
              <w:suppressAutoHyphens w:val="0"/>
              <w:spacing w:before="53" w:after="0" w:line="240" w:lineRule="auto"/>
              <w:ind w:right="95"/>
              <w:contextualSpacing/>
              <w:textAlignment w:val="auto"/>
              <w:rPr>
                <w:rFonts w:ascii="Times New Roman" w:hAnsi="Times New Roman"/>
                <w:sz w:val="20"/>
                <w:szCs w:val="20"/>
              </w:rPr>
            </w:pPr>
            <w:r>
              <w:rPr>
                <w:rFonts w:ascii="Times New Roman" w:hAnsi="Times New Roman"/>
                <w:sz w:val="20"/>
                <w:szCs w:val="20"/>
              </w:rPr>
              <w:t>Discussion of priority needs</w:t>
            </w:r>
          </w:p>
          <w:p w:rsidR="007F407A" w:rsidRPr="00DF67E1" w:rsidRDefault="007F407A" w:rsidP="004C794B">
            <w:pPr>
              <w:pStyle w:val="ListParagraph"/>
              <w:numPr>
                <w:ilvl w:val="0"/>
                <w:numId w:val="6"/>
              </w:numPr>
              <w:suppressAutoHyphens w:val="0"/>
              <w:spacing w:before="53" w:after="0" w:line="240" w:lineRule="auto"/>
              <w:ind w:right="95"/>
              <w:contextualSpacing/>
              <w:textAlignment w:val="auto"/>
              <w:rPr>
                <w:rFonts w:ascii="Times New Roman" w:hAnsi="Times New Roman"/>
              </w:rPr>
            </w:pPr>
            <w:r>
              <w:rPr>
                <w:rFonts w:ascii="Times New Roman" w:hAnsi="Times New Roman"/>
                <w:sz w:val="20"/>
                <w:szCs w:val="20"/>
              </w:rPr>
              <w:t>Identification of affordable housing issues</w:t>
            </w:r>
          </w:p>
          <w:p w:rsidR="007F407A" w:rsidRPr="00F11C3B" w:rsidRDefault="007F407A" w:rsidP="004C794B">
            <w:pPr>
              <w:pStyle w:val="ListParagraph"/>
              <w:numPr>
                <w:ilvl w:val="0"/>
                <w:numId w:val="6"/>
              </w:numPr>
              <w:suppressAutoHyphens w:val="0"/>
              <w:spacing w:before="53" w:after="0" w:line="240" w:lineRule="auto"/>
              <w:ind w:right="95"/>
              <w:contextualSpacing/>
              <w:textAlignment w:val="auto"/>
              <w:rPr>
                <w:rFonts w:ascii="Times New Roman" w:hAnsi="Times New Roman"/>
              </w:rPr>
            </w:pPr>
            <w:r>
              <w:rPr>
                <w:rFonts w:ascii="Times New Roman" w:hAnsi="Times New Roman"/>
                <w:sz w:val="20"/>
                <w:szCs w:val="20"/>
              </w:rPr>
              <w:t>Identification of attainable solutions</w:t>
            </w:r>
          </w:p>
          <w:p w:rsidR="007F407A" w:rsidRPr="00313DDF" w:rsidRDefault="007F407A" w:rsidP="00125F05">
            <w:pPr>
              <w:pStyle w:val="ListParagraph"/>
              <w:suppressAutoHyphens w:val="0"/>
              <w:spacing w:before="53" w:after="0" w:line="240" w:lineRule="auto"/>
              <w:ind w:right="95"/>
              <w:contextualSpacing/>
              <w:textAlignment w:val="auto"/>
              <w:rPr>
                <w:rFonts w:ascii="Times New Roman" w:hAnsi="Times New Roman"/>
              </w:rPr>
            </w:pPr>
          </w:p>
        </w:tc>
      </w:tr>
      <w:tr w:rsidR="007F407A" w:rsidRPr="0008253F" w:rsidTr="00113EB0">
        <w:tc>
          <w:tcPr>
            <w:tcW w:w="9288" w:type="dxa"/>
            <w:gridSpan w:val="2"/>
            <w:shd w:val="clear" w:color="auto" w:fill="000000" w:themeFill="text1"/>
          </w:tcPr>
          <w:p w:rsidR="007F407A" w:rsidRPr="00F11C3B" w:rsidRDefault="007F407A" w:rsidP="00125F05">
            <w:pPr>
              <w:autoSpaceDE w:val="0"/>
              <w:autoSpaceDN w:val="0"/>
              <w:adjustRightInd w:val="0"/>
              <w:spacing w:before="53"/>
              <w:ind w:right="95"/>
              <w:jc w:val="center"/>
              <w:rPr>
                <w:rFonts w:ascii="Times New Roman" w:hAnsi="Times New Roman"/>
                <w:b/>
              </w:rPr>
            </w:pPr>
            <w:r w:rsidRPr="00F11C3B">
              <w:rPr>
                <w:rFonts w:ascii="Times New Roman" w:hAnsi="Times New Roman"/>
                <w:b/>
              </w:rPr>
              <w:t>August 8, 2012</w:t>
            </w:r>
          </w:p>
        </w:tc>
      </w:tr>
      <w:tr w:rsidR="007F407A" w:rsidRPr="0008253F" w:rsidTr="00113EB0">
        <w:tc>
          <w:tcPr>
            <w:tcW w:w="9288" w:type="dxa"/>
            <w:gridSpan w:val="2"/>
            <w:shd w:val="clear" w:color="auto" w:fill="000000" w:themeFill="text1"/>
          </w:tcPr>
          <w:p w:rsidR="007F407A" w:rsidRDefault="007F407A" w:rsidP="00125F05">
            <w:pPr>
              <w:autoSpaceDE w:val="0"/>
              <w:autoSpaceDN w:val="0"/>
              <w:adjustRightInd w:val="0"/>
              <w:spacing w:before="53"/>
              <w:ind w:right="95"/>
              <w:jc w:val="center"/>
              <w:rPr>
                <w:rFonts w:ascii="Times New Roman" w:hAnsi="Times New Roman"/>
                <w:b/>
              </w:rPr>
            </w:pPr>
            <w:r w:rsidRPr="00F11C3B">
              <w:rPr>
                <w:rFonts w:ascii="Times New Roman" w:hAnsi="Times New Roman"/>
                <w:b/>
              </w:rPr>
              <w:t>Napa Valley College</w:t>
            </w:r>
          </w:p>
          <w:p w:rsidR="007F407A" w:rsidRPr="00F11C3B" w:rsidRDefault="007F407A" w:rsidP="00125F05">
            <w:pPr>
              <w:autoSpaceDE w:val="0"/>
              <w:autoSpaceDN w:val="0"/>
              <w:adjustRightInd w:val="0"/>
              <w:spacing w:before="53"/>
              <w:ind w:right="95"/>
              <w:jc w:val="center"/>
              <w:rPr>
                <w:rFonts w:ascii="Times New Roman" w:hAnsi="Times New Roman"/>
                <w:b/>
              </w:rPr>
            </w:pPr>
          </w:p>
        </w:tc>
      </w:tr>
      <w:tr w:rsidR="007F407A" w:rsidRPr="0008253F" w:rsidTr="00113EB0">
        <w:tc>
          <w:tcPr>
            <w:tcW w:w="4201" w:type="dxa"/>
          </w:tcPr>
          <w:p w:rsidR="007F407A" w:rsidRPr="0008253F" w:rsidRDefault="007F407A" w:rsidP="00125F05">
            <w:pPr>
              <w:autoSpaceDE w:val="0"/>
              <w:autoSpaceDN w:val="0"/>
              <w:adjustRightInd w:val="0"/>
              <w:spacing w:before="53"/>
              <w:ind w:right="95"/>
              <w:jc w:val="center"/>
              <w:rPr>
                <w:rFonts w:ascii="Times New Roman" w:hAnsi="Times New Roman"/>
                <w:b/>
              </w:rPr>
            </w:pPr>
            <w:r w:rsidRPr="0008253F">
              <w:rPr>
                <w:rFonts w:ascii="Times New Roman" w:hAnsi="Times New Roman"/>
                <w:b/>
              </w:rPr>
              <w:t>Topics of Discussion</w:t>
            </w:r>
          </w:p>
        </w:tc>
        <w:tc>
          <w:tcPr>
            <w:tcW w:w="5087" w:type="dxa"/>
          </w:tcPr>
          <w:p w:rsidR="007F407A" w:rsidRPr="0008253F" w:rsidRDefault="007F407A" w:rsidP="00125F05">
            <w:pPr>
              <w:autoSpaceDE w:val="0"/>
              <w:autoSpaceDN w:val="0"/>
              <w:adjustRightInd w:val="0"/>
              <w:spacing w:before="53"/>
              <w:ind w:right="95"/>
              <w:jc w:val="center"/>
              <w:rPr>
                <w:rFonts w:ascii="Times New Roman" w:hAnsi="Times New Roman"/>
                <w:b/>
              </w:rPr>
            </w:pPr>
            <w:r>
              <w:rPr>
                <w:rFonts w:ascii="Times New Roman" w:hAnsi="Times New Roman"/>
                <w:b/>
              </w:rPr>
              <w:t>Description</w:t>
            </w:r>
          </w:p>
        </w:tc>
      </w:tr>
      <w:tr w:rsidR="007F407A" w:rsidRPr="0008253F" w:rsidTr="00113EB0">
        <w:tc>
          <w:tcPr>
            <w:tcW w:w="4201" w:type="dxa"/>
          </w:tcPr>
          <w:p w:rsidR="007F407A" w:rsidRPr="00CB5819" w:rsidRDefault="007F407A" w:rsidP="00125F05">
            <w:pPr>
              <w:autoSpaceDE w:val="0"/>
              <w:autoSpaceDN w:val="0"/>
              <w:adjustRightInd w:val="0"/>
              <w:spacing w:before="53"/>
              <w:ind w:right="95"/>
              <w:jc w:val="right"/>
              <w:rPr>
                <w:rFonts w:ascii="Times New Roman" w:hAnsi="Times New Roman"/>
                <w:sz w:val="20"/>
                <w:szCs w:val="20"/>
              </w:rPr>
            </w:pPr>
            <w:r>
              <w:rPr>
                <w:rFonts w:ascii="Times New Roman" w:hAnsi="Times New Roman"/>
                <w:sz w:val="20"/>
                <w:szCs w:val="20"/>
              </w:rPr>
              <w:t>July 25, 2012 Meeting Recap</w:t>
            </w:r>
          </w:p>
        </w:tc>
        <w:tc>
          <w:tcPr>
            <w:tcW w:w="5087" w:type="dxa"/>
          </w:tcPr>
          <w:p w:rsidR="007F407A" w:rsidRPr="006B43CA" w:rsidRDefault="007F407A" w:rsidP="004C794B">
            <w:pPr>
              <w:pStyle w:val="ListParagraph"/>
              <w:numPr>
                <w:ilvl w:val="0"/>
                <w:numId w:val="28"/>
              </w:numPr>
              <w:spacing w:before="53"/>
              <w:ind w:right="95"/>
              <w:contextualSpacing/>
              <w:rPr>
                <w:sz w:val="20"/>
                <w:szCs w:val="20"/>
              </w:rPr>
            </w:pPr>
            <w:r w:rsidRPr="006B43CA">
              <w:rPr>
                <w:sz w:val="20"/>
                <w:szCs w:val="20"/>
              </w:rPr>
              <w:t>Summarized documents provided as follow-up</w:t>
            </w:r>
          </w:p>
          <w:p w:rsidR="007F407A" w:rsidRPr="000A2C14" w:rsidRDefault="007F407A" w:rsidP="004C794B">
            <w:pPr>
              <w:pStyle w:val="ListParagraph"/>
              <w:numPr>
                <w:ilvl w:val="2"/>
                <w:numId w:val="10"/>
              </w:numPr>
              <w:suppressAutoHyphens w:val="0"/>
              <w:spacing w:before="53" w:after="0" w:line="240" w:lineRule="auto"/>
              <w:ind w:right="95"/>
              <w:contextualSpacing/>
              <w:textAlignment w:val="auto"/>
              <w:rPr>
                <w:rFonts w:ascii="Times New Roman" w:hAnsi="Times New Roman"/>
                <w:sz w:val="20"/>
                <w:szCs w:val="20"/>
              </w:rPr>
            </w:pPr>
            <w:r w:rsidRPr="000A2C14">
              <w:rPr>
                <w:rFonts w:ascii="Times New Roman" w:hAnsi="Times New Roman"/>
                <w:sz w:val="16"/>
                <w:szCs w:val="16"/>
              </w:rPr>
              <w:t>Number of housing units in Napa County</w:t>
            </w:r>
          </w:p>
          <w:p w:rsidR="007F407A" w:rsidRPr="000A2C14" w:rsidRDefault="007F407A" w:rsidP="004C794B">
            <w:pPr>
              <w:pStyle w:val="ListParagraph"/>
              <w:numPr>
                <w:ilvl w:val="2"/>
                <w:numId w:val="10"/>
              </w:numPr>
              <w:suppressAutoHyphens w:val="0"/>
              <w:spacing w:before="53" w:after="0" w:line="240" w:lineRule="auto"/>
              <w:ind w:right="95"/>
              <w:contextualSpacing/>
              <w:textAlignment w:val="auto"/>
              <w:rPr>
                <w:rFonts w:ascii="Times New Roman" w:hAnsi="Times New Roman"/>
                <w:sz w:val="20"/>
                <w:szCs w:val="20"/>
              </w:rPr>
            </w:pPr>
            <w:r w:rsidRPr="000A2C14">
              <w:rPr>
                <w:rFonts w:ascii="Times New Roman" w:hAnsi="Times New Roman"/>
                <w:sz w:val="16"/>
                <w:szCs w:val="16"/>
              </w:rPr>
              <w:t>Large employers</w:t>
            </w:r>
          </w:p>
          <w:p w:rsidR="007F407A" w:rsidRPr="000A2C14" w:rsidRDefault="007F407A" w:rsidP="004C794B">
            <w:pPr>
              <w:pStyle w:val="ListParagraph"/>
              <w:numPr>
                <w:ilvl w:val="2"/>
                <w:numId w:val="10"/>
              </w:numPr>
              <w:suppressAutoHyphens w:val="0"/>
              <w:spacing w:before="53" w:after="0" w:line="240" w:lineRule="auto"/>
              <w:ind w:right="95"/>
              <w:contextualSpacing/>
              <w:textAlignment w:val="auto"/>
              <w:rPr>
                <w:rFonts w:ascii="Times New Roman" w:hAnsi="Times New Roman"/>
                <w:sz w:val="20"/>
                <w:szCs w:val="20"/>
              </w:rPr>
            </w:pPr>
            <w:r w:rsidRPr="000A2C14">
              <w:rPr>
                <w:rFonts w:ascii="Times New Roman" w:hAnsi="Times New Roman"/>
                <w:sz w:val="16"/>
                <w:szCs w:val="16"/>
              </w:rPr>
              <w:t>5-year projection of funding sources</w:t>
            </w:r>
          </w:p>
          <w:p w:rsidR="007F407A" w:rsidRPr="00522B9F" w:rsidRDefault="007F407A" w:rsidP="004C794B">
            <w:pPr>
              <w:pStyle w:val="ListParagraph"/>
              <w:numPr>
                <w:ilvl w:val="2"/>
                <w:numId w:val="10"/>
              </w:numPr>
              <w:suppressAutoHyphens w:val="0"/>
              <w:spacing w:before="53" w:after="0" w:line="240" w:lineRule="auto"/>
              <w:ind w:right="95"/>
              <w:contextualSpacing/>
              <w:textAlignment w:val="auto"/>
              <w:rPr>
                <w:rFonts w:ascii="Times New Roman" w:hAnsi="Times New Roman"/>
                <w:sz w:val="20"/>
                <w:szCs w:val="20"/>
              </w:rPr>
            </w:pPr>
            <w:r w:rsidRPr="000A2C14">
              <w:rPr>
                <w:rFonts w:ascii="Times New Roman" w:hAnsi="Times New Roman"/>
                <w:sz w:val="16"/>
                <w:szCs w:val="16"/>
              </w:rPr>
              <w:t xml:space="preserve">Proformas for affordable new construction and </w:t>
            </w:r>
            <w:r w:rsidR="00507907">
              <w:rPr>
                <w:rFonts w:ascii="Times New Roman" w:hAnsi="Times New Roman"/>
                <w:sz w:val="16"/>
                <w:szCs w:val="16"/>
              </w:rPr>
              <w:t>rehabilitation</w:t>
            </w:r>
            <w:r w:rsidRPr="000A2C14">
              <w:rPr>
                <w:rFonts w:ascii="Times New Roman" w:hAnsi="Times New Roman"/>
                <w:sz w:val="16"/>
                <w:szCs w:val="16"/>
              </w:rPr>
              <w:t xml:space="preserve"> projects</w:t>
            </w:r>
          </w:p>
          <w:p w:rsidR="007F407A" w:rsidRPr="000A2C14" w:rsidRDefault="007F407A" w:rsidP="00125F05">
            <w:pPr>
              <w:pStyle w:val="ListParagraph"/>
              <w:suppressAutoHyphens w:val="0"/>
              <w:spacing w:before="53" w:after="0" w:line="240" w:lineRule="auto"/>
              <w:ind w:left="2160" w:right="95"/>
              <w:contextualSpacing/>
              <w:textAlignment w:val="auto"/>
              <w:rPr>
                <w:rFonts w:ascii="Times New Roman" w:hAnsi="Times New Roman"/>
                <w:sz w:val="20"/>
                <w:szCs w:val="20"/>
              </w:rPr>
            </w:pPr>
          </w:p>
        </w:tc>
      </w:tr>
      <w:tr w:rsidR="007F407A" w:rsidRPr="0008253F" w:rsidTr="00113EB0">
        <w:tc>
          <w:tcPr>
            <w:tcW w:w="4201" w:type="dxa"/>
          </w:tcPr>
          <w:p w:rsidR="007F407A" w:rsidRPr="00CB5819" w:rsidRDefault="007F407A" w:rsidP="00125F05">
            <w:pPr>
              <w:autoSpaceDE w:val="0"/>
              <w:autoSpaceDN w:val="0"/>
              <w:adjustRightInd w:val="0"/>
              <w:spacing w:before="53"/>
              <w:ind w:right="95"/>
              <w:jc w:val="right"/>
              <w:rPr>
                <w:rFonts w:ascii="Times New Roman" w:hAnsi="Times New Roman"/>
                <w:sz w:val="20"/>
                <w:szCs w:val="20"/>
              </w:rPr>
            </w:pPr>
            <w:r w:rsidRPr="00CB5819">
              <w:rPr>
                <w:rFonts w:ascii="Times New Roman" w:hAnsi="Times New Roman"/>
                <w:sz w:val="20"/>
                <w:szCs w:val="20"/>
              </w:rPr>
              <w:t>Affordable Housing Funding Sources and How These Funds Are Used</w:t>
            </w:r>
          </w:p>
        </w:tc>
        <w:tc>
          <w:tcPr>
            <w:tcW w:w="5087" w:type="dxa"/>
          </w:tcPr>
          <w:p w:rsidR="007F407A" w:rsidRPr="006B43CA" w:rsidRDefault="007F407A" w:rsidP="004C794B">
            <w:pPr>
              <w:pStyle w:val="ListParagraph"/>
              <w:numPr>
                <w:ilvl w:val="0"/>
                <w:numId w:val="28"/>
              </w:numPr>
              <w:spacing w:before="53"/>
              <w:ind w:right="95"/>
              <w:contextualSpacing/>
              <w:rPr>
                <w:sz w:val="20"/>
                <w:szCs w:val="20"/>
              </w:rPr>
            </w:pPr>
            <w:r w:rsidRPr="006B43CA">
              <w:rPr>
                <w:sz w:val="20"/>
                <w:szCs w:val="20"/>
              </w:rPr>
              <w:t>Why affordable housing is more expensive than market rate</w:t>
            </w:r>
          </w:p>
          <w:p w:rsidR="007F407A" w:rsidRPr="000A2C14" w:rsidRDefault="007F407A" w:rsidP="004C794B">
            <w:pPr>
              <w:pStyle w:val="ListParagraph"/>
              <w:numPr>
                <w:ilvl w:val="2"/>
                <w:numId w:val="8"/>
              </w:numPr>
              <w:suppressAutoHyphens w:val="0"/>
              <w:spacing w:before="53" w:after="0" w:line="240" w:lineRule="auto"/>
              <w:ind w:right="95"/>
              <w:contextualSpacing/>
              <w:textAlignment w:val="auto"/>
              <w:rPr>
                <w:rFonts w:ascii="Times New Roman" w:hAnsi="Times New Roman"/>
                <w:sz w:val="16"/>
                <w:szCs w:val="16"/>
              </w:rPr>
            </w:pPr>
            <w:r w:rsidRPr="000A2C14">
              <w:rPr>
                <w:rFonts w:ascii="Times New Roman" w:hAnsi="Times New Roman"/>
                <w:sz w:val="16"/>
                <w:szCs w:val="16"/>
              </w:rPr>
              <w:t>Clarification on affordable housing up-front developer fee compared to on-going ROI for market rate developments</w:t>
            </w:r>
          </w:p>
          <w:p w:rsidR="007F407A" w:rsidRPr="000A2C14" w:rsidRDefault="007F407A" w:rsidP="004C794B">
            <w:pPr>
              <w:pStyle w:val="ListParagraph"/>
              <w:numPr>
                <w:ilvl w:val="2"/>
                <w:numId w:val="8"/>
              </w:numPr>
              <w:suppressAutoHyphens w:val="0"/>
              <w:spacing w:before="53" w:after="0" w:line="240" w:lineRule="auto"/>
              <w:ind w:right="95"/>
              <w:contextualSpacing/>
              <w:textAlignment w:val="auto"/>
              <w:rPr>
                <w:rFonts w:ascii="Times New Roman" w:hAnsi="Times New Roman"/>
                <w:sz w:val="16"/>
                <w:szCs w:val="16"/>
              </w:rPr>
            </w:pPr>
            <w:r w:rsidRPr="000A2C14">
              <w:rPr>
                <w:rFonts w:ascii="Times New Roman" w:hAnsi="Times New Roman"/>
                <w:sz w:val="16"/>
                <w:szCs w:val="16"/>
              </w:rPr>
              <w:t>Status of various existing and potential funding sources</w:t>
            </w:r>
          </w:p>
          <w:p w:rsidR="007F407A" w:rsidRPr="00522B9F" w:rsidRDefault="007F407A" w:rsidP="004C794B">
            <w:pPr>
              <w:pStyle w:val="ListParagraph"/>
              <w:numPr>
                <w:ilvl w:val="2"/>
                <w:numId w:val="8"/>
              </w:numPr>
              <w:suppressAutoHyphens w:val="0"/>
              <w:spacing w:before="53" w:after="0" w:line="240" w:lineRule="auto"/>
              <w:ind w:right="95"/>
              <w:contextualSpacing/>
              <w:textAlignment w:val="auto"/>
              <w:rPr>
                <w:rFonts w:ascii="Times New Roman" w:hAnsi="Times New Roman"/>
                <w:sz w:val="20"/>
                <w:szCs w:val="20"/>
              </w:rPr>
            </w:pPr>
            <w:r w:rsidRPr="000A2C14">
              <w:rPr>
                <w:rFonts w:ascii="Times New Roman" w:hAnsi="Times New Roman"/>
                <w:sz w:val="16"/>
                <w:szCs w:val="16"/>
              </w:rPr>
              <w:t>Proposed legislation that may impact affordable housing</w:t>
            </w:r>
            <w:r w:rsidRPr="000A2C14">
              <w:rPr>
                <w:rFonts w:ascii="Times New Roman" w:hAnsi="Times New Roman"/>
                <w:sz w:val="18"/>
                <w:szCs w:val="18"/>
              </w:rPr>
              <w:t xml:space="preserve"> </w:t>
            </w:r>
          </w:p>
          <w:p w:rsidR="007F407A" w:rsidRPr="000A2C14" w:rsidRDefault="007F407A" w:rsidP="00125F05">
            <w:pPr>
              <w:pStyle w:val="ListParagraph"/>
              <w:suppressAutoHyphens w:val="0"/>
              <w:spacing w:before="53" w:after="0" w:line="240" w:lineRule="auto"/>
              <w:ind w:left="2160" w:right="95"/>
              <w:contextualSpacing/>
              <w:textAlignment w:val="auto"/>
              <w:rPr>
                <w:rFonts w:ascii="Times New Roman" w:hAnsi="Times New Roman"/>
                <w:sz w:val="20"/>
                <w:szCs w:val="20"/>
              </w:rPr>
            </w:pPr>
          </w:p>
        </w:tc>
      </w:tr>
      <w:tr w:rsidR="007F407A" w:rsidRPr="0008253F" w:rsidTr="00113EB0">
        <w:tc>
          <w:tcPr>
            <w:tcW w:w="4201" w:type="dxa"/>
          </w:tcPr>
          <w:p w:rsidR="007F407A" w:rsidRPr="00CB5819" w:rsidRDefault="007F407A" w:rsidP="00BC0B18">
            <w:pPr>
              <w:autoSpaceDE w:val="0"/>
              <w:autoSpaceDN w:val="0"/>
              <w:adjustRightInd w:val="0"/>
              <w:spacing w:before="53"/>
              <w:ind w:right="95"/>
              <w:jc w:val="right"/>
              <w:rPr>
                <w:rFonts w:ascii="Times New Roman" w:hAnsi="Times New Roman"/>
                <w:sz w:val="20"/>
                <w:szCs w:val="20"/>
              </w:rPr>
            </w:pPr>
            <w:r w:rsidRPr="00BC0B18">
              <w:rPr>
                <w:rFonts w:ascii="Times New Roman" w:hAnsi="Times New Roman"/>
                <w:sz w:val="20"/>
                <w:szCs w:val="20"/>
              </w:rPr>
              <w:t>Review of Innovat</w:t>
            </w:r>
            <w:r w:rsidR="00BC0B18">
              <w:rPr>
                <w:rFonts w:ascii="Times New Roman" w:hAnsi="Times New Roman"/>
                <w:sz w:val="20"/>
                <w:szCs w:val="20"/>
              </w:rPr>
              <w:t>ive</w:t>
            </w:r>
            <w:r w:rsidRPr="00BC0B18">
              <w:rPr>
                <w:rFonts w:ascii="Times New Roman" w:hAnsi="Times New Roman"/>
                <w:sz w:val="20"/>
                <w:szCs w:val="20"/>
              </w:rPr>
              <w:t xml:space="preserve"> Housing Programs and Funding Sources</w:t>
            </w:r>
          </w:p>
        </w:tc>
        <w:tc>
          <w:tcPr>
            <w:tcW w:w="5087" w:type="dxa"/>
          </w:tcPr>
          <w:p w:rsidR="007F407A" w:rsidRPr="00A02CA1" w:rsidRDefault="006B43CA" w:rsidP="004C794B">
            <w:pPr>
              <w:pStyle w:val="ListParagraph"/>
              <w:numPr>
                <w:ilvl w:val="0"/>
                <w:numId w:val="11"/>
              </w:numPr>
              <w:suppressAutoHyphens w:val="0"/>
              <w:spacing w:before="53" w:after="0" w:line="240" w:lineRule="auto"/>
              <w:ind w:right="95"/>
              <w:contextualSpacing/>
              <w:textAlignment w:val="auto"/>
              <w:rPr>
                <w:rFonts w:ascii="Times New Roman" w:hAnsi="Times New Roman"/>
                <w:sz w:val="20"/>
                <w:szCs w:val="20"/>
              </w:rPr>
            </w:pPr>
            <w:r w:rsidRPr="00A02CA1">
              <w:rPr>
                <w:rFonts w:ascii="Times New Roman" w:hAnsi="Times New Roman"/>
                <w:sz w:val="20"/>
                <w:szCs w:val="20"/>
              </w:rPr>
              <w:t>Discussed current legislative efforts, Infrastructure Finance Districts, and what may succeed redevelopment</w:t>
            </w:r>
          </w:p>
        </w:tc>
      </w:tr>
      <w:tr w:rsidR="007F407A" w:rsidRPr="0008253F" w:rsidTr="00113EB0">
        <w:tc>
          <w:tcPr>
            <w:tcW w:w="4201" w:type="dxa"/>
          </w:tcPr>
          <w:p w:rsidR="007F407A" w:rsidRPr="00E42730" w:rsidRDefault="007F407A" w:rsidP="00125F05">
            <w:pPr>
              <w:autoSpaceDE w:val="0"/>
              <w:autoSpaceDN w:val="0"/>
              <w:adjustRightInd w:val="0"/>
              <w:spacing w:before="53"/>
              <w:ind w:right="95"/>
              <w:jc w:val="right"/>
              <w:rPr>
                <w:rFonts w:ascii="Times New Roman" w:hAnsi="Times New Roman"/>
                <w:sz w:val="20"/>
                <w:szCs w:val="20"/>
              </w:rPr>
            </w:pPr>
            <w:r>
              <w:rPr>
                <w:rFonts w:ascii="Times New Roman" w:hAnsi="Times New Roman"/>
                <w:sz w:val="20"/>
                <w:szCs w:val="20"/>
              </w:rPr>
              <w:t>Discussion of Affordable Housing Potential Risks</w:t>
            </w:r>
          </w:p>
        </w:tc>
        <w:tc>
          <w:tcPr>
            <w:tcW w:w="5087" w:type="dxa"/>
            <w:tcBorders>
              <w:bottom w:val="single" w:sz="4" w:space="0" w:color="auto"/>
            </w:tcBorders>
          </w:tcPr>
          <w:p w:rsidR="006B43CA" w:rsidRPr="006B43CA" w:rsidRDefault="006B43CA" w:rsidP="004C794B">
            <w:pPr>
              <w:pStyle w:val="ListParagraph"/>
              <w:numPr>
                <w:ilvl w:val="0"/>
                <w:numId w:val="11"/>
              </w:numPr>
              <w:spacing w:before="53"/>
              <w:ind w:right="95"/>
              <w:contextualSpacing/>
              <w:rPr>
                <w:sz w:val="20"/>
                <w:szCs w:val="20"/>
              </w:rPr>
            </w:pPr>
            <w:r w:rsidRPr="006B43CA">
              <w:rPr>
                <w:sz w:val="20"/>
                <w:szCs w:val="20"/>
              </w:rPr>
              <w:t>Presented the following:</w:t>
            </w:r>
          </w:p>
          <w:p w:rsidR="007F407A" w:rsidRPr="000C4FA4" w:rsidRDefault="007F407A" w:rsidP="004C794B">
            <w:pPr>
              <w:pStyle w:val="ListParagraph"/>
              <w:numPr>
                <w:ilvl w:val="1"/>
                <w:numId w:val="11"/>
              </w:numPr>
              <w:suppressAutoHyphens w:val="0"/>
              <w:spacing w:before="53" w:after="0" w:line="240" w:lineRule="auto"/>
              <w:ind w:right="95"/>
              <w:contextualSpacing/>
              <w:textAlignment w:val="auto"/>
              <w:rPr>
                <w:rFonts w:ascii="Times New Roman" w:hAnsi="Times New Roman"/>
                <w:sz w:val="20"/>
                <w:szCs w:val="20"/>
              </w:rPr>
            </w:pPr>
            <w:r>
              <w:rPr>
                <w:rFonts w:ascii="Times New Roman" w:hAnsi="Times New Roman"/>
                <w:sz w:val="18"/>
                <w:szCs w:val="18"/>
              </w:rPr>
              <w:t>Exposure to fair housing claims by HUD</w:t>
            </w:r>
          </w:p>
          <w:p w:rsidR="007F407A" w:rsidRPr="00522B9F" w:rsidRDefault="007F407A" w:rsidP="004C794B">
            <w:pPr>
              <w:pStyle w:val="ListParagraph"/>
              <w:numPr>
                <w:ilvl w:val="1"/>
                <w:numId w:val="11"/>
              </w:numPr>
              <w:suppressAutoHyphens w:val="0"/>
              <w:spacing w:before="53" w:after="0" w:line="240" w:lineRule="auto"/>
              <w:ind w:right="95"/>
              <w:contextualSpacing/>
              <w:textAlignment w:val="auto"/>
              <w:rPr>
                <w:rFonts w:ascii="Times New Roman" w:hAnsi="Times New Roman"/>
                <w:sz w:val="20"/>
                <w:szCs w:val="20"/>
              </w:rPr>
            </w:pPr>
            <w:r>
              <w:rPr>
                <w:rFonts w:ascii="Times New Roman" w:hAnsi="Times New Roman"/>
                <w:sz w:val="18"/>
                <w:szCs w:val="18"/>
              </w:rPr>
              <w:t>Elimination of Analysis of Impediments to Fair Housing by HUD</w:t>
            </w:r>
          </w:p>
          <w:p w:rsidR="007F407A" w:rsidRPr="000A2C14" w:rsidRDefault="007F407A" w:rsidP="00125F05">
            <w:pPr>
              <w:pStyle w:val="ListParagraph"/>
              <w:suppressAutoHyphens w:val="0"/>
              <w:spacing w:before="53" w:after="0" w:line="240" w:lineRule="auto"/>
              <w:ind w:left="1440" w:right="95"/>
              <w:contextualSpacing/>
              <w:textAlignment w:val="auto"/>
              <w:rPr>
                <w:rFonts w:ascii="Times New Roman" w:hAnsi="Times New Roman"/>
                <w:sz w:val="20"/>
                <w:szCs w:val="20"/>
              </w:rPr>
            </w:pPr>
          </w:p>
        </w:tc>
      </w:tr>
      <w:tr w:rsidR="007F407A" w:rsidRPr="0008253F" w:rsidTr="00113EB0">
        <w:tc>
          <w:tcPr>
            <w:tcW w:w="4201" w:type="dxa"/>
          </w:tcPr>
          <w:p w:rsidR="007F407A" w:rsidRPr="00E42730" w:rsidRDefault="007F407A" w:rsidP="00125F05">
            <w:pPr>
              <w:autoSpaceDE w:val="0"/>
              <w:autoSpaceDN w:val="0"/>
              <w:adjustRightInd w:val="0"/>
              <w:spacing w:before="53"/>
              <w:ind w:right="95"/>
              <w:jc w:val="right"/>
              <w:rPr>
                <w:rFonts w:ascii="Times New Roman" w:hAnsi="Times New Roman"/>
                <w:sz w:val="20"/>
                <w:szCs w:val="20"/>
              </w:rPr>
            </w:pPr>
            <w:r w:rsidRPr="00E42730">
              <w:rPr>
                <w:rFonts w:ascii="Times New Roman" w:hAnsi="Times New Roman"/>
                <w:sz w:val="20"/>
                <w:szCs w:val="20"/>
              </w:rPr>
              <w:t>Discussion of Barriers to Affordable Housing Entry</w:t>
            </w:r>
          </w:p>
        </w:tc>
        <w:tc>
          <w:tcPr>
            <w:tcW w:w="5087" w:type="dxa"/>
            <w:tcBorders>
              <w:bottom w:val="single" w:sz="4" w:space="0" w:color="auto"/>
            </w:tcBorders>
          </w:tcPr>
          <w:p w:rsidR="006B43CA" w:rsidRPr="006B43CA" w:rsidRDefault="006B43CA" w:rsidP="004C794B">
            <w:pPr>
              <w:pStyle w:val="ListParagraph"/>
              <w:numPr>
                <w:ilvl w:val="0"/>
                <w:numId w:val="11"/>
              </w:numPr>
              <w:spacing w:before="53"/>
              <w:ind w:right="95"/>
              <w:contextualSpacing/>
              <w:rPr>
                <w:sz w:val="20"/>
                <w:szCs w:val="20"/>
              </w:rPr>
            </w:pPr>
            <w:r w:rsidRPr="006B43CA">
              <w:rPr>
                <w:sz w:val="20"/>
                <w:szCs w:val="20"/>
              </w:rPr>
              <w:t>Presented the following:</w:t>
            </w:r>
          </w:p>
          <w:p w:rsidR="007F407A" w:rsidRPr="000C4FA4" w:rsidRDefault="007F407A" w:rsidP="004C794B">
            <w:pPr>
              <w:pStyle w:val="ListParagraph"/>
              <w:numPr>
                <w:ilvl w:val="1"/>
                <w:numId w:val="11"/>
              </w:numPr>
              <w:suppressAutoHyphens w:val="0"/>
              <w:spacing w:before="53" w:after="0" w:line="240" w:lineRule="auto"/>
              <w:ind w:right="95"/>
              <w:contextualSpacing/>
              <w:textAlignment w:val="auto"/>
              <w:rPr>
                <w:rFonts w:ascii="Times New Roman" w:hAnsi="Times New Roman"/>
                <w:sz w:val="20"/>
                <w:szCs w:val="20"/>
              </w:rPr>
            </w:pPr>
            <w:r>
              <w:rPr>
                <w:rFonts w:ascii="Times New Roman" w:hAnsi="Times New Roman"/>
                <w:sz w:val="18"/>
                <w:szCs w:val="18"/>
              </w:rPr>
              <w:t>Complexity of applications</w:t>
            </w:r>
          </w:p>
          <w:p w:rsidR="007F407A" w:rsidRPr="000C4FA4" w:rsidRDefault="007F407A" w:rsidP="004C794B">
            <w:pPr>
              <w:pStyle w:val="ListParagraph"/>
              <w:numPr>
                <w:ilvl w:val="1"/>
                <w:numId w:val="11"/>
              </w:numPr>
              <w:suppressAutoHyphens w:val="0"/>
              <w:spacing w:before="53" w:after="0" w:line="240" w:lineRule="auto"/>
              <w:ind w:right="95"/>
              <w:contextualSpacing/>
              <w:textAlignment w:val="auto"/>
              <w:rPr>
                <w:rFonts w:ascii="Times New Roman" w:hAnsi="Times New Roman"/>
                <w:sz w:val="20"/>
                <w:szCs w:val="20"/>
              </w:rPr>
            </w:pPr>
            <w:r>
              <w:rPr>
                <w:rFonts w:ascii="Times New Roman" w:hAnsi="Times New Roman"/>
                <w:sz w:val="18"/>
                <w:szCs w:val="18"/>
              </w:rPr>
              <w:t>Waiting lists for currently qualified (200+)</w:t>
            </w:r>
          </w:p>
          <w:p w:rsidR="007F407A" w:rsidRPr="00522B9F" w:rsidRDefault="007F407A" w:rsidP="004C794B">
            <w:pPr>
              <w:pStyle w:val="ListParagraph"/>
              <w:numPr>
                <w:ilvl w:val="1"/>
                <w:numId w:val="11"/>
              </w:numPr>
              <w:suppressAutoHyphens w:val="0"/>
              <w:spacing w:before="53" w:after="0" w:line="240" w:lineRule="auto"/>
              <w:ind w:right="95"/>
              <w:contextualSpacing/>
              <w:textAlignment w:val="auto"/>
              <w:rPr>
                <w:rFonts w:ascii="Times New Roman" w:hAnsi="Times New Roman"/>
                <w:sz w:val="20"/>
                <w:szCs w:val="20"/>
              </w:rPr>
            </w:pPr>
            <w:r>
              <w:rPr>
                <w:rFonts w:ascii="Times New Roman" w:hAnsi="Times New Roman"/>
                <w:sz w:val="18"/>
                <w:szCs w:val="18"/>
              </w:rPr>
              <w:t>Documentation required for qualification</w:t>
            </w:r>
          </w:p>
          <w:p w:rsidR="007F407A" w:rsidRPr="000A2C14" w:rsidRDefault="007F407A" w:rsidP="00125F05">
            <w:pPr>
              <w:pStyle w:val="ListParagraph"/>
              <w:suppressAutoHyphens w:val="0"/>
              <w:spacing w:before="53" w:after="0" w:line="240" w:lineRule="auto"/>
              <w:ind w:left="1440" w:right="95"/>
              <w:contextualSpacing/>
              <w:textAlignment w:val="auto"/>
              <w:rPr>
                <w:rFonts w:ascii="Times New Roman" w:hAnsi="Times New Roman"/>
                <w:sz w:val="20"/>
                <w:szCs w:val="20"/>
              </w:rPr>
            </w:pPr>
          </w:p>
        </w:tc>
      </w:tr>
      <w:tr w:rsidR="007F407A" w:rsidRPr="0008253F" w:rsidTr="00113EB0">
        <w:tc>
          <w:tcPr>
            <w:tcW w:w="4201" w:type="dxa"/>
            <w:tcBorders>
              <w:bottom w:val="single" w:sz="4" w:space="0" w:color="auto"/>
            </w:tcBorders>
          </w:tcPr>
          <w:p w:rsidR="007F407A" w:rsidRPr="00E42730" w:rsidRDefault="007F407A" w:rsidP="00125F05">
            <w:pPr>
              <w:autoSpaceDE w:val="0"/>
              <w:autoSpaceDN w:val="0"/>
              <w:adjustRightInd w:val="0"/>
              <w:spacing w:before="53"/>
              <w:ind w:right="95"/>
              <w:jc w:val="right"/>
              <w:rPr>
                <w:rFonts w:ascii="Times New Roman" w:hAnsi="Times New Roman"/>
                <w:sz w:val="20"/>
                <w:szCs w:val="20"/>
              </w:rPr>
            </w:pPr>
            <w:r>
              <w:rPr>
                <w:rFonts w:ascii="Times New Roman" w:hAnsi="Times New Roman"/>
                <w:sz w:val="20"/>
                <w:szCs w:val="20"/>
              </w:rPr>
              <w:t>Discussion of Funding Sources and Programs</w:t>
            </w:r>
          </w:p>
        </w:tc>
        <w:tc>
          <w:tcPr>
            <w:tcW w:w="5087" w:type="dxa"/>
            <w:tcBorders>
              <w:bottom w:val="single" w:sz="4" w:space="0" w:color="auto"/>
            </w:tcBorders>
          </w:tcPr>
          <w:p w:rsidR="007F407A" w:rsidRPr="006B1398" w:rsidRDefault="007F407A" w:rsidP="004C794B">
            <w:pPr>
              <w:pStyle w:val="ListParagraph"/>
              <w:numPr>
                <w:ilvl w:val="0"/>
                <w:numId w:val="9"/>
              </w:numPr>
              <w:suppressAutoHyphens w:val="0"/>
              <w:spacing w:before="53" w:after="0" w:line="240" w:lineRule="auto"/>
              <w:ind w:right="95"/>
              <w:contextualSpacing/>
              <w:textAlignment w:val="auto"/>
              <w:rPr>
                <w:rFonts w:ascii="Times New Roman" w:hAnsi="Times New Roman"/>
                <w:sz w:val="20"/>
                <w:szCs w:val="20"/>
              </w:rPr>
            </w:pPr>
            <w:r w:rsidRPr="006B1398">
              <w:rPr>
                <w:rFonts w:ascii="Times New Roman" w:hAnsi="Times New Roman"/>
                <w:sz w:val="20"/>
                <w:szCs w:val="20"/>
              </w:rPr>
              <w:t>Unit size</w:t>
            </w:r>
          </w:p>
          <w:p w:rsidR="007F407A" w:rsidRPr="006B1398" w:rsidRDefault="007F407A" w:rsidP="004C794B">
            <w:pPr>
              <w:pStyle w:val="ListParagraph"/>
              <w:numPr>
                <w:ilvl w:val="1"/>
                <w:numId w:val="9"/>
              </w:numPr>
              <w:suppressAutoHyphens w:val="0"/>
              <w:spacing w:before="53" w:after="0" w:line="240" w:lineRule="auto"/>
              <w:ind w:right="95"/>
              <w:contextualSpacing/>
              <w:textAlignment w:val="auto"/>
              <w:rPr>
                <w:rFonts w:ascii="Times New Roman" w:hAnsi="Times New Roman"/>
                <w:sz w:val="18"/>
                <w:szCs w:val="18"/>
              </w:rPr>
            </w:pPr>
            <w:r w:rsidRPr="006B1398">
              <w:rPr>
                <w:rFonts w:ascii="Times New Roman" w:hAnsi="Times New Roman"/>
                <w:sz w:val="18"/>
                <w:szCs w:val="18"/>
              </w:rPr>
              <w:t>Lower cost to build smaller units</w:t>
            </w:r>
          </w:p>
          <w:p w:rsidR="007F407A" w:rsidRPr="006B1398" w:rsidRDefault="007F407A" w:rsidP="004C794B">
            <w:pPr>
              <w:pStyle w:val="ListParagraph"/>
              <w:numPr>
                <w:ilvl w:val="1"/>
                <w:numId w:val="9"/>
              </w:numPr>
              <w:suppressAutoHyphens w:val="0"/>
              <w:spacing w:before="53" w:after="0" w:line="240" w:lineRule="auto"/>
              <w:ind w:right="95"/>
              <w:contextualSpacing/>
              <w:textAlignment w:val="auto"/>
              <w:rPr>
                <w:rFonts w:ascii="Times New Roman" w:hAnsi="Times New Roman"/>
                <w:sz w:val="18"/>
                <w:szCs w:val="18"/>
              </w:rPr>
            </w:pPr>
            <w:r w:rsidRPr="006B1398">
              <w:rPr>
                <w:rFonts w:ascii="Times New Roman" w:hAnsi="Times New Roman"/>
                <w:sz w:val="18"/>
                <w:szCs w:val="18"/>
              </w:rPr>
              <w:t>Overcrowding</w:t>
            </w:r>
          </w:p>
          <w:p w:rsidR="007F407A" w:rsidRPr="006B1398" w:rsidRDefault="007F407A" w:rsidP="004C794B">
            <w:pPr>
              <w:pStyle w:val="ListParagraph"/>
              <w:numPr>
                <w:ilvl w:val="0"/>
                <w:numId w:val="9"/>
              </w:numPr>
              <w:suppressAutoHyphens w:val="0"/>
              <w:spacing w:before="53" w:after="0" w:line="240" w:lineRule="auto"/>
              <w:ind w:right="95"/>
              <w:contextualSpacing/>
              <w:textAlignment w:val="auto"/>
              <w:rPr>
                <w:rFonts w:ascii="Times New Roman" w:hAnsi="Times New Roman"/>
                <w:sz w:val="20"/>
                <w:szCs w:val="20"/>
              </w:rPr>
            </w:pPr>
            <w:r w:rsidRPr="006B1398">
              <w:rPr>
                <w:rFonts w:ascii="Times New Roman" w:hAnsi="Times New Roman"/>
                <w:sz w:val="20"/>
                <w:szCs w:val="20"/>
              </w:rPr>
              <w:t>Removing discretionary approval of affordable housing by zoning</w:t>
            </w:r>
          </w:p>
          <w:p w:rsidR="007F407A" w:rsidRDefault="007F407A" w:rsidP="004C794B">
            <w:pPr>
              <w:pStyle w:val="ListParagraph"/>
              <w:numPr>
                <w:ilvl w:val="0"/>
                <w:numId w:val="9"/>
              </w:numPr>
              <w:suppressAutoHyphens w:val="0"/>
              <w:spacing w:before="53" w:after="0" w:line="240" w:lineRule="auto"/>
              <w:ind w:right="95"/>
              <w:contextualSpacing/>
              <w:textAlignment w:val="auto"/>
              <w:rPr>
                <w:rFonts w:ascii="Times New Roman" w:hAnsi="Times New Roman"/>
                <w:sz w:val="20"/>
                <w:szCs w:val="20"/>
              </w:rPr>
            </w:pPr>
            <w:r>
              <w:rPr>
                <w:rFonts w:ascii="Times New Roman" w:hAnsi="Times New Roman"/>
                <w:sz w:val="20"/>
                <w:szCs w:val="20"/>
              </w:rPr>
              <w:t>County’s proximity housing program</w:t>
            </w:r>
          </w:p>
          <w:p w:rsidR="007F407A" w:rsidRDefault="007F407A" w:rsidP="004C794B">
            <w:pPr>
              <w:pStyle w:val="ListParagraph"/>
              <w:numPr>
                <w:ilvl w:val="0"/>
                <w:numId w:val="9"/>
              </w:numPr>
              <w:suppressAutoHyphens w:val="0"/>
              <w:spacing w:before="53" w:after="0" w:line="240" w:lineRule="auto"/>
              <w:ind w:right="95"/>
              <w:contextualSpacing/>
              <w:textAlignment w:val="auto"/>
              <w:rPr>
                <w:rFonts w:ascii="Times New Roman" w:hAnsi="Times New Roman"/>
                <w:sz w:val="20"/>
                <w:szCs w:val="20"/>
              </w:rPr>
            </w:pPr>
            <w:r>
              <w:rPr>
                <w:rFonts w:ascii="Times New Roman" w:hAnsi="Times New Roman"/>
                <w:sz w:val="20"/>
                <w:szCs w:val="20"/>
              </w:rPr>
              <w:t>Survey of large employers about employees</w:t>
            </w:r>
          </w:p>
          <w:p w:rsidR="00F65009" w:rsidRDefault="007F407A" w:rsidP="004C794B">
            <w:pPr>
              <w:pStyle w:val="ListParagraph"/>
              <w:numPr>
                <w:ilvl w:val="0"/>
                <w:numId w:val="9"/>
              </w:numPr>
              <w:suppressAutoHyphens w:val="0"/>
              <w:spacing w:before="53" w:after="0" w:line="240" w:lineRule="auto"/>
              <w:ind w:right="95"/>
              <w:contextualSpacing/>
              <w:textAlignment w:val="auto"/>
              <w:rPr>
                <w:rFonts w:ascii="Times New Roman" w:hAnsi="Times New Roman"/>
                <w:sz w:val="20"/>
                <w:szCs w:val="20"/>
              </w:rPr>
            </w:pPr>
            <w:r>
              <w:rPr>
                <w:rFonts w:ascii="Times New Roman" w:hAnsi="Times New Roman"/>
                <w:sz w:val="20"/>
                <w:szCs w:val="20"/>
              </w:rPr>
              <w:t>Desire to quantify housing need</w:t>
            </w:r>
          </w:p>
          <w:p w:rsidR="00F65009" w:rsidRDefault="00F65009" w:rsidP="00F65009">
            <w:pPr>
              <w:spacing w:before="53"/>
              <w:ind w:right="95"/>
              <w:contextualSpacing/>
              <w:rPr>
                <w:sz w:val="20"/>
                <w:szCs w:val="20"/>
              </w:rPr>
            </w:pPr>
          </w:p>
          <w:p w:rsidR="00F65009" w:rsidRDefault="00F65009" w:rsidP="00F65009">
            <w:pPr>
              <w:spacing w:before="53"/>
              <w:ind w:right="95"/>
              <w:contextualSpacing/>
              <w:rPr>
                <w:sz w:val="20"/>
                <w:szCs w:val="20"/>
              </w:rPr>
            </w:pPr>
          </w:p>
          <w:p w:rsidR="00F65009" w:rsidRPr="00F65009" w:rsidRDefault="00F65009" w:rsidP="00F65009">
            <w:pPr>
              <w:spacing w:before="53"/>
              <w:ind w:right="95"/>
              <w:contextualSpacing/>
              <w:rPr>
                <w:sz w:val="20"/>
                <w:szCs w:val="20"/>
              </w:rPr>
            </w:pPr>
          </w:p>
          <w:p w:rsidR="007F407A" w:rsidRPr="0024255A" w:rsidRDefault="007F407A" w:rsidP="00125F05">
            <w:pPr>
              <w:pStyle w:val="ListParagraph"/>
              <w:suppressAutoHyphens w:val="0"/>
              <w:spacing w:before="53" w:after="0" w:line="240" w:lineRule="auto"/>
              <w:ind w:right="95"/>
              <w:contextualSpacing/>
              <w:textAlignment w:val="auto"/>
              <w:rPr>
                <w:rFonts w:ascii="Times New Roman" w:hAnsi="Times New Roman"/>
                <w:sz w:val="20"/>
                <w:szCs w:val="20"/>
              </w:rPr>
            </w:pPr>
          </w:p>
        </w:tc>
      </w:tr>
      <w:tr w:rsidR="007F407A" w:rsidRPr="0008253F" w:rsidTr="00113EB0">
        <w:tc>
          <w:tcPr>
            <w:tcW w:w="9288" w:type="dxa"/>
            <w:gridSpan w:val="2"/>
            <w:shd w:val="clear" w:color="auto" w:fill="000000" w:themeFill="text1"/>
          </w:tcPr>
          <w:p w:rsidR="007F407A" w:rsidRPr="00F11C3B" w:rsidRDefault="007F407A" w:rsidP="00125F05">
            <w:pPr>
              <w:autoSpaceDE w:val="0"/>
              <w:autoSpaceDN w:val="0"/>
              <w:adjustRightInd w:val="0"/>
              <w:spacing w:before="53"/>
              <w:ind w:right="95"/>
              <w:jc w:val="center"/>
              <w:rPr>
                <w:rFonts w:ascii="Times New Roman" w:hAnsi="Times New Roman"/>
                <w:b/>
              </w:rPr>
            </w:pPr>
            <w:r w:rsidRPr="00F11C3B">
              <w:rPr>
                <w:rFonts w:ascii="Times New Roman" w:hAnsi="Times New Roman"/>
                <w:b/>
              </w:rPr>
              <w:t>September 12, 2012</w:t>
            </w:r>
          </w:p>
        </w:tc>
      </w:tr>
      <w:tr w:rsidR="007F407A" w:rsidRPr="0008253F" w:rsidTr="00113EB0">
        <w:tc>
          <w:tcPr>
            <w:tcW w:w="9288" w:type="dxa"/>
            <w:gridSpan w:val="2"/>
            <w:shd w:val="clear" w:color="auto" w:fill="000000" w:themeFill="text1"/>
          </w:tcPr>
          <w:p w:rsidR="007F407A" w:rsidRDefault="007F407A" w:rsidP="00125F05">
            <w:pPr>
              <w:autoSpaceDE w:val="0"/>
              <w:autoSpaceDN w:val="0"/>
              <w:adjustRightInd w:val="0"/>
              <w:spacing w:before="53"/>
              <w:ind w:right="95"/>
              <w:jc w:val="center"/>
              <w:rPr>
                <w:rFonts w:ascii="Times New Roman" w:hAnsi="Times New Roman"/>
                <w:b/>
              </w:rPr>
            </w:pPr>
            <w:r w:rsidRPr="00F11C3B">
              <w:rPr>
                <w:rFonts w:ascii="Times New Roman" w:hAnsi="Times New Roman"/>
                <w:b/>
              </w:rPr>
              <w:t>Yountville Community Center</w:t>
            </w:r>
          </w:p>
          <w:p w:rsidR="007F407A" w:rsidRPr="00F11C3B" w:rsidRDefault="007F407A" w:rsidP="00125F05">
            <w:pPr>
              <w:autoSpaceDE w:val="0"/>
              <w:autoSpaceDN w:val="0"/>
              <w:adjustRightInd w:val="0"/>
              <w:spacing w:before="53"/>
              <w:ind w:right="95"/>
              <w:jc w:val="center"/>
              <w:rPr>
                <w:rFonts w:ascii="Times New Roman" w:hAnsi="Times New Roman"/>
                <w:b/>
              </w:rPr>
            </w:pPr>
          </w:p>
        </w:tc>
      </w:tr>
      <w:tr w:rsidR="007F407A" w:rsidRPr="0008253F" w:rsidTr="00113EB0">
        <w:tc>
          <w:tcPr>
            <w:tcW w:w="4201" w:type="dxa"/>
          </w:tcPr>
          <w:p w:rsidR="007F407A" w:rsidRPr="0008253F" w:rsidRDefault="007F407A" w:rsidP="00125F05">
            <w:pPr>
              <w:autoSpaceDE w:val="0"/>
              <w:autoSpaceDN w:val="0"/>
              <w:adjustRightInd w:val="0"/>
              <w:spacing w:before="53"/>
              <w:ind w:right="95"/>
              <w:jc w:val="center"/>
              <w:rPr>
                <w:rFonts w:ascii="Times New Roman" w:hAnsi="Times New Roman"/>
                <w:b/>
              </w:rPr>
            </w:pPr>
            <w:r w:rsidRPr="0008253F">
              <w:rPr>
                <w:rFonts w:ascii="Times New Roman" w:hAnsi="Times New Roman"/>
                <w:b/>
              </w:rPr>
              <w:t>Topics of Discussion</w:t>
            </w:r>
          </w:p>
        </w:tc>
        <w:tc>
          <w:tcPr>
            <w:tcW w:w="5087" w:type="dxa"/>
          </w:tcPr>
          <w:p w:rsidR="007F407A" w:rsidRPr="0008253F" w:rsidRDefault="007F407A" w:rsidP="00125F05">
            <w:pPr>
              <w:autoSpaceDE w:val="0"/>
              <w:autoSpaceDN w:val="0"/>
              <w:adjustRightInd w:val="0"/>
              <w:spacing w:before="53"/>
              <w:ind w:right="95"/>
              <w:jc w:val="center"/>
              <w:rPr>
                <w:rFonts w:ascii="Times New Roman" w:hAnsi="Times New Roman"/>
                <w:b/>
              </w:rPr>
            </w:pPr>
            <w:r>
              <w:rPr>
                <w:rFonts w:ascii="Times New Roman" w:hAnsi="Times New Roman"/>
                <w:b/>
              </w:rPr>
              <w:t>Description</w:t>
            </w:r>
          </w:p>
        </w:tc>
      </w:tr>
      <w:tr w:rsidR="007F407A" w:rsidRPr="0008253F" w:rsidTr="00113EB0">
        <w:tc>
          <w:tcPr>
            <w:tcW w:w="4201" w:type="dxa"/>
          </w:tcPr>
          <w:p w:rsidR="007F407A" w:rsidRPr="00C63474" w:rsidRDefault="007F407A" w:rsidP="00125F05">
            <w:pPr>
              <w:autoSpaceDE w:val="0"/>
              <w:autoSpaceDN w:val="0"/>
              <w:adjustRightInd w:val="0"/>
              <w:spacing w:before="53"/>
              <w:ind w:right="95"/>
              <w:jc w:val="right"/>
              <w:rPr>
                <w:rFonts w:ascii="Times New Roman" w:hAnsi="Times New Roman"/>
                <w:sz w:val="20"/>
                <w:szCs w:val="20"/>
              </w:rPr>
            </w:pPr>
            <w:r>
              <w:rPr>
                <w:rFonts w:ascii="Times New Roman" w:hAnsi="Times New Roman"/>
                <w:sz w:val="20"/>
                <w:szCs w:val="20"/>
              </w:rPr>
              <w:t>Barriers to Market Rate Housing Entry</w:t>
            </w:r>
          </w:p>
        </w:tc>
        <w:tc>
          <w:tcPr>
            <w:tcW w:w="5087" w:type="dxa"/>
          </w:tcPr>
          <w:p w:rsidR="006B43CA" w:rsidRPr="006B43CA" w:rsidRDefault="006B43CA" w:rsidP="004C794B">
            <w:pPr>
              <w:pStyle w:val="ListParagraph"/>
              <w:numPr>
                <w:ilvl w:val="0"/>
                <w:numId w:val="29"/>
              </w:numPr>
              <w:spacing w:before="53"/>
              <w:ind w:right="95"/>
              <w:contextualSpacing/>
              <w:rPr>
                <w:sz w:val="20"/>
                <w:szCs w:val="20"/>
              </w:rPr>
            </w:pPr>
            <w:r w:rsidRPr="006B43CA">
              <w:rPr>
                <w:sz w:val="20"/>
                <w:szCs w:val="20"/>
              </w:rPr>
              <w:t>Presented the foll</w:t>
            </w:r>
            <w:r>
              <w:rPr>
                <w:sz w:val="20"/>
                <w:szCs w:val="20"/>
              </w:rPr>
              <w:t>o</w:t>
            </w:r>
            <w:r w:rsidRPr="006B43CA">
              <w:rPr>
                <w:sz w:val="20"/>
                <w:szCs w:val="20"/>
              </w:rPr>
              <w:t>wing:</w:t>
            </w:r>
          </w:p>
          <w:p w:rsidR="007F407A" w:rsidRPr="006B43CA" w:rsidRDefault="007F407A" w:rsidP="004C794B">
            <w:pPr>
              <w:pStyle w:val="ListParagraph"/>
              <w:numPr>
                <w:ilvl w:val="1"/>
                <w:numId w:val="12"/>
              </w:numPr>
              <w:suppressAutoHyphens w:val="0"/>
              <w:spacing w:before="53" w:after="0" w:line="240" w:lineRule="auto"/>
              <w:ind w:right="95"/>
              <w:contextualSpacing/>
              <w:textAlignment w:val="auto"/>
              <w:rPr>
                <w:rFonts w:ascii="Times New Roman" w:hAnsi="Times New Roman"/>
                <w:sz w:val="20"/>
                <w:szCs w:val="20"/>
              </w:rPr>
            </w:pPr>
            <w:r w:rsidRPr="006B43CA">
              <w:rPr>
                <w:sz w:val="18"/>
                <w:szCs w:val="18"/>
              </w:rPr>
              <w:t>FHA loan basics</w:t>
            </w:r>
          </w:p>
          <w:p w:rsidR="007F407A" w:rsidRPr="00522B9F" w:rsidRDefault="007F407A" w:rsidP="004C794B">
            <w:pPr>
              <w:pStyle w:val="ListParagraph"/>
              <w:numPr>
                <w:ilvl w:val="1"/>
                <w:numId w:val="12"/>
              </w:numPr>
              <w:suppressAutoHyphens w:val="0"/>
              <w:spacing w:before="53" w:after="0" w:line="240" w:lineRule="auto"/>
              <w:ind w:right="95"/>
              <w:contextualSpacing/>
              <w:textAlignment w:val="auto"/>
              <w:rPr>
                <w:rFonts w:ascii="Times New Roman" w:hAnsi="Times New Roman"/>
                <w:sz w:val="20"/>
                <w:szCs w:val="20"/>
              </w:rPr>
            </w:pPr>
            <w:r>
              <w:rPr>
                <w:rFonts w:ascii="Times New Roman" w:hAnsi="Times New Roman"/>
                <w:sz w:val="18"/>
                <w:szCs w:val="18"/>
              </w:rPr>
              <w:t>Affordability analysis</w:t>
            </w:r>
          </w:p>
          <w:p w:rsidR="007F407A" w:rsidRPr="00FB4D6D" w:rsidRDefault="007F407A" w:rsidP="004C794B">
            <w:pPr>
              <w:pStyle w:val="ListParagraph"/>
              <w:numPr>
                <w:ilvl w:val="1"/>
                <w:numId w:val="12"/>
              </w:numPr>
              <w:suppressAutoHyphens w:val="0"/>
              <w:spacing w:before="53" w:after="0" w:line="240" w:lineRule="auto"/>
              <w:ind w:right="95"/>
              <w:contextualSpacing/>
              <w:textAlignment w:val="auto"/>
              <w:rPr>
                <w:rFonts w:ascii="Times New Roman" w:hAnsi="Times New Roman"/>
                <w:sz w:val="20"/>
                <w:szCs w:val="20"/>
              </w:rPr>
            </w:pPr>
            <w:r>
              <w:rPr>
                <w:rFonts w:ascii="Times New Roman" w:hAnsi="Times New Roman"/>
                <w:sz w:val="18"/>
                <w:szCs w:val="18"/>
              </w:rPr>
              <w:t>Proximity loan program</w:t>
            </w:r>
          </w:p>
          <w:p w:rsidR="007F407A" w:rsidRPr="00FB4D6D" w:rsidRDefault="007F407A" w:rsidP="004C794B">
            <w:pPr>
              <w:pStyle w:val="ListParagraph"/>
              <w:numPr>
                <w:ilvl w:val="1"/>
                <w:numId w:val="12"/>
              </w:numPr>
              <w:suppressAutoHyphens w:val="0"/>
              <w:spacing w:before="53" w:after="0" w:line="240" w:lineRule="auto"/>
              <w:ind w:right="95"/>
              <w:contextualSpacing/>
              <w:textAlignment w:val="auto"/>
              <w:rPr>
                <w:rFonts w:ascii="Times New Roman" w:hAnsi="Times New Roman"/>
                <w:sz w:val="20"/>
                <w:szCs w:val="20"/>
              </w:rPr>
            </w:pPr>
            <w:r>
              <w:rPr>
                <w:rFonts w:ascii="Times New Roman" w:hAnsi="Times New Roman"/>
                <w:sz w:val="18"/>
                <w:szCs w:val="18"/>
              </w:rPr>
              <w:t>Napa market rate homes</w:t>
            </w:r>
          </w:p>
          <w:p w:rsidR="007F407A" w:rsidRPr="00FB4D6D" w:rsidRDefault="007F407A" w:rsidP="004C794B">
            <w:pPr>
              <w:pStyle w:val="ListParagraph"/>
              <w:numPr>
                <w:ilvl w:val="1"/>
                <w:numId w:val="12"/>
              </w:numPr>
              <w:suppressAutoHyphens w:val="0"/>
              <w:spacing w:before="53" w:after="0" w:line="240" w:lineRule="auto"/>
              <w:ind w:right="95"/>
              <w:contextualSpacing/>
              <w:textAlignment w:val="auto"/>
              <w:rPr>
                <w:rFonts w:ascii="Times New Roman" w:hAnsi="Times New Roman"/>
                <w:sz w:val="18"/>
                <w:szCs w:val="18"/>
              </w:rPr>
            </w:pPr>
            <w:r w:rsidRPr="00FB4D6D">
              <w:rPr>
                <w:rFonts w:ascii="Times New Roman" w:hAnsi="Times New Roman"/>
                <w:sz w:val="18"/>
                <w:szCs w:val="18"/>
              </w:rPr>
              <w:t>Building permits</w:t>
            </w:r>
          </w:p>
          <w:p w:rsidR="007F407A" w:rsidRPr="00FB4D6D" w:rsidRDefault="007F407A" w:rsidP="004C794B">
            <w:pPr>
              <w:pStyle w:val="ListParagraph"/>
              <w:numPr>
                <w:ilvl w:val="1"/>
                <w:numId w:val="12"/>
              </w:numPr>
              <w:suppressAutoHyphens w:val="0"/>
              <w:spacing w:before="53" w:after="0" w:line="240" w:lineRule="auto"/>
              <w:ind w:right="95"/>
              <w:contextualSpacing/>
              <w:textAlignment w:val="auto"/>
              <w:rPr>
                <w:rFonts w:ascii="Times New Roman" w:hAnsi="Times New Roman"/>
                <w:sz w:val="20"/>
                <w:szCs w:val="20"/>
              </w:rPr>
            </w:pPr>
            <w:r>
              <w:rPr>
                <w:rFonts w:ascii="Times New Roman" w:hAnsi="Times New Roman"/>
                <w:sz w:val="18"/>
                <w:szCs w:val="18"/>
              </w:rPr>
              <w:t>Rental market</w:t>
            </w:r>
          </w:p>
          <w:p w:rsidR="007F407A" w:rsidRPr="00FB4D6D" w:rsidRDefault="007F407A" w:rsidP="004C794B">
            <w:pPr>
              <w:pStyle w:val="ListParagraph"/>
              <w:numPr>
                <w:ilvl w:val="1"/>
                <w:numId w:val="12"/>
              </w:numPr>
              <w:suppressAutoHyphens w:val="0"/>
              <w:spacing w:before="53" w:after="0" w:line="240" w:lineRule="auto"/>
              <w:ind w:right="95"/>
              <w:contextualSpacing/>
              <w:textAlignment w:val="auto"/>
              <w:rPr>
                <w:rFonts w:ascii="Times New Roman" w:hAnsi="Times New Roman"/>
                <w:sz w:val="20"/>
                <w:szCs w:val="20"/>
              </w:rPr>
            </w:pPr>
            <w:r>
              <w:rPr>
                <w:rFonts w:ascii="Times New Roman" w:hAnsi="Times New Roman"/>
                <w:sz w:val="18"/>
                <w:szCs w:val="18"/>
              </w:rPr>
              <w:t>Build vs. buy rental analysis</w:t>
            </w:r>
          </w:p>
          <w:p w:rsidR="007F407A" w:rsidRPr="00522B9F" w:rsidRDefault="007F407A" w:rsidP="004C794B">
            <w:pPr>
              <w:pStyle w:val="ListParagraph"/>
              <w:numPr>
                <w:ilvl w:val="1"/>
                <w:numId w:val="12"/>
              </w:numPr>
              <w:suppressAutoHyphens w:val="0"/>
              <w:spacing w:before="53" w:after="0" w:line="240" w:lineRule="auto"/>
              <w:ind w:right="95"/>
              <w:contextualSpacing/>
              <w:textAlignment w:val="auto"/>
              <w:rPr>
                <w:rFonts w:ascii="Times New Roman" w:hAnsi="Times New Roman"/>
                <w:sz w:val="20"/>
                <w:szCs w:val="20"/>
              </w:rPr>
            </w:pPr>
            <w:r>
              <w:rPr>
                <w:rFonts w:ascii="Times New Roman" w:hAnsi="Times New Roman"/>
                <w:sz w:val="18"/>
                <w:szCs w:val="18"/>
              </w:rPr>
              <w:t>Proximity rental assistance</w:t>
            </w:r>
          </w:p>
          <w:p w:rsidR="007F407A" w:rsidRPr="00FB4D6D" w:rsidRDefault="007F407A" w:rsidP="00125F05">
            <w:pPr>
              <w:pStyle w:val="ListParagraph"/>
              <w:suppressAutoHyphens w:val="0"/>
              <w:spacing w:before="53" w:after="0" w:line="240" w:lineRule="auto"/>
              <w:ind w:left="1440" w:right="95"/>
              <w:contextualSpacing/>
              <w:textAlignment w:val="auto"/>
              <w:rPr>
                <w:rFonts w:ascii="Times New Roman" w:hAnsi="Times New Roman"/>
                <w:sz w:val="20"/>
                <w:szCs w:val="20"/>
              </w:rPr>
            </w:pPr>
          </w:p>
        </w:tc>
      </w:tr>
      <w:tr w:rsidR="007F407A" w:rsidRPr="0008253F" w:rsidTr="00113EB0">
        <w:tc>
          <w:tcPr>
            <w:tcW w:w="4201" w:type="dxa"/>
            <w:tcBorders>
              <w:bottom w:val="single" w:sz="4" w:space="0" w:color="auto"/>
            </w:tcBorders>
          </w:tcPr>
          <w:p w:rsidR="007F407A" w:rsidRPr="00C63474" w:rsidRDefault="007F407A" w:rsidP="00125F05">
            <w:pPr>
              <w:autoSpaceDE w:val="0"/>
              <w:autoSpaceDN w:val="0"/>
              <w:adjustRightInd w:val="0"/>
              <w:spacing w:before="53"/>
              <w:ind w:right="95"/>
              <w:jc w:val="right"/>
              <w:rPr>
                <w:rFonts w:ascii="Times New Roman" w:hAnsi="Times New Roman"/>
                <w:sz w:val="20"/>
                <w:szCs w:val="20"/>
              </w:rPr>
            </w:pPr>
            <w:r>
              <w:rPr>
                <w:rFonts w:ascii="Times New Roman" w:hAnsi="Times New Roman"/>
                <w:sz w:val="20"/>
                <w:szCs w:val="20"/>
              </w:rPr>
              <w:t>Task Force Discussion</w:t>
            </w:r>
          </w:p>
        </w:tc>
        <w:tc>
          <w:tcPr>
            <w:tcW w:w="5087" w:type="dxa"/>
            <w:tcBorders>
              <w:bottom w:val="single" w:sz="4" w:space="0" w:color="auto"/>
            </w:tcBorders>
          </w:tcPr>
          <w:p w:rsidR="007F407A" w:rsidRDefault="007F407A" w:rsidP="004C794B">
            <w:pPr>
              <w:pStyle w:val="ListParagraph"/>
              <w:numPr>
                <w:ilvl w:val="0"/>
                <w:numId w:val="12"/>
              </w:numPr>
              <w:suppressAutoHyphens w:val="0"/>
              <w:spacing w:before="53" w:after="0" w:line="240" w:lineRule="auto"/>
              <w:ind w:right="95"/>
              <w:contextualSpacing/>
              <w:textAlignment w:val="auto"/>
              <w:rPr>
                <w:rFonts w:ascii="Times New Roman" w:hAnsi="Times New Roman"/>
                <w:sz w:val="20"/>
                <w:szCs w:val="20"/>
              </w:rPr>
            </w:pPr>
            <w:r>
              <w:rPr>
                <w:rFonts w:ascii="Times New Roman" w:hAnsi="Times New Roman"/>
                <w:sz w:val="20"/>
                <w:szCs w:val="20"/>
              </w:rPr>
              <w:t>Affordable housing needs</w:t>
            </w:r>
          </w:p>
          <w:p w:rsidR="007F407A" w:rsidRDefault="007F407A" w:rsidP="004C794B">
            <w:pPr>
              <w:pStyle w:val="ListParagraph"/>
              <w:numPr>
                <w:ilvl w:val="0"/>
                <w:numId w:val="12"/>
              </w:numPr>
              <w:suppressAutoHyphens w:val="0"/>
              <w:spacing w:before="53" w:after="0" w:line="240" w:lineRule="auto"/>
              <w:ind w:right="95"/>
              <w:contextualSpacing/>
              <w:textAlignment w:val="auto"/>
              <w:rPr>
                <w:rFonts w:ascii="Times New Roman" w:hAnsi="Times New Roman"/>
                <w:sz w:val="20"/>
                <w:szCs w:val="20"/>
              </w:rPr>
            </w:pPr>
            <w:r>
              <w:rPr>
                <w:rFonts w:ascii="Times New Roman" w:hAnsi="Times New Roman"/>
                <w:sz w:val="20"/>
                <w:szCs w:val="20"/>
              </w:rPr>
              <w:t>NIMBYism</w:t>
            </w:r>
          </w:p>
          <w:p w:rsidR="007F407A" w:rsidRDefault="007F407A" w:rsidP="004C794B">
            <w:pPr>
              <w:pStyle w:val="ListParagraph"/>
              <w:numPr>
                <w:ilvl w:val="0"/>
                <w:numId w:val="12"/>
              </w:numPr>
              <w:suppressAutoHyphens w:val="0"/>
              <w:spacing w:before="53" w:after="0" w:line="240" w:lineRule="auto"/>
              <w:ind w:right="95"/>
              <w:contextualSpacing/>
              <w:textAlignment w:val="auto"/>
              <w:rPr>
                <w:rFonts w:ascii="Times New Roman" w:hAnsi="Times New Roman"/>
                <w:sz w:val="20"/>
                <w:szCs w:val="20"/>
              </w:rPr>
            </w:pPr>
            <w:r>
              <w:rPr>
                <w:rFonts w:ascii="Times New Roman" w:hAnsi="Times New Roman"/>
                <w:sz w:val="20"/>
                <w:szCs w:val="20"/>
              </w:rPr>
              <w:t>Costs of housing</w:t>
            </w:r>
          </w:p>
          <w:p w:rsidR="007F407A" w:rsidRDefault="007F407A" w:rsidP="004C794B">
            <w:pPr>
              <w:pStyle w:val="ListParagraph"/>
              <w:numPr>
                <w:ilvl w:val="0"/>
                <w:numId w:val="12"/>
              </w:numPr>
              <w:suppressAutoHyphens w:val="0"/>
              <w:spacing w:before="53" w:after="0" w:line="240" w:lineRule="auto"/>
              <w:ind w:right="95"/>
              <w:contextualSpacing/>
              <w:textAlignment w:val="auto"/>
              <w:rPr>
                <w:rFonts w:ascii="Times New Roman" w:hAnsi="Times New Roman"/>
                <w:sz w:val="20"/>
                <w:szCs w:val="20"/>
              </w:rPr>
            </w:pPr>
            <w:r>
              <w:rPr>
                <w:rFonts w:ascii="Times New Roman" w:hAnsi="Times New Roman"/>
                <w:sz w:val="20"/>
                <w:szCs w:val="20"/>
              </w:rPr>
              <w:t>Behavior of neighbors and officials</w:t>
            </w:r>
          </w:p>
          <w:p w:rsidR="007F407A" w:rsidRDefault="007F407A" w:rsidP="004C794B">
            <w:pPr>
              <w:pStyle w:val="ListParagraph"/>
              <w:numPr>
                <w:ilvl w:val="0"/>
                <w:numId w:val="12"/>
              </w:numPr>
              <w:suppressAutoHyphens w:val="0"/>
              <w:spacing w:before="53" w:after="0" w:line="240" w:lineRule="auto"/>
              <w:ind w:right="95"/>
              <w:contextualSpacing/>
              <w:textAlignment w:val="auto"/>
              <w:rPr>
                <w:rFonts w:ascii="Times New Roman" w:hAnsi="Times New Roman"/>
                <w:sz w:val="20"/>
                <w:szCs w:val="20"/>
              </w:rPr>
            </w:pPr>
            <w:r>
              <w:rPr>
                <w:rFonts w:ascii="Times New Roman" w:hAnsi="Times New Roman"/>
                <w:sz w:val="20"/>
                <w:szCs w:val="20"/>
              </w:rPr>
              <w:t>Difficulty in quantifying housing needs</w:t>
            </w:r>
          </w:p>
          <w:p w:rsidR="007F407A" w:rsidRDefault="007F407A" w:rsidP="004C794B">
            <w:pPr>
              <w:pStyle w:val="ListParagraph"/>
              <w:numPr>
                <w:ilvl w:val="0"/>
                <w:numId w:val="12"/>
              </w:numPr>
              <w:suppressAutoHyphens w:val="0"/>
              <w:spacing w:before="53" w:after="0" w:line="240" w:lineRule="auto"/>
              <w:ind w:right="95"/>
              <w:contextualSpacing/>
              <w:textAlignment w:val="auto"/>
              <w:rPr>
                <w:rFonts w:ascii="Times New Roman" w:hAnsi="Times New Roman"/>
                <w:sz w:val="20"/>
                <w:szCs w:val="20"/>
              </w:rPr>
            </w:pPr>
            <w:r>
              <w:rPr>
                <w:rFonts w:ascii="Times New Roman" w:hAnsi="Times New Roman"/>
                <w:sz w:val="20"/>
                <w:szCs w:val="20"/>
              </w:rPr>
              <w:t>Nonmonetary tools to generate affordable housing</w:t>
            </w:r>
          </w:p>
          <w:p w:rsidR="007F407A" w:rsidRDefault="007F407A" w:rsidP="004C794B">
            <w:pPr>
              <w:pStyle w:val="ListParagraph"/>
              <w:numPr>
                <w:ilvl w:val="0"/>
                <w:numId w:val="12"/>
              </w:numPr>
              <w:suppressAutoHyphens w:val="0"/>
              <w:spacing w:before="53" w:after="0" w:line="240" w:lineRule="auto"/>
              <w:ind w:right="95"/>
              <w:contextualSpacing/>
              <w:textAlignment w:val="auto"/>
              <w:rPr>
                <w:rFonts w:ascii="Times New Roman" w:hAnsi="Times New Roman"/>
                <w:sz w:val="20"/>
                <w:szCs w:val="20"/>
              </w:rPr>
            </w:pPr>
            <w:r>
              <w:rPr>
                <w:rFonts w:ascii="Times New Roman" w:hAnsi="Times New Roman"/>
                <w:sz w:val="20"/>
                <w:szCs w:val="20"/>
              </w:rPr>
              <w:t>RHNA</w:t>
            </w:r>
          </w:p>
          <w:p w:rsidR="007F407A" w:rsidRDefault="007F407A" w:rsidP="004C794B">
            <w:pPr>
              <w:pStyle w:val="ListParagraph"/>
              <w:numPr>
                <w:ilvl w:val="0"/>
                <w:numId w:val="12"/>
              </w:numPr>
              <w:suppressAutoHyphens w:val="0"/>
              <w:spacing w:before="53" w:after="0" w:line="240" w:lineRule="auto"/>
              <w:ind w:right="95"/>
              <w:contextualSpacing/>
              <w:textAlignment w:val="auto"/>
              <w:rPr>
                <w:rFonts w:ascii="Times New Roman" w:hAnsi="Times New Roman"/>
                <w:sz w:val="20"/>
                <w:szCs w:val="20"/>
              </w:rPr>
            </w:pPr>
            <w:r>
              <w:rPr>
                <w:rFonts w:ascii="Times New Roman" w:hAnsi="Times New Roman"/>
                <w:sz w:val="20"/>
                <w:szCs w:val="20"/>
              </w:rPr>
              <w:t>Long-term strategy (post RDA dissolution)</w:t>
            </w:r>
          </w:p>
          <w:p w:rsidR="007F407A" w:rsidRDefault="007F407A" w:rsidP="004C794B">
            <w:pPr>
              <w:pStyle w:val="ListParagraph"/>
              <w:numPr>
                <w:ilvl w:val="0"/>
                <w:numId w:val="12"/>
              </w:numPr>
              <w:suppressAutoHyphens w:val="0"/>
              <w:spacing w:before="53" w:after="0" w:line="240" w:lineRule="auto"/>
              <w:ind w:right="95"/>
              <w:contextualSpacing/>
              <w:textAlignment w:val="auto"/>
              <w:rPr>
                <w:rFonts w:ascii="Times New Roman" w:hAnsi="Times New Roman"/>
                <w:sz w:val="20"/>
                <w:szCs w:val="20"/>
              </w:rPr>
            </w:pPr>
            <w:r>
              <w:rPr>
                <w:rFonts w:ascii="Times New Roman" w:hAnsi="Times New Roman"/>
                <w:sz w:val="20"/>
                <w:szCs w:val="20"/>
              </w:rPr>
              <w:t>Prioritization of housing revenue sources</w:t>
            </w:r>
          </w:p>
          <w:p w:rsidR="007F407A" w:rsidRDefault="007F407A" w:rsidP="004C794B">
            <w:pPr>
              <w:pStyle w:val="ListParagraph"/>
              <w:numPr>
                <w:ilvl w:val="0"/>
                <w:numId w:val="12"/>
              </w:numPr>
              <w:suppressAutoHyphens w:val="0"/>
              <w:spacing w:before="53" w:after="0" w:line="240" w:lineRule="auto"/>
              <w:ind w:right="95"/>
              <w:contextualSpacing/>
              <w:textAlignment w:val="auto"/>
              <w:rPr>
                <w:rFonts w:ascii="Times New Roman" w:hAnsi="Times New Roman"/>
                <w:sz w:val="20"/>
                <w:szCs w:val="20"/>
              </w:rPr>
            </w:pPr>
            <w:r>
              <w:rPr>
                <w:rFonts w:ascii="Times New Roman" w:hAnsi="Times New Roman"/>
                <w:sz w:val="20"/>
                <w:szCs w:val="20"/>
              </w:rPr>
              <w:t>Types of housing</w:t>
            </w:r>
          </w:p>
          <w:p w:rsidR="007F407A" w:rsidRPr="00FB4D6D" w:rsidRDefault="007F407A" w:rsidP="00125F05">
            <w:pPr>
              <w:pStyle w:val="ListParagraph"/>
              <w:suppressAutoHyphens w:val="0"/>
              <w:spacing w:before="53" w:after="0" w:line="240" w:lineRule="auto"/>
              <w:ind w:right="95"/>
              <w:contextualSpacing/>
              <w:textAlignment w:val="auto"/>
              <w:rPr>
                <w:rFonts w:ascii="Times New Roman" w:hAnsi="Times New Roman"/>
                <w:sz w:val="20"/>
                <w:szCs w:val="20"/>
              </w:rPr>
            </w:pPr>
          </w:p>
        </w:tc>
      </w:tr>
      <w:tr w:rsidR="007F407A" w:rsidRPr="0008253F" w:rsidTr="00113EB0">
        <w:tc>
          <w:tcPr>
            <w:tcW w:w="9288" w:type="dxa"/>
            <w:gridSpan w:val="2"/>
            <w:shd w:val="clear" w:color="auto" w:fill="000000" w:themeFill="text1"/>
          </w:tcPr>
          <w:p w:rsidR="007F407A" w:rsidRPr="00F11C3B" w:rsidRDefault="007F407A" w:rsidP="00125F05">
            <w:pPr>
              <w:autoSpaceDE w:val="0"/>
              <w:autoSpaceDN w:val="0"/>
              <w:adjustRightInd w:val="0"/>
              <w:spacing w:before="53"/>
              <w:ind w:right="95"/>
              <w:jc w:val="center"/>
              <w:rPr>
                <w:rFonts w:ascii="Times New Roman" w:hAnsi="Times New Roman"/>
                <w:b/>
              </w:rPr>
            </w:pPr>
            <w:r w:rsidRPr="00F11C3B">
              <w:rPr>
                <w:rFonts w:ascii="Times New Roman" w:hAnsi="Times New Roman"/>
                <w:b/>
              </w:rPr>
              <w:t>October 10, 2012</w:t>
            </w:r>
          </w:p>
        </w:tc>
      </w:tr>
      <w:tr w:rsidR="007F407A" w:rsidRPr="0008253F" w:rsidTr="00113EB0">
        <w:tc>
          <w:tcPr>
            <w:tcW w:w="9288" w:type="dxa"/>
            <w:gridSpan w:val="2"/>
            <w:shd w:val="clear" w:color="auto" w:fill="000000" w:themeFill="text1"/>
          </w:tcPr>
          <w:p w:rsidR="007F407A" w:rsidRDefault="007F407A" w:rsidP="00125F05">
            <w:pPr>
              <w:autoSpaceDE w:val="0"/>
              <w:autoSpaceDN w:val="0"/>
              <w:adjustRightInd w:val="0"/>
              <w:spacing w:before="53"/>
              <w:ind w:right="95"/>
              <w:jc w:val="center"/>
              <w:rPr>
                <w:rFonts w:ascii="Times New Roman" w:hAnsi="Times New Roman"/>
                <w:b/>
              </w:rPr>
            </w:pPr>
            <w:r w:rsidRPr="00F11C3B">
              <w:rPr>
                <w:rFonts w:ascii="Times New Roman" w:hAnsi="Times New Roman"/>
                <w:b/>
              </w:rPr>
              <w:t>Napa Valley College</w:t>
            </w:r>
          </w:p>
          <w:p w:rsidR="007F407A" w:rsidRPr="00FB7EFC" w:rsidRDefault="007F407A" w:rsidP="00125F05">
            <w:pPr>
              <w:autoSpaceDE w:val="0"/>
              <w:autoSpaceDN w:val="0"/>
              <w:adjustRightInd w:val="0"/>
              <w:spacing w:before="53"/>
              <w:ind w:right="95"/>
              <w:jc w:val="center"/>
              <w:rPr>
                <w:rFonts w:ascii="Times New Roman" w:hAnsi="Times New Roman"/>
                <w:b/>
                <w:sz w:val="20"/>
                <w:szCs w:val="20"/>
              </w:rPr>
            </w:pPr>
          </w:p>
        </w:tc>
      </w:tr>
      <w:tr w:rsidR="007F407A" w:rsidRPr="0008253F" w:rsidTr="00113EB0">
        <w:tc>
          <w:tcPr>
            <w:tcW w:w="4201" w:type="dxa"/>
          </w:tcPr>
          <w:p w:rsidR="007F407A" w:rsidRPr="0008253F" w:rsidRDefault="007F407A" w:rsidP="00125F05">
            <w:pPr>
              <w:autoSpaceDE w:val="0"/>
              <w:autoSpaceDN w:val="0"/>
              <w:adjustRightInd w:val="0"/>
              <w:spacing w:before="53"/>
              <w:ind w:right="95"/>
              <w:jc w:val="center"/>
              <w:rPr>
                <w:rFonts w:ascii="Times New Roman" w:hAnsi="Times New Roman"/>
                <w:b/>
              </w:rPr>
            </w:pPr>
            <w:r w:rsidRPr="0008253F">
              <w:rPr>
                <w:rFonts w:ascii="Times New Roman" w:hAnsi="Times New Roman"/>
                <w:b/>
              </w:rPr>
              <w:t>Topics of Discussion</w:t>
            </w:r>
          </w:p>
        </w:tc>
        <w:tc>
          <w:tcPr>
            <w:tcW w:w="5087" w:type="dxa"/>
          </w:tcPr>
          <w:p w:rsidR="007F407A" w:rsidRPr="0008253F" w:rsidRDefault="007F407A" w:rsidP="00125F05">
            <w:pPr>
              <w:autoSpaceDE w:val="0"/>
              <w:autoSpaceDN w:val="0"/>
              <w:adjustRightInd w:val="0"/>
              <w:spacing w:before="53"/>
              <w:ind w:right="95"/>
              <w:jc w:val="center"/>
              <w:rPr>
                <w:rFonts w:ascii="Times New Roman" w:hAnsi="Times New Roman"/>
                <w:b/>
              </w:rPr>
            </w:pPr>
            <w:r>
              <w:rPr>
                <w:rFonts w:ascii="Times New Roman" w:hAnsi="Times New Roman"/>
                <w:b/>
              </w:rPr>
              <w:t>Description</w:t>
            </w:r>
          </w:p>
        </w:tc>
      </w:tr>
      <w:tr w:rsidR="007F407A" w:rsidRPr="0008253F" w:rsidTr="00113EB0">
        <w:tc>
          <w:tcPr>
            <w:tcW w:w="4201" w:type="dxa"/>
          </w:tcPr>
          <w:p w:rsidR="007F407A" w:rsidRPr="00FB4D6D" w:rsidRDefault="007F407A" w:rsidP="00125F05">
            <w:pPr>
              <w:autoSpaceDE w:val="0"/>
              <w:autoSpaceDN w:val="0"/>
              <w:adjustRightInd w:val="0"/>
              <w:spacing w:before="53"/>
              <w:ind w:right="95"/>
              <w:jc w:val="right"/>
              <w:rPr>
                <w:rFonts w:ascii="Times New Roman" w:hAnsi="Times New Roman"/>
                <w:sz w:val="20"/>
                <w:szCs w:val="20"/>
              </w:rPr>
            </w:pPr>
            <w:r>
              <w:rPr>
                <w:rFonts w:ascii="Times New Roman" w:hAnsi="Times New Roman"/>
                <w:sz w:val="20"/>
                <w:szCs w:val="20"/>
              </w:rPr>
              <w:t>Task Force Sharing of Brainstorming Lists</w:t>
            </w:r>
          </w:p>
        </w:tc>
        <w:tc>
          <w:tcPr>
            <w:tcW w:w="5087" w:type="dxa"/>
          </w:tcPr>
          <w:p w:rsidR="007F407A" w:rsidRDefault="007F407A" w:rsidP="004C794B">
            <w:pPr>
              <w:pStyle w:val="ListParagraph"/>
              <w:numPr>
                <w:ilvl w:val="0"/>
                <w:numId w:val="15"/>
              </w:numPr>
              <w:suppressAutoHyphens w:val="0"/>
              <w:spacing w:before="53" w:after="0" w:line="240" w:lineRule="auto"/>
              <w:ind w:right="95"/>
              <w:contextualSpacing/>
              <w:textAlignment w:val="auto"/>
              <w:rPr>
                <w:rFonts w:ascii="Times New Roman" w:hAnsi="Times New Roman"/>
                <w:sz w:val="20"/>
                <w:szCs w:val="20"/>
              </w:rPr>
            </w:pPr>
            <w:r>
              <w:rPr>
                <w:rFonts w:ascii="Times New Roman" w:hAnsi="Times New Roman"/>
                <w:sz w:val="20"/>
                <w:szCs w:val="20"/>
              </w:rPr>
              <w:t>Article 34 election</w:t>
            </w:r>
          </w:p>
          <w:p w:rsidR="007F407A" w:rsidRDefault="000E7B8B" w:rsidP="004C794B">
            <w:pPr>
              <w:pStyle w:val="ListParagraph"/>
              <w:numPr>
                <w:ilvl w:val="0"/>
                <w:numId w:val="15"/>
              </w:numPr>
              <w:suppressAutoHyphens w:val="0"/>
              <w:spacing w:before="53" w:after="0" w:line="240" w:lineRule="auto"/>
              <w:ind w:right="95"/>
              <w:contextualSpacing/>
              <w:textAlignment w:val="auto"/>
              <w:rPr>
                <w:rFonts w:ascii="Times New Roman" w:hAnsi="Times New Roman"/>
                <w:sz w:val="20"/>
                <w:szCs w:val="20"/>
              </w:rPr>
            </w:pPr>
            <w:r>
              <w:rPr>
                <w:rFonts w:ascii="Times New Roman" w:hAnsi="Times New Roman"/>
                <w:sz w:val="20"/>
                <w:szCs w:val="20"/>
              </w:rPr>
              <w:t>Overv</w:t>
            </w:r>
            <w:r w:rsidR="007F407A">
              <w:rPr>
                <w:rFonts w:ascii="Times New Roman" w:hAnsi="Times New Roman"/>
                <w:sz w:val="20"/>
                <w:szCs w:val="20"/>
              </w:rPr>
              <w:t xml:space="preserve">iew </w:t>
            </w:r>
            <w:r>
              <w:rPr>
                <w:rFonts w:ascii="Times New Roman" w:hAnsi="Times New Roman"/>
                <w:sz w:val="20"/>
                <w:szCs w:val="20"/>
              </w:rPr>
              <w:t xml:space="preserve">of </w:t>
            </w:r>
            <w:r w:rsidR="007F407A">
              <w:rPr>
                <w:rFonts w:ascii="Times New Roman" w:hAnsi="Times New Roman"/>
                <w:sz w:val="20"/>
                <w:szCs w:val="20"/>
              </w:rPr>
              <w:t>Sonoma County program</w:t>
            </w:r>
          </w:p>
          <w:p w:rsidR="007F407A" w:rsidRDefault="007F407A" w:rsidP="004C794B">
            <w:pPr>
              <w:pStyle w:val="ListParagraph"/>
              <w:numPr>
                <w:ilvl w:val="0"/>
                <w:numId w:val="15"/>
              </w:numPr>
              <w:suppressAutoHyphens w:val="0"/>
              <w:spacing w:before="53" w:after="0" w:line="240" w:lineRule="auto"/>
              <w:ind w:right="95"/>
              <w:contextualSpacing/>
              <w:textAlignment w:val="auto"/>
              <w:rPr>
                <w:rFonts w:ascii="Times New Roman" w:hAnsi="Times New Roman"/>
                <w:sz w:val="20"/>
                <w:szCs w:val="20"/>
              </w:rPr>
            </w:pPr>
            <w:r>
              <w:rPr>
                <w:rFonts w:ascii="Times New Roman" w:hAnsi="Times New Roman"/>
                <w:sz w:val="20"/>
                <w:szCs w:val="20"/>
              </w:rPr>
              <w:t>Uniformity among all cities in Napa County on Inclusionary Ordinances</w:t>
            </w:r>
          </w:p>
          <w:p w:rsidR="007F407A" w:rsidRDefault="007F407A" w:rsidP="004C794B">
            <w:pPr>
              <w:pStyle w:val="ListParagraph"/>
              <w:numPr>
                <w:ilvl w:val="0"/>
                <w:numId w:val="15"/>
              </w:numPr>
              <w:suppressAutoHyphens w:val="0"/>
              <w:spacing w:before="53" w:after="0" w:line="240" w:lineRule="auto"/>
              <w:ind w:right="95"/>
              <w:contextualSpacing/>
              <w:textAlignment w:val="auto"/>
              <w:rPr>
                <w:rFonts w:ascii="Times New Roman" w:hAnsi="Times New Roman"/>
                <w:sz w:val="20"/>
                <w:szCs w:val="20"/>
              </w:rPr>
            </w:pPr>
            <w:r>
              <w:rPr>
                <w:rFonts w:ascii="Times New Roman" w:hAnsi="Times New Roman"/>
                <w:sz w:val="20"/>
                <w:szCs w:val="20"/>
              </w:rPr>
              <w:t>Look at public land available for affordable housing sites</w:t>
            </w:r>
          </w:p>
          <w:p w:rsidR="007F407A" w:rsidRPr="00DA72C8" w:rsidRDefault="007F407A" w:rsidP="00125F05">
            <w:pPr>
              <w:pStyle w:val="ListParagraph"/>
              <w:suppressAutoHyphens w:val="0"/>
              <w:spacing w:before="53" w:after="0" w:line="240" w:lineRule="auto"/>
              <w:ind w:right="95"/>
              <w:contextualSpacing/>
              <w:textAlignment w:val="auto"/>
              <w:rPr>
                <w:rFonts w:ascii="Times New Roman" w:hAnsi="Times New Roman"/>
                <w:sz w:val="20"/>
                <w:szCs w:val="20"/>
              </w:rPr>
            </w:pPr>
          </w:p>
        </w:tc>
      </w:tr>
      <w:tr w:rsidR="007F407A" w:rsidRPr="0008253F" w:rsidTr="00113EB0">
        <w:tc>
          <w:tcPr>
            <w:tcW w:w="4201" w:type="dxa"/>
          </w:tcPr>
          <w:p w:rsidR="007F407A" w:rsidRPr="00FB4D6D" w:rsidRDefault="007F407A" w:rsidP="00125F05">
            <w:pPr>
              <w:autoSpaceDE w:val="0"/>
              <w:autoSpaceDN w:val="0"/>
              <w:adjustRightInd w:val="0"/>
              <w:spacing w:before="53"/>
              <w:ind w:right="95"/>
              <w:jc w:val="right"/>
              <w:rPr>
                <w:rFonts w:ascii="Times New Roman" w:hAnsi="Times New Roman"/>
                <w:sz w:val="20"/>
                <w:szCs w:val="20"/>
              </w:rPr>
            </w:pPr>
            <w:r>
              <w:rPr>
                <w:rFonts w:ascii="Times New Roman" w:hAnsi="Times New Roman"/>
                <w:sz w:val="20"/>
                <w:szCs w:val="20"/>
              </w:rPr>
              <w:t>Discussion on Non-Monetary Housing Tools Matrix and Recommendations on Next Steps</w:t>
            </w:r>
          </w:p>
        </w:tc>
        <w:tc>
          <w:tcPr>
            <w:tcW w:w="5087" w:type="dxa"/>
          </w:tcPr>
          <w:p w:rsidR="006B43CA" w:rsidRPr="006B43CA" w:rsidRDefault="006B43CA" w:rsidP="004C794B">
            <w:pPr>
              <w:pStyle w:val="ListParagraph"/>
              <w:numPr>
                <w:ilvl w:val="0"/>
                <w:numId w:val="30"/>
              </w:numPr>
              <w:spacing w:before="53"/>
              <w:ind w:right="95"/>
              <w:contextualSpacing/>
              <w:rPr>
                <w:sz w:val="20"/>
                <w:szCs w:val="20"/>
              </w:rPr>
            </w:pPr>
            <w:r>
              <w:rPr>
                <w:sz w:val="20"/>
                <w:szCs w:val="20"/>
              </w:rPr>
              <w:t>The following issues were discussed</w:t>
            </w:r>
            <w:r w:rsidRPr="006B43CA">
              <w:rPr>
                <w:sz w:val="20"/>
                <w:szCs w:val="20"/>
              </w:rPr>
              <w:t>:</w:t>
            </w:r>
          </w:p>
          <w:p w:rsidR="007F407A" w:rsidRDefault="007F407A" w:rsidP="004C794B">
            <w:pPr>
              <w:pStyle w:val="ListParagraph"/>
              <w:numPr>
                <w:ilvl w:val="1"/>
                <w:numId w:val="14"/>
              </w:numPr>
              <w:suppressAutoHyphens w:val="0"/>
              <w:spacing w:before="53" w:after="0" w:line="240" w:lineRule="auto"/>
              <w:ind w:right="95"/>
              <w:contextualSpacing/>
              <w:textAlignment w:val="auto"/>
              <w:rPr>
                <w:rFonts w:ascii="Times New Roman" w:hAnsi="Times New Roman"/>
                <w:sz w:val="18"/>
                <w:szCs w:val="18"/>
              </w:rPr>
            </w:pPr>
            <w:r w:rsidRPr="002762B3">
              <w:rPr>
                <w:rFonts w:ascii="Times New Roman" w:hAnsi="Times New Roman"/>
                <w:sz w:val="18"/>
                <w:szCs w:val="18"/>
              </w:rPr>
              <w:t>Permit by right multi-family</w:t>
            </w:r>
            <w:r>
              <w:rPr>
                <w:rFonts w:ascii="Times New Roman" w:hAnsi="Times New Roman"/>
                <w:sz w:val="18"/>
                <w:szCs w:val="18"/>
              </w:rPr>
              <w:t xml:space="preserve"> housing projects within the allowed density range</w:t>
            </w:r>
          </w:p>
          <w:p w:rsidR="007F407A" w:rsidRDefault="007F407A" w:rsidP="004C794B">
            <w:pPr>
              <w:pStyle w:val="ListParagraph"/>
              <w:numPr>
                <w:ilvl w:val="1"/>
                <w:numId w:val="14"/>
              </w:numPr>
              <w:suppressAutoHyphens w:val="0"/>
              <w:spacing w:before="53" w:after="0" w:line="240" w:lineRule="auto"/>
              <w:ind w:right="95"/>
              <w:contextualSpacing/>
              <w:textAlignment w:val="auto"/>
              <w:rPr>
                <w:rFonts w:ascii="Times New Roman" w:hAnsi="Times New Roman"/>
                <w:sz w:val="18"/>
                <w:szCs w:val="18"/>
              </w:rPr>
            </w:pPr>
            <w:r>
              <w:rPr>
                <w:rFonts w:ascii="Times New Roman" w:hAnsi="Times New Roman"/>
                <w:sz w:val="18"/>
                <w:szCs w:val="18"/>
              </w:rPr>
              <w:t>Allow second units by right in all residential zones</w:t>
            </w:r>
          </w:p>
          <w:p w:rsidR="007F407A" w:rsidRDefault="007F407A" w:rsidP="004C794B">
            <w:pPr>
              <w:pStyle w:val="ListParagraph"/>
              <w:numPr>
                <w:ilvl w:val="1"/>
                <w:numId w:val="14"/>
              </w:numPr>
              <w:suppressAutoHyphens w:val="0"/>
              <w:spacing w:before="53" w:after="0" w:line="240" w:lineRule="auto"/>
              <w:ind w:right="95"/>
              <w:contextualSpacing/>
              <w:textAlignment w:val="auto"/>
              <w:rPr>
                <w:rFonts w:ascii="Times New Roman" w:hAnsi="Times New Roman"/>
                <w:sz w:val="18"/>
                <w:szCs w:val="18"/>
              </w:rPr>
            </w:pPr>
            <w:r>
              <w:rPr>
                <w:rFonts w:ascii="Times New Roman" w:hAnsi="Times New Roman"/>
                <w:sz w:val="18"/>
                <w:szCs w:val="18"/>
              </w:rPr>
              <w:t>Ease owner-occupancy requirements on property with second unit</w:t>
            </w:r>
          </w:p>
          <w:p w:rsidR="007F407A" w:rsidRDefault="007F407A" w:rsidP="004C794B">
            <w:pPr>
              <w:pStyle w:val="ListParagraph"/>
              <w:numPr>
                <w:ilvl w:val="1"/>
                <w:numId w:val="14"/>
              </w:numPr>
              <w:suppressAutoHyphens w:val="0"/>
              <w:spacing w:before="53" w:after="0" w:line="240" w:lineRule="auto"/>
              <w:ind w:right="95"/>
              <w:contextualSpacing/>
              <w:textAlignment w:val="auto"/>
              <w:rPr>
                <w:rFonts w:ascii="Times New Roman" w:hAnsi="Times New Roman"/>
                <w:sz w:val="18"/>
                <w:szCs w:val="18"/>
              </w:rPr>
            </w:pPr>
            <w:r>
              <w:rPr>
                <w:rFonts w:ascii="Times New Roman" w:hAnsi="Times New Roman"/>
                <w:sz w:val="18"/>
                <w:szCs w:val="18"/>
              </w:rPr>
              <w:t>Reduce parking standards for second units</w:t>
            </w:r>
          </w:p>
          <w:p w:rsidR="007F407A" w:rsidRDefault="007F407A" w:rsidP="004C794B">
            <w:pPr>
              <w:pStyle w:val="ListParagraph"/>
              <w:numPr>
                <w:ilvl w:val="1"/>
                <w:numId w:val="14"/>
              </w:numPr>
              <w:suppressAutoHyphens w:val="0"/>
              <w:spacing w:before="53" w:after="0" w:line="240" w:lineRule="auto"/>
              <w:ind w:right="95"/>
              <w:contextualSpacing/>
              <w:textAlignment w:val="auto"/>
              <w:rPr>
                <w:rFonts w:ascii="Times New Roman" w:hAnsi="Times New Roman"/>
                <w:sz w:val="18"/>
                <w:szCs w:val="18"/>
              </w:rPr>
            </w:pPr>
            <w:r>
              <w:rPr>
                <w:rFonts w:ascii="Times New Roman" w:hAnsi="Times New Roman"/>
                <w:sz w:val="18"/>
                <w:szCs w:val="18"/>
              </w:rPr>
              <w:t>Obtain more information on adopting amnesty program for illegal second units</w:t>
            </w:r>
          </w:p>
          <w:p w:rsidR="007F407A" w:rsidRDefault="007F407A" w:rsidP="004C794B">
            <w:pPr>
              <w:pStyle w:val="ListParagraph"/>
              <w:numPr>
                <w:ilvl w:val="1"/>
                <w:numId w:val="14"/>
              </w:numPr>
              <w:suppressAutoHyphens w:val="0"/>
              <w:spacing w:before="53" w:after="0" w:line="240" w:lineRule="auto"/>
              <w:ind w:right="95"/>
              <w:contextualSpacing/>
              <w:textAlignment w:val="auto"/>
              <w:rPr>
                <w:rFonts w:ascii="Times New Roman" w:hAnsi="Times New Roman"/>
                <w:sz w:val="18"/>
                <w:szCs w:val="18"/>
              </w:rPr>
            </w:pPr>
            <w:r>
              <w:rPr>
                <w:rFonts w:ascii="Times New Roman" w:hAnsi="Times New Roman"/>
                <w:sz w:val="18"/>
                <w:szCs w:val="18"/>
              </w:rPr>
              <w:t>Exempt affordable housing units from Growth Management Policies</w:t>
            </w:r>
          </w:p>
          <w:p w:rsidR="007F407A" w:rsidRPr="006B43CA" w:rsidRDefault="007F407A" w:rsidP="006B43CA">
            <w:pPr>
              <w:spacing w:before="53"/>
              <w:ind w:left="1080" w:right="95"/>
              <w:contextualSpacing/>
              <w:rPr>
                <w:sz w:val="18"/>
                <w:szCs w:val="18"/>
              </w:rPr>
            </w:pPr>
          </w:p>
        </w:tc>
      </w:tr>
      <w:tr w:rsidR="007F407A" w:rsidRPr="0008253F" w:rsidTr="00113EB0">
        <w:tc>
          <w:tcPr>
            <w:tcW w:w="4201" w:type="dxa"/>
          </w:tcPr>
          <w:p w:rsidR="007F407A" w:rsidRPr="00FB4D6D" w:rsidRDefault="007F407A" w:rsidP="00125F05">
            <w:pPr>
              <w:autoSpaceDE w:val="0"/>
              <w:autoSpaceDN w:val="0"/>
              <w:adjustRightInd w:val="0"/>
              <w:spacing w:before="53"/>
              <w:ind w:right="95"/>
              <w:jc w:val="right"/>
              <w:rPr>
                <w:rFonts w:ascii="Times New Roman" w:hAnsi="Times New Roman"/>
                <w:sz w:val="20"/>
                <w:szCs w:val="20"/>
              </w:rPr>
            </w:pPr>
            <w:r>
              <w:rPr>
                <w:rFonts w:ascii="Times New Roman" w:hAnsi="Times New Roman"/>
                <w:sz w:val="20"/>
                <w:szCs w:val="20"/>
              </w:rPr>
              <w:t>Recap on Housing Fund Source Subcommittee Meeting</w:t>
            </w:r>
          </w:p>
        </w:tc>
        <w:tc>
          <w:tcPr>
            <w:tcW w:w="5087" w:type="dxa"/>
            <w:tcBorders>
              <w:bottom w:val="single" w:sz="4" w:space="0" w:color="auto"/>
            </w:tcBorders>
          </w:tcPr>
          <w:p w:rsidR="007F407A" w:rsidRPr="008B4327" w:rsidRDefault="007F407A" w:rsidP="004C794B">
            <w:pPr>
              <w:pStyle w:val="ListParagraph"/>
              <w:numPr>
                <w:ilvl w:val="0"/>
                <w:numId w:val="13"/>
              </w:numPr>
              <w:suppressAutoHyphens w:val="0"/>
              <w:spacing w:before="53" w:after="0" w:line="240" w:lineRule="auto"/>
              <w:ind w:right="95"/>
              <w:contextualSpacing/>
              <w:textAlignment w:val="auto"/>
              <w:rPr>
                <w:rFonts w:ascii="Times New Roman" w:hAnsi="Times New Roman"/>
                <w:sz w:val="20"/>
                <w:szCs w:val="20"/>
              </w:rPr>
            </w:pPr>
            <w:r>
              <w:rPr>
                <w:rFonts w:ascii="Times New Roman" w:hAnsi="Times New Roman"/>
                <w:sz w:val="20"/>
                <w:szCs w:val="20"/>
              </w:rPr>
              <w:t>List 4A as a Property Transfer Tax or Recording Fee</w:t>
            </w:r>
          </w:p>
          <w:p w:rsidR="007F407A" w:rsidRDefault="007F407A" w:rsidP="004C794B">
            <w:pPr>
              <w:pStyle w:val="ListParagraph"/>
              <w:numPr>
                <w:ilvl w:val="0"/>
                <w:numId w:val="13"/>
              </w:numPr>
              <w:suppressAutoHyphens w:val="0"/>
              <w:spacing w:before="53" w:after="0" w:line="240" w:lineRule="auto"/>
              <w:ind w:right="95"/>
              <w:contextualSpacing/>
              <w:textAlignment w:val="auto"/>
              <w:rPr>
                <w:rFonts w:ascii="Times New Roman" w:hAnsi="Times New Roman"/>
                <w:sz w:val="20"/>
                <w:szCs w:val="20"/>
              </w:rPr>
            </w:pPr>
            <w:r>
              <w:rPr>
                <w:rFonts w:ascii="Times New Roman" w:hAnsi="Times New Roman"/>
                <w:sz w:val="20"/>
                <w:szCs w:val="20"/>
              </w:rPr>
              <w:t>Pursue Successor Agency funding</w:t>
            </w:r>
          </w:p>
          <w:p w:rsidR="007F407A" w:rsidRDefault="007F407A" w:rsidP="004C794B">
            <w:pPr>
              <w:pStyle w:val="ListParagraph"/>
              <w:numPr>
                <w:ilvl w:val="0"/>
                <w:numId w:val="13"/>
              </w:numPr>
              <w:suppressAutoHyphens w:val="0"/>
              <w:spacing w:before="53" w:after="0" w:line="240" w:lineRule="auto"/>
              <w:ind w:right="95"/>
              <w:contextualSpacing/>
              <w:textAlignment w:val="auto"/>
              <w:rPr>
                <w:rFonts w:ascii="Times New Roman" w:hAnsi="Times New Roman"/>
                <w:sz w:val="20"/>
                <w:szCs w:val="20"/>
              </w:rPr>
            </w:pPr>
            <w:r>
              <w:rPr>
                <w:rFonts w:ascii="Times New Roman" w:hAnsi="Times New Roman"/>
                <w:sz w:val="20"/>
                <w:szCs w:val="20"/>
              </w:rPr>
              <w:t>Obtain estimates on what funding sources may generate</w:t>
            </w:r>
          </w:p>
          <w:p w:rsidR="007F407A" w:rsidRDefault="007F407A" w:rsidP="004C794B">
            <w:pPr>
              <w:pStyle w:val="ListParagraph"/>
              <w:numPr>
                <w:ilvl w:val="0"/>
                <w:numId w:val="13"/>
              </w:numPr>
              <w:suppressAutoHyphens w:val="0"/>
              <w:spacing w:before="53" w:after="0" w:line="240" w:lineRule="auto"/>
              <w:ind w:right="95"/>
              <w:contextualSpacing/>
              <w:textAlignment w:val="auto"/>
              <w:rPr>
                <w:rFonts w:ascii="Times New Roman" w:hAnsi="Times New Roman"/>
                <w:sz w:val="20"/>
                <w:szCs w:val="20"/>
              </w:rPr>
            </w:pPr>
            <w:r>
              <w:rPr>
                <w:rFonts w:ascii="Times New Roman" w:hAnsi="Times New Roman"/>
                <w:sz w:val="20"/>
                <w:szCs w:val="20"/>
              </w:rPr>
              <w:t>Retain pursuit of funding from wineries</w:t>
            </w:r>
          </w:p>
          <w:p w:rsidR="007F407A" w:rsidRPr="00FB7EFC" w:rsidRDefault="007F407A" w:rsidP="004C794B">
            <w:pPr>
              <w:pStyle w:val="ListParagraph"/>
              <w:numPr>
                <w:ilvl w:val="0"/>
                <w:numId w:val="13"/>
              </w:numPr>
              <w:suppressAutoHyphens w:val="0"/>
              <w:spacing w:before="53" w:after="0" w:line="240" w:lineRule="auto"/>
              <w:ind w:right="95"/>
              <w:contextualSpacing/>
              <w:textAlignment w:val="auto"/>
              <w:rPr>
                <w:rFonts w:ascii="Times New Roman" w:hAnsi="Times New Roman"/>
                <w:sz w:val="20"/>
                <w:szCs w:val="20"/>
              </w:rPr>
            </w:pPr>
            <w:r>
              <w:rPr>
                <w:rFonts w:ascii="Times New Roman" w:hAnsi="Times New Roman"/>
                <w:sz w:val="20"/>
                <w:szCs w:val="20"/>
              </w:rPr>
              <w:t>$10 per acre self-assessment to address farmworker housing need</w:t>
            </w:r>
          </w:p>
        </w:tc>
      </w:tr>
      <w:tr w:rsidR="007F407A" w:rsidRPr="0008253F" w:rsidTr="00113EB0">
        <w:tc>
          <w:tcPr>
            <w:tcW w:w="4201" w:type="dxa"/>
          </w:tcPr>
          <w:p w:rsidR="007F407A" w:rsidRDefault="007F407A" w:rsidP="00125F05">
            <w:pPr>
              <w:autoSpaceDE w:val="0"/>
              <w:autoSpaceDN w:val="0"/>
              <w:adjustRightInd w:val="0"/>
              <w:spacing w:before="53"/>
              <w:ind w:right="95"/>
              <w:jc w:val="right"/>
              <w:rPr>
                <w:rFonts w:ascii="Times New Roman" w:hAnsi="Times New Roman"/>
                <w:sz w:val="20"/>
                <w:szCs w:val="20"/>
              </w:rPr>
            </w:pPr>
            <w:r>
              <w:rPr>
                <w:rFonts w:ascii="Times New Roman" w:hAnsi="Times New Roman"/>
                <w:sz w:val="20"/>
                <w:szCs w:val="20"/>
              </w:rPr>
              <w:t>Recap on Improving Efficiencies/Cost of Housing Subcommittee Meeting</w:t>
            </w:r>
          </w:p>
        </w:tc>
        <w:tc>
          <w:tcPr>
            <w:tcW w:w="5087" w:type="dxa"/>
            <w:tcBorders>
              <w:bottom w:val="single" w:sz="4" w:space="0" w:color="auto"/>
            </w:tcBorders>
          </w:tcPr>
          <w:p w:rsidR="007F407A" w:rsidRDefault="007F407A" w:rsidP="004C794B">
            <w:pPr>
              <w:pStyle w:val="ListParagraph"/>
              <w:numPr>
                <w:ilvl w:val="0"/>
                <w:numId w:val="13"/>
              </w:numPr>
              <w:suppressAutoHyphens w:val="0"/>
              <w:spacing w:before="53" w:after="0" w:line="240" w:lineRule="auto"/>
              <w:ind w:right="95"/>
              <w:contextualSpacing/>
              <w:textAlignment w:val="auto"/>
              <w:rPr>
                <w:rFonts w:ascii="Times New Roman" w:hAnsi="Times New Roman"/>
                <w:sz w:val="20"/>
                <w:szCs w:val="20"/>
              </w:rPr>
            </w:pPr>
            <w:r>
              <w:rPr>
                <w:rFonts w:ascii="Times New Roman" w:hAnsi="Times New Roman"/>
                <w:sz w:val="20"/>
                <w:szCs w:val="20"/>
              </w:rPr>
              <w:t>Advocate putting affordable housing into market rate projects to integrate into community</w:t>
            </w:r>
          </w:p>
          <w:p w:rsidR="007F407A" w:rsidRDefault="007F407A" w:rsidP="00125F05">
            <w:pPr>
              <w:pStyle w:val="ListParagraph"/>
              <w:suppressAutoHyphens w:val="0"/>
              <w:spacing w:before="53" w:after="0" w:line="240" w:lineRule="auto"/>
              <w:ind w:right="95"/>
              <w:contextualSpacing/>
              <w:textAlignment w:val="auto"/>
              <w:rPr>
                <w:rFonts w:ascii="Times New Roman" w:hAnsi="Times New Roman"/>
                <w:sz w:val="20"/>
                <w:szCs w:val="20"/>
              </w:rPr>
            </w:pPr>
          </w:p>
          <w:p w:rsidR="007F407A" w:rsidRDefault="007F407A" w:rsidP="004C794B">
            <w:pPr>
              <w:pStyle w:val="ListParagraph"/>
              <w:numPr>
                <w:ilvl w:val="0"/>
                <w:numId w:val="13"/>
              </w:numPr>
              <w:suppressAutoHyphens w:val="0"/>
              <w:spacing w:before="53" w:after="0" w:line="240" w:lineRule="auto"/>
              <w:ind w:right="95"/>
              <w:contextualSpacing/>
              <w:textAlignment w:val="auto"/>
              <w:rPr>
                <w:rFonts w:ascii="Times New Roman" w:hAnsi="Times New Roman"/>
                <w:sz w:val="20"/>
                <w:szCs w:val="20"/>
              </w:rPr>
            </w:pPr>
            <w:r>
              <w:rPr>
                <w:rFonts w:ascii="Times New Roman" w:hAnsi="Times New Roman"/>
                <w:sz w:val="20"/>
                <w:szCs w:val="20"/>
              </w:rPr>
              <w:t>Include minimum unit sizes in underwriting guidelines</w:t>
            </w:r>
          </w:p>
          <w:p w:rsidR="007F407A" w:rsidRDefault="007F407A" w:rsidP="004C794B">
            <w:pPr>
              <w:pStyle w:val="ListParagraph"/>
              <w:numPr>
                <w:ilvl w:val="0"/>
                <w:numId w:val="13"/>
              </w:numPr>
              <w:suppressAutoHyphens w:val="0"/>
              <w:spacing w:before="53" w:after="0" w:line="240" w:lineRule="auto"/>
              <w:ind w:right="95"/>
              <w:contextualSpacing/>
              <w:textAlignment w:val="auto"/>
              <w:rPr>
                <w:rFonts w:ascii="Times New Roman" w:hAnsi="Times New Roman"/>
                <w:sz w:val="20"/>
                <w:szCs w:val="20"/>
              </w:rPr>
            </w:pPr>
            <w:r>
              <w:rPr>
                <w:rFonts w:ascii="Times New Roman" w:hAnsi="Times New Roman"/>
                <w:sz w:val="20"/>
                <w:szCs w:val="20"/>
              </w:rPr>
              <w:t>Need for measurement tool to gauge success (e.g. Washington Cottage Ordinance)</w:t>
            </w:r>
          </w:p>
          <w:p w:rsidR="007F407A" w:rsidRDefault="007F407A" w:rsidP="00125F05">
            <w:pPr>
              <w:pStyle w:val="ListParagraph"/>
              <w:suppressAutoHyphens w:val="0"/>
              <w:spacing w:before="53" w:after="0" w:line="240" w:lineRule="auto"/>
              <w:ind w:right="95"/>
              <w:contextualSpacing/>
              <w:textAlignment w:val="auto"/>
              <w:rPr>
                <w:rFonts w:ascii="Times New Roman" w:hAnsi="Times New Roman"/>
                <w:sz w:val="20"/>
                <w:szCs w:val="20"/>
              </w:rPr>
            </w:pPr>
          </w:p>
        </w:tc>
      </w:tr>
      <w:tr w:rsidR="007F407A" w:rsidRPr="0008253F" w:rsidTr="00113EB0">
        <w:tc>
          <w:tcPr>
            <w:tcW w:w="4201" w:type="dxa"/>
          </w:tcPr>
          <w:p w:rsidR="007F407A" w:rsidRDefault="007F407A" w:rsidP="00125F05">
            <w:pPr>
              <w:autoSpaceDE w:val="0"/>
              <w:autoSpaceDN w:val="0"/>
              <w:adjustRightInd w:val="0"/>
              <w:spacing w:before="53"/>
              <w:ind w:right="95"/>
              <w:jc w:val="right"/>
              <w:rPr>
                <w:rFonts w:ascii="Times New Roman" w:hAnsi="Times New Roman"/>
                <w:sz w:val="20"/>
                <w:szCs w:val="20"/>
              </w:rPr>
            </w:pPr>
            <w:r>
              <w:rPr>
                <w:rFonts w:ascii="Times New Roman" w:hAnsi="Times New Roman"/>
                <w:sz w:val="20"/>
                <w:szCs w:val="20"/>
              </w:rPr>
              <w:t>Recap on Priorities of Housing Types Subcommittee Meeting</w:t>
            </w:r>
          </w:p>
        </w:tc>
        <w:tc>
          <w:tcPr>
            <w:tcW w:w="5087" w:type="dxa"/>
            <w:tcBorders>
              <w:bottom w:val="single" w:sz="4" w:space="0" w:color="auto"/>
            </w:tcBorders>
          </w:tcPr>
          <w:p w:rsidR="007F407A" w:rsidRDefault="007F407A" w:rsidP="004C794B">
            <w:pPr>
              <w:pStyle w:val="ListParagraph"/>
              <w:numPr>
                <w:ilvl w:val="0"/>
                <w:numId w:val="13"/>
              </w:numPr>
              <w:suppressAutoHyphens w:val="0"/>
              <w:spacing w:before="53" w:after="0" w:line="240" w:lineRule="auto"/>
              <w:ind w:right="95"/>
              <w:contextualSpacing/>
              <w:textAlignment w:val="auto"/>
              <w:rPr>
                <w:rFonts w:ascii="Times New Roman" w:hAnsi="Times New Roman"/>
                <w:sz w:val="20"/>
                <w:szCs w:val="20"/>
              </w:rPr>
            </w:pPr>
            <w:r>
              <w:rPr>
                <w:rFonts w:ascii="Times New Roman" w:hAnsi="Times New Roman"/>
                <w:sz w:val="20"/>
                <w:szCs w:val="20"/>
              </w:rPr>
              <w:t>25% of funding should go to homeownership programs</w:t>
            </w:r>
          </w:p>
          <w:p w:rsidR="007F407A" w:rsidRDefault="007F407A" w:rsidP="004C794B">
            <w:pPr>
              <w:pStyle w:val="ListParagraph"/>
              <w:numPr>
                <w:ilvl w:val="0"/>
                <w:numId w:val="13"/>
              </w:numPr>
              <w:suppressAutoHyphens w:val="0"/>
              <w:spacing w:before="53" w:after="0" w:line="240" w:lineRule="auto"/>
              <w:ind w:right="95"/>
              <w:contextualSpacing/>
              <w:textAlignment w:val="auto"/>
              <w:rPr>
                <w:rFonts w:ascii="Times New Roman" w:hAnsi="Times New Roman"/>
                <w:sz w:val="20"/>
                <w:szCs w:val="20"/>
              </w:rPr>
            </w:pPr>
            <w:r>
              <w:rPr>
                <w:rFonts w:ascii="Times New Roman" w:hAnsi="Times New Roman"/>
                <w:sz w:val="20"/>
                <w:szCs w:val="20"/>
              </w:rPr>
              <w:t>75% of funding should go to rental programs in the following order:</w:t>
            </w:r>
          </w:p>
          <w:p w:rsidR="007F407A" w:rsidRPr="00F82912" w:rsidRDefault="007F407A" w:rsidP="004C794B">
            <w:pPr>
              <w:pStyle w:val="ListParagraph"/>
              <w:numPr>
                <w:ilvl w:val="1"/>
                <w:numId w:val="13"/>
              </w:numPr>
              <w:suppressAutoHyphens w:val="0"/>
              <w:spacing w:before="53" w:after="0" w:line="240" w:lineRule="auto"/>
              <w:ind w:right="95"/>
              <w:contextualSpacing/>
              <w:textAlignment w:val="auto"/>
              <w:rPr>
                <w:rFonts w:ascii="Times New Roman" w:hAnsi="Times New Roman"/>
                <w:sz w:val="20"/>
                <w:szCs w:val="20"/>
              </w:rPr>
            </w:pPr>
            <w:r>
              <w:rPr>
                <w:rFonts w:ascii="Times New Roman" w:hAnsi="Times New Roman"/>
                <w:sz w:val="18"/>
                <w:szCs w:val="18"/>
              </w:rPr>
              <w:t xml:space="preserve">Identify distressed property owners and offer loans to </w:t>
            </w:r>
            <w:r w:rsidR="00507907">
              <w:rPr>
                <w:rFonts w:ascii="Times New Roman" w:hAnsi="Times New Roman"/>
                <w:sz w:val="18"/>
                <w:szCs w:val="18"/>
              </w:rPr>
              <w:t>rehabilitation</w:t>
            </w:r>
            <w:r>
              <w:rPr>
                <w:rFonts w:ascii="Times New Roman" w:hAnsi="Times New Roman"/>
                <w:sz w:val="18"/>
                <w:szCs w:val="18"/>
              </w:rPr>
              <w:t xml:space="preserve"> units for low or low-mod households</w:t>
            </w:r>
          </w:p>
          <w:p w:rsidR="007F407A" w:rsidRPr="00F82912" w:rsidRDefault="007F407A" w:rsidP="004C794B">
            <w:pPr>
              <w:pStyle w:val="ListParagraph"/>
              <w:numPr>
                <w:ilvl w:val="1"/>
                <w:numId w:val="13"/>
              </w:numPr>
              <w:suppressAutoHyphens w:val="0"/>
              <w:spacing w:before="53" w:after="0" w:line="240" w:lineRule="auto"/>
              <w:ind w:right="95"/>
              <w:contextualSpacing/>
              <w:textAlignment w:val="auto"/>
              <w:rPr>
                <w:rFonts w:ascii="Times New Roman" w:hAnsi="Times New Roman"/>
                <w:sz w:val="20"/>
                <w:szCs w:val="20"/>
              </w:rPr>
            </w:pPr>
            <w:r>
              <w:rPr>
                <w:rFonts w:ascii="Times New Roman" w:hAnsi="Times New Roman"/>
                <w:sz w:val="18"/>
                <w:szCs w:val="18"/>
              </w:rPr>
              <w:t xml:space="preserve">Acquire and </w:t>
            </w:r>
            <w:r w:rsidR="00507907">
              <w:rPr>
                <w:rFonts w:ascii="Times New Roman" w:hAnsi="Times New Roman"/>
                <w:sz w:val="18"/>
                <w:szCs w:val="18"/>
              </w:rPr>
              <w:t>rehabilitation</w:t>
            </w:r>
            <w:r>
              <w:rPr>
                <w:rFonts w:ascii="Times New Roman" w:hAnsi="Times New Roman"/>
                <w:sz w:val="18"/>
                <w:szCs w:val="18"/>
              </w:rPr>
              <w:t xml:space="preserve"> rental properties for low and low-mod households</w:t>
            </w:r>
          </w:p>
          <w:p w:rsidR="007F407A" w:rsidRPr="00F9127D" w:rsidRDefault="007F407A" w:rsidP="004C794B">
            <w:pPr>
              <w:pStyle w:val="ListParagraph"/>
              <w:numPr>
                <w:ilvl w:val="1"/>
                <w:numId w:val="13"/>
              </w:numPr>
              <w:suppressAutoHyphens w:val="0"/>
              <w:spacing w:before="53" w:after="0" w:line="240" w:lineRule="auto"/>
              <w:ind w:right="95"/>
              <w:contextualSpacing/>
              <w:textAlignment w:val="auto"/>
              <w:rPr>
                <w:rFonts w:ascii="Times New Roman" w:hAnsi="Times New Roman"/>
                <w:sz w:val="20"/>
                <w:szCs w:val="20"/>
              </w:rPr>
            </w:pPr>
            <w:r>
              <w:rPr>
                <w:rFonts w:ascii="Times New Roman" w:hAnsi="Times New Roman"/>
                <w:sz w:val="18"/>
                <w:szCs w:val="18"/>
              </w:rPr>
              <w:t>New construction</w:t>
            </w:r>
          </w:p>
          <w:p w:rsidR="007F407A" w:rsidRDefault="007F407A" w:rsidP="004C794B">
            <w:pPr>
              <w:pStyle w:val="ListParagraph"/>
              <w:numPr>
                <w:ilvl w:val="0"/>
                <w:numId w:val="13"/>
              </w:numPr>
              <w:suppressAutoHyphens w:val="0"/>
              <w:spacing w:before="53" w:after="0" w:line="240" w:lineRule="auto"/>
              <w:ind w:right="95"/>
              <w:contextualSpacing/>
              <w:textAlignment w:val="auto"/>
              <w:rPr>
                <w:rFonts w:ascii="Times New Roman" w:hAnsi="Times New Roman"/>
                <w:sz w:val="20"/>
                <w:szCs w:val="20"/>
              </w:rPr>
            </w:pPr>
            <w:r>
              <w:rPr>
                <w:rFonts w:ascii="Times New Roman" w:hAnsi="Times New Roman"/>
                <w:sz w:val="20"/>
                <w:szCs w:val="20"/>
              </w:rPr>
              <w:t>Measures would not add to housing stock but would make more affordable units available while revitalizing neighborhoods</w:t>
            </w:r>
          </w:p>
          <w:p w:rsidR="007F407A" w:rsidRDefault="007F407A" w:rsidP="00125F05">
            <w:pPr>
              <w:pStyle w:val="ListParagraph"/>
              <w:suppressAutoHyphens w:val="0"/>
              <w:spacing w:before="53" w:after="0" w:line="240" w:lineRule="auto"/>
              <w:ind w:right="95"/>
              <w:contextualSpacing/>
              <w:textAlignment w:val="auto"/>
              <w:rPr>
                <w:rFonts w:ascii="Times New Roman" w:hAnsi="Times New Roman"/>
                <w:sz w:val="20"/>
                <w:szCs w:val="20"/>
              </w:rPr>
            </w:pPr>
          </w:p>
        </w:tc>
      </w:tr>
      <w:tr w:rsidR="007F407A" w:rsidRPr="0008253F" w:rsidTr="00113EB0">
        <w:tc>
          <w:tcPr>
            <w:tcW w:w="4201" w:type="dxa"/>
            <w:tcBorders>
              <w:bottom w:val="single" w:sz="4" w:space="0" w:color="auto"/>
            </w:tcBorders>
          </w:tcPr>
          <w:p w:rsidR="007F407A" w:rsidRDefault="007F407A" w:rsidP="000E7B8B">
            <w:pPr>
              <w:autoSpaceDE w:val="0"/>
              <w:autoSpaceDN w:val="0"/>
              <w:adjustRightInd w:val="0"/>
              <w:spacing w:before="53"/>
              <w:ind w:right="95"/>
              <w:jc w:val="right"/>
              <w:rPr>
                <w:rFonts w:ascii="Times New Roman" w:hAnsi="Times New Roman"/>
                <w:sz w:val="20"/>
                <w:szCs w:val="20"/>
              </w:rPr>
            </w:pPr>
            <w:r>
              <w:rPr>
                <w:rFonts w:ascii="Times New Roman" w:hAnsi="Times New Roman"/>
                <w:sz w:val="20"/>
                <w:szCs w:val="20"/>
              </w:rPr>
              <w:t>Presentation on Five Strategies to Consider</w:t>
            </w:r>
          </w:p>
        </w:tc>
        <w:tc>
          <w:tcPr>
            <w:tcW w:w="5087" w:type="dxa"/>
            <w:tcBorders>
              <w:bottom w:val="single" w:sz="4" w:space="0" w:color="auto"/>
            </w:tcBorders>
          </w:tcPr>
          <w:p w:rsidR="007F407A" w:rsidRDefault="007F407A" w:rsidP="004C794B">
            <w:pPr>
              <w:pStyle w:val="ListParagraph"/>
              <w:numPr>
                <w:ilvl w:val="0"/>
                <w:numId w:val="13"/>
              </w:numPr>
              <w:suppressAutoHyphens w:val="0"/>
              <w:spacing w:before="53" w:after="0" w:line="240" w:lineRule="auto"/>
              <w:ind w:right="95"/>
              <w:contextualSpacing/>
              <w:textAlignment w:val="auto"/>
              <w:rPr>
                <w:rFonts w:ascii="Times New Roman" w:hAnsi="Times New Roman"/>
                <w:sz w:val="20"/>
                <w:szCs w:val="20"/>
              </w:rPr>
            </w:pPr>
            <w:r>
              <w:rPr>
                <w:rFonts w:ascii="Times New Roman" w:hAnsi="Times New Roman"/>
                <w:sz w:val="20"/>
                <w:szCs w:val="20"/>
              </w:rPr>
              <w:t>1 – Link housing strategies to workforce needs</w:t>
            </w:r>
          </w:p>
          <w:p w:rsidR="007F407A" w:rsidRDefault="007F407A" w:rsidP="004C794B">
            <w:pPr>
              <w:pStyle w:val="ListParagraph"/>
              <w:numPr>
                <w:ilvl w:val="0"/>
                <w:numId w:val="13"/>
              </w:numPr>
              <w:suppressAutoHyphens w:val="0"/>
              <w:spacing w:before="53" w:after="0" w:line="240" w:lineRule="auto"/>
              <w:ind w:right="95"/>
              <w:contextualSpacing/>
              <w:textAlignment w:val="auto"/>
              <w:rPr>
                <w:rFonts w:ascii="Times New Roman" w:hAnsi="Times New Roman"/>
                <w:sz w:val="20"/>
                <w:szCs w:val="20"/>
              </w:rPr>
            </w:pPr>
            <w:r>
              <w:rPr>
                <w:rFonts w:ascii="Times New Roman" w:hAnsi="Times New Roman"/>
                <w:sz w:val="20"/>
                <w:szCs w:val="20"/>
              </w:rPr>
              <w:t>2 – Determine optimal mix of housing types</w:t>
            </w:r>
          </w:p>
          <w:p w:rsidR="007F407A" w:rsidRDefault="007F407A" w:rsidP="004C794B">
            <w:pPr>
              <w:pStyle w:val="ListParagraph"/>
              <w:numPr>
                <w:ilvl w:val="0"/>
                <w:numId w:val="13"/>
              </w:numPr>
              <w:suppressAutoHyphens w:val="0"/>
              <w:spacing w:before="53" w:after="0" w:line="240" w:lineRule="auto"/>
              <w:ind w:right="95"/>
              <w:contextualSpacing/>
              <w:textAlignment w:val="auto"/>
              <w:rPr>
                <w:rFonts w:ascii="Times New Roman" w:hAnsi="Times New Roman"/>
                <w:sz w:val="20"/>
                <w:szCs w:val="20"/>
              </w:rPr>
            </w:pPr>
            <w:r>
              <w:rPr>
                <w:rFonts w:ascii="Times New Roman" w:hAnsi="Times New Roman"/>
                <w:sz w:val="20"/>
                <w:szCs w:val="20"/>
              </w:rPr>
              <w:t>3 – Maximize financing resources and cost efficiencies</w:t>
            </w:r>
          </w:p>
          <w:p w:rsidR="007F407A" w:rsidRPr="006D3DD9" w:rsidRDefault="007F407A" w:rsidP="00125F05">
            <w:pPr>
              <w:pStyle w:val="ListParagraph"/>
              <w:suppressAutoHyphens w:val="0"/>
              <w:spacing w:before="53" w:after="0" w:line="240" w:lineRule="auto"/>
              <w:ind w:right="95"/>
              <w:contextualSpacing/>
              <w:textAlignment w:val="auto"/>
              <w:rPr>
                <w:rFonts w:ascii="Times New Roman" w:hAnsi="Times New Roman"/>
                <w:sz w:val="20"/>
                <w:szCs w:val="20"/>
              </w:rPr>
            </w:pPr>
          </w:p>
          <w:p w:rsidR="007F407A" w:rsidRDefault="007F407A" w:rsidP="004C794B">
            <w:pPr>
              <w:pStyle w:val="ListParagraph"/>
              <w:numPr>
                <w:ilvl w:val="0"/>
                <w:numId w:val="13"/>
              </w:numPr>
              <w:suppressAutoHyphens w:val="0"/>
              <w:spacing w:before="53" w:after="0" w:line="240" w:lineRule="auto"/>
              <w:ind w:right="95"/>
              <w:contextualSpacing/>
              <w:textAlignment w:val="auto"/>
              <w:rPr>
                <w:rFonts w:ascii="Times New Roman" w:hAnsi="Times New Roman"/>
                <w:sz w:val="20"/>
                <w:szCs w:val="20"/>
              </w:rPr>
            </w:pPr>
            <w:r>
              <w:rPr>
                <w:rFonts w:ascii="Times New Roman" w:hAnsi="Times New Roman"/>
                <w:sz w:val="20"/>
                <w:szCs w:val="20"/>
              </w:rPr>
              <w:t>4 – Implement non-monetary production opportunities</w:t>
            </w:r>
          </w:p>
          <w:p w:rsidR="007F407A" w:rsidRDefault="007F407A" w:rsidP="004C794B">
            <w:pPr>
              <w:pStyle w:val="ListParagraph"/>
              <w:numPr>
                <w:ilvl w:val="0"/>
                <w:numId w:val="13"/>
              </w:numPr>
              <w:suppressAutoHyphens w:val="0"/>
              <w:spacing w:before="53" w:after="0" w:line="240" w:lineRule="auto"/>
              <w:ind w:right="95"/>
              <w:contextualSpacing/>
              <w:textAlignment w:val="auto"/>
              <w:rPr>
                <w:rFonts w:ascii="Times New Roman" w:hAnsi="Times New Roman"/>
                <w:sz w:val="20"/>
                <w:szCs w:val="20"/>
              </w:rPr>
            </w:pPr>
            <w:r>
              <w:rPr>
                <w:rFonts w:ascii="Times New Roman" w:hAnsi="Times New Roman"/>
                <w:sz w:val="20"/>
                <w:szCs w:val="20"/>
              </w:rPr>
              <w:t>5 – Provide adequate oversight and collect data to inform practice and measure success</w:t>
            </w:r>
          </w:p>
          <w:p w:rsidR="007F407A" w:rsidRDefault="007F407A" w:rsidP="00125F05">
            <w:pPr>
              <w:pStyle w:val="ListParagraph"/>
              <w:suppressAutoHyphens w:val="0"/>
              <w:spacing w:before="53" w:after="0" w:line="240" w:lineRule="auto"/>
              <w:ind w:right="95"/>
              <w:contextualSpacing/>
              <w:textAlignment w:val="auto"/>
              <w:rPr>
                <w:rFonts w:ascii="Times New Roman" w:hAnsi="Times New Roman"/>
                <w:sz w:val="20"/>
                <w:szCs w:val="20"/>
              </w:rPr>
            </w:pPr>
          </w:p>
        </w:tc>
      </w:tr>
      <w:tr w:rsidR="007F407A" w:rsidRPr="0008253F" w:rsidTr="00113EB0">
        <w:tc>
          <w:tcPr>
            <w:tcW w:w="9288" w:type="dxa"/>
            <w:gridSpan w:val="2"/>
            <w:shd w:val="clear" w:color="auto" w:fill="000000" w:themeFill="text1"/>
          </w:tcPr>
          <w:p w:rsidR="007F407A" w:rsidRPr="00F11C3B" w:rsidRDefault="007F407A" w:rsidP="00125F05">
            <w:pPr>
              <w:autoSpaceDE w:val="0"/>
              <w:autoSpaceDN w:val="0"/>
              <w:adjustRightInd w:val="0"/>
              <w:spacing w:before="53"/>
              <w:ind w:right="95"/>
              <w:jc w:val="center"/>
              <w:rPr>
                <w:rFonts w:ascii="Times New Roman" w:hAnsi="Times New Roman"/>
                <w:b/>
              </w:rPr>
            </w:pPr>
            <w:r w:rsidRPr="00F11C3B">
              <w:rPr>
                <w:rFonts w:ascii="Times New Roman" w:hAnsi="Times New Roman"/>
                <w:b/>
              </w:rPr>
              <w:t>November 14, 2012</w:t>
            </w:r>
          </w:p>
        </w:tc>
      </w:tr>
      <w:tr w:rsidR="007F407A" w:rsidRPr="0008253F" w:rsidTr="00113EB0">
        <w:tc>
          <w:tcPr>
            <w:tcW w:w="9288" w:type="dxa"/>
            <w:gridSpan w:val="2"/>
            <w:shd w:val="clear" w:color="auto" w:fill="000000" w:themeFill="text1"/>
          </w:tcPr>
          <w:p w:rsidR="007F407A" w:rsidRDefault="007F407A" w:rsidP="00125F05">
            <w:pPr>
              <w:autoSpaceDE w:val="0"/>
              <w:autoSpaceDN w:val="0"/>
              <w:adjustRightInd w:val="0"/>
              <w:spacing w:before="53"/>
              <w:ind w:right="95"/>
              <w:jc w:val="center"/>
              <w:rPr>
                <w:rFonts w:ascii="Times New Roman" w:hAnsi="Times New Roman"/>
                <w:b/>
              </w:rPr>
            </w:pPr>
            <w:r w:rsidRPr="00F11C3B">
              <w:rPr>
                <w:rFonts w:ascii="Times New Roman" w:hAnsi="Times New Roman"/>
                <w:b/>
              </w:rPr>
              <w:t>Napa Valley College</w:t>
            </w:r>
          </w:p>
          <w:p w:rsidR="007F407A" w:rsidRPr="00F11C3B" w:rsidRDefault="007F407A" w:rsidP="00125F05">
            <w:pPr>
              <w:autoSpaceDE w:val="0"/>
              <w:autoSpaceDN w:val="0"/>
              <w:adjustRightInd w:val="0"/>
              <w:spacing w:before="53"/>
              <w:ind w:right="95"/>
              <w:jc w:val="center"/>
              <w:rPr>
                <w:rFonts w:ascii="Times New Roman" w:hAnsi="Times New Roman"/>
                <w:b/>
              </w:rPr>
            </w:pPr>
          </w:p>
        </w:tc>
      </w:tr>
      <w:tr w:rsidR="007F407A" w:rsidRPr="0008253F" w:rsidTr="00113EB0">
        <w:tc>
          <w:tcPr>
            <w:tcW w:w="4201" w:type="dxa"/>
          </w:tcPr>
          <w:p w:rsidR="007F407A" w:rsidRPr="0008253F" w:rsidRDefault="007F407A" w:rsidP="00125F05">
            <w:pPr>
              <w:autoSpaceDE w:val="0"/>
              <w:autoSpaceDN w:val="0"/>
              <w:adjustRightInd w:val="0"/>
              <w:spacing w:before="53"/>
              <w:ind w:right="95"/>
              <w:jc w:val="center"/>
              <w:rPr>
                <w:rFonts w:ascii="Times New Roman" w:hAnsi="Times New Roman"/>
                <w:b/>
              </w:rPr>
            </w:pPr>
            <w:r w:rsidRPr="0008253F">
              <w:rPr>
                <w:rFonts w:ascii="Times New Roman" w:hAnsi="Times New Roman"/>
                <w:b/>
              </w:rPr>
              <w:t>Topics of Discussion</w:t>
            </w:r>
          </w:p>
        </w:tc>
        <w:tc>
          <w:tcPr>
            <w:tcW w:w="5087" w:type="dxa"/>
          </w:tcPr>
          <w:p w:rsidR="007F407A" w:rsidRPr="0008253F" w:rsidRDefault="007F407A" w:rsidP="00125F05">
            <w:pPr>
              <w:autoSpaceDE w:val="0"/>
              <w:autoSpaceDN w:val="0"/>
              <w:adjustRightInd w:val="0"/>
              <w:spacing w:before="53"/>
              <w:ind w:right="95"/>
              <w:jc w:val="center"/>
              <w:rPr>
                <w:rFonts w:ascii="Times New Roman" w:hAnsi="Times New Roman"/>
                <w:b/>
              </w:rPr>
            </w:pPr>
            <w:r>
              <w:rPr>
                <w:rFonts w:ascii="Times New Roman" w:hAnsi="Times New Roman"/>
                <w:b/>
              </w:rPr>
              <w:t>Description</w:t>
            </w:r>
          </w:p>
        </w:tc>
      </w:tr>
      <w:tr w:rsidR="007F407A" w:rsidRPr="0008253F" w:rsidTr="00113EB0">
        <w:tc>
          <w:tcPr>
            <w:tcW w:w="4201" w:type="dxa"/>
          </w:tcPr>
          <w:p w:rsidR="007F407A" w:rsidRPr="000F7E85" w:rsidRDefault="007F407A" w:rsidP="00125F05">
            <w:pPr>
              <w:autoSpaceDE w:val="0"/>
              <w:autoSpaceDN w:val="0"/>
              <w:adjustRightInd w:val="0"/>
              <w:spacing w:before="53"/>
              <w:ind w:right="95"/>
              <w:jc w:val="right"/>
              <w:rPr>
                <w:rFonts w:ascii="Times New Roman" w:hAnsi="Times New Roman"/>
                <w:sz w:val="20"/>
                <w:szCs w:val="20"/>
              </w:rPr>
            </w:pPr>
            <w:r>
              <w:rPr>
                <w:rFonts w:ascii="Times New Roman" w:hAnsi="Times New Roman"/>
                <w:sz w:val="20"/>
                <w:szCs w:val="20"/>
              </w:rPr>
              <w:t>Review of Updated List of Non-Monetary Housing Tools</w:t>
            </w:r>
          </w:p>
        </w:tc>
        <w:tc>
          <w:tcPr>
            <w:tcW w:w="5087" w:type="dxa"/>
          </w:tcPr>
          <w:p w:rsidR="007F407A" w:rsidRDefault="007F407A" w:rsidP="004C794B">
            <w:pPr>
              <w:pStyle w:val="ListParagraph"/>
              <w:numPr>
                <w:ilvl w:val="0"/>
                <w:numId w:val="13"/>
              </w:numPr>
              <w:suppressAutoHyphens w:val="0"/>
              <w:spacing w:before="53" w:after="0" w:line="240" w:lineRule="auto"/>
              <w:ind w:right="95"/>
              <w:contextualSpacing/>
              <w:textAlignment w:val="auto"/>
              <w:rPr>
                <w:rFonts w:ascii="Times New Roman" w:hAnsi="Times New Roman"/>
                <w:sz w:val="20"/>
                <w:szCs w:val="20"/>
              </w:rPr>
            </w:pPr>
            <w:r>
              <w:rPr>
                <w:rFonts w:ascii="Times New Roman" w:hAnsi="Times New Roman"/>
                <w:sz w:val="20"/>
                <w:szCs w:val="20"/>
              </w:rPr>
              <w:t>Ongoing</w:t>
            </w:r>
          </w:p>
          <w:p w:rsidR="007F407A" w:rsidRPr="000E251A" w:rsidRDefault="007F407A" w:rsidP="004C794B">
            <w:pPr>
              <w:pStyle w:val="ListParagraph"/>
              <w:numPr>
                <w:ilvl w:val="1"/>
                <w:numId w:val="13"/>
              </w:numPr>
              <w:suppressAutoHyphens w:val="0"/>
              <w:spacing w:before="53" w:after="0" w:line="240" w:lineRule="auto"/>
              <w:ind w:right="95"/>
              <w:contextualSpacing/>
              <w:textAlignment w:val="auto"/>
              <w:rPr>
                <w:rFonts w:ascii="Times New Roman" w:hAnsi="Times New Roman"/>
                <w:sz w:val="18"/>
                <w:szCs w:val="18"/>
              </w:rPr>
            </w:pPr>
            <w:r w:rsidRPr="000E251A">
              <w:rPr>
                <w:rFonts w:ascii="Times New Roman" w:hAnsi="Times New Roman"/>
                <w:sz w:val="18"/>
                <w:szCs w:val="18"/>
              </w:rPr>
              <w:t>Maintain list of available vacant or underutilized sites</w:t>
            </w:r>
          </w:p>
          <w:p w:rsidR="007F407A" w:rsidRPr="000E251A" w:rsidRDefault="007F407A" w:rsidP="004C794B">
            <w:pPr>
              <w:pStyle w:val="ListParagraph"/>
              <w:numPr>
                <w:ilvl w:val="1"/>
                <w:numId w:val="13"/>
              </w:numPr>
              <w:suppressAutoHyphens w:val="0"/>
              <w:spacing w:before="53" w:after="0" w:line="240" w:lineRule="auto"/>
              <w:ind w:right="95"/>
              <w:contextualSpacing/>
              <w:textAlignment w:val="auto"/>
              <w:rPr>
                <w:rFonts w:ascii="Times New Roman" w:hAnsi="Times New Roman"/>
                <w:sz w:val="18"/>
                <w:szCs w:val="18"/>
              </w:rPr>
            </w:pPr>
            <w:r w:rsidRPr="000E251A">
              <w:rPr>
                <w:rFonts w:ascii="Times New Roman" w:hAnsi="Times New Roman"/>
                <w:sz w:val="18"/>
                <w:szCs w:val="18"/>
              </w:rPr>
              <w:t>Sell city/county owned land for affordable housing</w:t>
            </w:r>
          </w:p>
          <w:p w:rsidR="007F407A" w:rsidRPr="000E251A" w:rsidRDefault="007F407A" w:rsidP="004C794B">
            <w:pPr>
              <w:pStyle w:val="ListParagraph"/>
              <w:numPr>
                <w:ilvl w:val="1"/>
                <w:numId w:val="13"/>
              </w:numPr>
              <w:suppressAutoHyphens w:val="0"/>
              <w:spacing w:before="53" w:after="0" w:line="240" w:lineRule="auto"/>
              <w:ind w:right="95"/>
              <w:contextualSpacing/>
              <w:textAlignment w:val="auto"/>
              <w:rPr>
                <w:rFonts w:ascii="Times New Roman" w:hAnsi="Times New Roman"/>
                <w:sz w:val="18"/>
                <w:szCs w:val="18"/>
              </w:rPr>
            </w:pPr>
            <w:r w:rsidRPr="000E251A">
              <w:rPr>
                <w:rFonts w:ascii="Times New Roman" w:hAnsi="Times New Roman"/>
                <w:sz w:val="18"/>
                <w:szCs w:val="18"/>
              </w:rPr>
              <w:t>Increase or exempt residential FARs to support housing in mixed use developments</w:t>
            </w:r>
          </w:p>
          <w:p w:rsidR="007F407A" w:rsidRPr="000E251A" w:rsidRDefault="007F407A" w:rsidP="004C794B">
            <w:pPr>
              <w:pStyle w:val="ListParagraph"/>
              <w:numPr>
                <w:ilvl w:val="1"/>
                <w:numId w:val="13"/>
              </w:numPr>
              <w:suppressAutoHyphens w:val="0"/>
              <w:spacing w:before="53" w:after="0" w:line="240" w:lineRule="auto"/>
              <w:ind w:right="95"/>
              <w:contextualSpacing/>
              <w:textAlignment w:val="auto"/>
              <w:rPr>
                <w:rFonts w:ascii="Times New Roman" w:hAnsi="Times New Roman"/>
                <w:sz w:val="18"/>
                <w:szCs w:val="18"/>
              </w:rPr>
            </w:pPr>
            <w:r w:rsidRPr="000E251A">
              <w:rPr>
                <w:rFonts w:ascii="Times New Roman" w:hAnsi="Times New Roman"/>
                <w:sz w:val="18"/>
                <w:szCs w:val="18"/>
              </w:rPr>
              <w:t>Exempt affordable housing units from Growth Management Policies</w:t>
            </w:r>
          </w:p>
          <w:p w:rsidR="007F407A" w:rsidRPr="000E251A" w:rsidRDefault="007F407A" w:rsidP="004C794B">
            <w:pPr>
              <w:pStyle w:val="ListParagraph"/>
              <w:numPr>
                <w:ilvl w:val="1"/>
                <w:numId w:val="13"/>
              </w:numPr>
              <w:suppressAutoHyphens w:val="0"/>
              <w:spacing w:before="53" w:after="0" w:line="240" w:lineRule="auto"/>
              <w:ind w:right="95"/>
              <w:contextualSpacing/>
              <w:textAlignment w:val="auto"/>
              <w:rPr>
                <w:rFonts w:ascii="Times New Roman" w:hAnsi="Times New Roman"/>
                <w:sz w:val="18"/>
                <w:szCs w:val="18"/>
              </w:rPr>
            </w:pPr>
            <w:r w:rsidRPr="000E251A">
              <w:rPr>
                <w:rFonts w:ascii="Times New Roman" w:hAnsi="Times New Roman"/>
                <w:sz w:val="18"/>
                <w:szCs w:val="18"/>
              </w:rPr>
              <w:t>Allow by right certain size affordable housing developments</w:t>
            </w:r>
          </w:p>
          <w:p w:rsidR="007F407A" w:rsidRDefault="007F407A" w:rsidP="004C794B">
            <w:pPr>
              <w:pStyle w:val="ListParagraph"/>
              <w:numPr>
                <w:ilvl w:val="0"/>
                <w:numId w:val="13"/>
              </w:numPr>
              <w:suppressAutoHyphens w:val="0"/>
              <w:spacing w:before="53" w:after="0" w:line="240" w:lineRule="auto"/>
              <w:ind w:right="95"/>
              <w:contextualSpacing/>
              <w:textAlignment w:val="auto"/>
              <w:rPr>
                <w:rFonts w:ascii="Times New Roman" w:hAnsi="Times New Roman"/>
                <w:sz w:val="20"/>
                <w:szCs w:val="20"/>
              </w:rPr>
            </w:pPr>
            <w:r>
              <w:rPr>
                <w:rFonts w:ascii="Times New Roman" w:hAnsi="Times New Roman"/>
                <w:sz w:val="20"/>
                <w:szCs w:val="20"/>
              </w:rPr>
              <w:t>Complete</w:t>
            </w:r>
          </w:p>
          <w:p w:rsidR="007F407A" w:rsidRPr="00654842" w:rsidRDefault="007F407A" w:rsidP="004C794B">
            <w:pPr>
              <w:pStyle w:val="ListParagraph"/>
              <w:numPr>
                <w:ilvl w:val="1"/>
                <w:numId w:val="13"/>
              </w:numPr>
              <w:suppressAutoHyphens w:val="0"/>
              <w:spacing w:before="53" w:after="0" w:line="240" w:lineRule="auto"/>
              <w:ind w:right="95"/>
              <w:contextualSpacing/>
              <w:textAlignment w:val="auto"/>
              <w:rPr>
                <w:rFonts w:ascii="Times New Roman" w:hAnsi="Times New Roman"/>
                <w:sz w:val="20"/>
                <w:szCs w:val="20"/>
              </w:rPr>
            </w:pPr>
            <w:r>
              <w:rPr>
                <w:rFonts w:ascii="Times New Roman" w:hAnsi="Times New Roman"/>
                <w:sz w:val="18"/>
                <w:szCs w:val="18"/>
              </w:rPr>
              <w:t>Adopt a Fast Track Permit Process for housing projects</w:t>
            </w:r>
          </w:p>
          <w:p w:rsidR="007F407A" w:rsidRPr="00654842" w:rsidRDefault="007F407A" w:rsidP="004C794B">
            <w:pPr>
              <w:pStyle w:val="ListParagraph"/>
              <w:numPr>
                <w:ilvl w:val="1"/>
                <w:numId w:val="13"/>
              </w:numPr>
              <w:suppressAutoHyphens w:val="0"/>
              <w:spacing w:before="53" w:after="0" w:line="240" w:lineRule="auto"/>
              <w:ind w:right="95"/>
              <w:contextualSpacing/>
              <w:textAlignment w:val="auto"/>
              <w:rPr>
                <w:rFonts w:ascii="Times New Roman" w:hAnsi="Times New Roman"/>
                <w:sz w:val="20"/>
                <w:szCs w:val="20"/>
              </w:rPr>
            </w:pPr>
            <w:r>
              <w:rPr>
                <w:rFonts w:ascii="Times New Roman" w:hAnsi="Times New Roman"/>
                <w:sz w:val="18"/>
                <w:szCs w:val="18"/>
              </w:rPr>
              <w:t>Adopt a policy to target development in cities</w:t>
            </w:r>
          </w:p>
          <w:p w:rsidR="007F407A" w:rsidRPr="00654842" w:rsidRDefault="007F407A" w:rsidP="004C794B">
            <w:pPr>
              <w:pStyle w:val="ListParagraph"/>
              <w:numPr>
                <w:ilvl w:val="1"/>
                <w:numId w:val="13"/>
              </w:numPr>
              <w:suppressAutoHyphens w:val="0"/>
              <w:spacing w:before="53" w:after="0" w:line="240" w:lineRule="auto"/>
              <w:ind w:right="95"/>
              <w:contextualSpacing/>
              <w:textAlignment w:val="auto"/>
              <w:rPr>
                <w:rFonts w:ascii="Times New Roman" w:hAnsi="Times New Roman"/>
                <w:sz w:val="20"/>
                <w:szCs w:val="20"/>
              </w:rPr>
            </w:pPr>
            <w:r>
              <w:rPr>
                <w:rFonts w:ascii="Times New Roman" w:hAnsi="Times New Roman"/>
                <w:sz w:val="18"/>
                <w:szCs w:val="18"/>
              </w:rPr>
              <w:t>Reduce parking standards for second units</w:t>
            </w:r>
          </w:p>
          <w:p w:rsidR="007F407A" w:rsidRPr="00522B9F" w:rsidRDefault="007F407A" w:rsidP="004C794B">
            <w:pPr>
              <w:pStyle w:val="ListParagraph"/>
              <w:numPr>
                <w:ilvl w:val="1"/>
                <w:numId w:val="13"/>
              </w:numPr>
              <w:suppressAutoHyphens w:val="0"/>
              <w:spacing w:before="53" w:after="0" w:line="240" w:lineRule="auto"/>
              <w:ind w:right="95"/>
              <w:contextualSpacing/>
              <w:textAlignment w:val="auto"/>
              <w:rPr>
                <w:rFonts w:ascii="Times New Roman" w:hAnsi="Times New Roman"/>
                <w:sz w:val="20"/>
                <w:szCs w:val="20"/>
              </w:rPr>
            </w:pPr>
            <w:r>
              <w:rPr>
                <w:rFonts w:ascii="Times New Roman" w:hAnsi="Times New Roman"/>
                <w:sz w:val="18"/>
                <w:szCs w:val="18"/>
              </w:rPr>
              <w:t>Plan for mixed use development</w:t>
            </w:r>
          </w:p>
          <w:p w:rsidR="007F407A" w:rsidRPr="00654842" w:rsidRDefault="007F407A" w:rsidP="00125F05">
            <w:pPr>
              <w:pStyle w:val="ListParagraph"/>
              <w:suppressAutoHyphens w:val="0"/>
              <w:spacing w:before="53" w:after="0" w:line="240" w:lineRule="auto"/>
              <w:ind w:left="1440" w:right="95"/>
              <w:contextualSpacing/>
              <w:textAlignment w:val="auto"/>
              <w:rPr>
                <w:rFonts w:ascii="Times New Roman" w:hAnsi="Times New Roman"/>
                <w:sz w:val="20"/>
                <w:szCs w:val="20"/>
              </w:rPr>
            </w:pPr>
          </w:p>
        </w:tc>
      </w:tr>
      <w:tr w:rsidR="007F407A" w:rsidRPr="0008253F" w:rsidTr="00113EB0">
        <w:tc>
          <w:tcPr>
            <w:tcW w:w="4201" w:type="dxa"/>
          </w:tcPr>
          <w:p w:rsidR="007F407A" w:rsidRPr="000F7E85" w:rsidRDefault="007F407A" w:rsidP="00125F05">
            <w:pPr>
              <w:autoSpaceDE w:val="0"/>
              <w:autoSpaceDN w:val="0"/>
              <w:adjustRightInd w:val="0"/>
              <w:spacing w:before="53"/>
              <w:ind w:right="95"/>
              <w:jc w:val="right"/>
              <w:rPr>
                <w:rFonts w:ascii="Times New Roman" w:hAnsi="Times New Roman"/>
                <w:sz w:val="20"/>
                <w:szCs w:val="20"/>
              </w:rPr>
            </w:pPr>
            <w:r>
              <w:rPr>
                <w:rFonts w:ascii="Times New Roman" w:hAnsi="Times New Roman"/>
                <w:sz w:val="20"/>
                <w:szCs w:val="20"/>
              </w:rPr>
              <w:t>Article 34 Election</w:t>
            </w:r>
          </w:p>
        </w:tc>
        <w:tc>
          <w:tcPr>
            <w:tcW w:w="5087" w:type="dxa"/>
          </w:tcPr>
          <w:p w:rsidR="007F407A" w:rsidRDefault="007F407A" w:rsidP="004C794B">
            <w:pPr>
              <w:pStyle w:val="ListParagraph"/>
              <w:numPr>
                <w:ilvl w:val="0"/>
                <w:numId w:val="16"/>
              </w:numPr>
              <w:suppressAutoHyphens w:val="0"/>
              <w:spacing w:before="53" w:after="0" w:line="240" w:lineRule="auto"/>
              <w:ind w:right="95"/>
              <w:contextualSpacing/>
              <w:textAlignment w:val="auto"/>
              <w:rPr>
                <w:rFonts w:ascii="Times New Roman" w:hAnsi="Times New Roman"/>
                <w:sz w:val="20"/>
                <w:szCs w:val="20"/>
              </w:rPr>
            </w:pPr>
            <w:r>
              <w:rPr>
                <w:rFonts w:ascii="Times New Roman" w:hAnsi="Times New Roman"/>
                <w:sz w:val="20"/>
                <w:szCs w:val="20"/>
              </w:rPr>
              <w:t>Background</w:t>
            </w:r>
          </w:p>
          <w:p w:rsidR="007F407A" w:rsidRPr="00FB03B3" w:rsidRDefault="007F407A" w:rsidP="004C794B">
            <w:pPr>
              <w:pStyle w:val="ListParagraph"/>
              <w:numPr>
                <w:ilvl w:val="1"/>
                <w:numId w:val="16"/>
              </w:numPr>
              <w:suppressAutoHyphens w:val="0"/>
              <w:spacing w:before="53" w:after="0" w:line="240" w:lineRule="auto"/>
              <w:ind w:right="95"/>
              <w:contextualSpacing/>
              <w:textAlignment w:val="auto"/>
              <w:rPr>
                <w:rFonts w:ascii="Times New Roman" w:hAnsi="Times New Roman"/>
                <w:sz w:val="20"/>
                <w:szCs w:val="20"/>
              </w:rPr>
            </w:pPr>
            <w:r>
              <w:rPr>
                <w:rFonts w:ascii="Times New Roman" w:hAnsi="Times New Roman"/>
                <w:sz w:val="18"/>
                <w:szCs w:val="18"/>
              </w:rPr>
              <w:t>Requires approval of majority of voters  before any “low rent housing project” can be developed, constructed, or acquired by any “state public body”</w:t>
            </w:r>
          </w:p>
          <w:p w:rsidR="007F407A" w:rsidRPr="00FB03B3" w:rsidRDefault="007F407A" w:rsidP="004C794B">
            <w:pPr>
              <w:pStyle w:val="ListParagraph"/>
              <w:numPr>
                <w:ilvl w:val="1"/>
                <w:numId w:val="16"/>
              </w:numPr>
              <w:suppressAutoHyphens w:val="0"/>
              <w:spacing w:before="53" w:after="0" w:line="240" w:lineRule="auto"/>
              <w:ind w:right="95"/>
              <w:contextualSpacing/>
              <w:textAlignment w:val="auto"/>
              <w:rPr>
                <w:rFonts w:ascii="Times New Roman" w:hAnsi="Times New Roman"/>
                <w:sz w:val="20"/>
                <w:szCs w:val="20"/>
              </w:rPr>
            </w:pPr>
            <w:r>
              <w:rPr>
                <w:rFonts w:ascii="Times New Roman" w:hAnsi="Times New Roman"/>
                <w:sz w:val="18"/>
                <w:szCs w:val="18"/>
              </w:rPr>
              <w:t>Elections can be for specific project but more often establish number of units to be built</w:t>
            </w:r>
          </w:p>
          <w:p w:rsidR="007F407A" w:rsidRPr="00FB03B3" w:rsidRDefault="007F407A" w:rsidP="004C794B">
            <w:pPr>
              <w:pStyle w:val="ListParagraph"/>
              <w:numPr>
                <w:ilvl w:val="1"/>
                <w:numId w:val="16"/>
              </w:numPr>
              <w:suppressAutoHyphens w:val="0"/>
              <w:spacing w:before="53" w:after="0" w:line="240" w:lineRule="auto"/>
              <w:ind w:right="95"/>
              <w:contextualSpacing/>
              <w:textAlignment w:val="auto"/>
              <w:rPr>
                <w:rFonts w:ascii="Times New Roman" w:hAnsi="Times New Roman"/>
                <w:sz w:val="20"/>
                <w:szCs w:val="20"/>
              </w:rPr>
            </w:pPr>
            <w:r>
              <w:rPr>
                <w:rFonts w:ascii="Times New Roman" w:hAnsi="Times New Roman"/>
                <w:sz w:val="18"/>
                <w:szCs w:val="18"/>
              </w:rPr>
              <w:t>Unless project can meet exemptions no more than 49% of rental units may be restricted for low-income by a governmental entity</w:t>
            </w:r>
          </w:p>
          <w:p w:rsidR="007F407A" w:rsidRDefault="007F407A" w:rsidP="004C794B">
            <w:pPr>
              <w:pStyle w:val="ListParagraph"/>
              <w:numPr>
                <w:ilvl w:val="0"/>
                <w:numId w:val="16"/>
              </w:numPr>
              <w:suppressAutoHyphens w:val="0"/>
              <w:spacing w:before="53" w:after="0" w:line="240" w:lineRule="auto"/>
              <w:ind w:right="95"/>
              <w:contextualSpacing/>
              <w:textAlignment w:val="auto"/>
              <w:rPr>
                <w:rFonts w:ascii="Times New Roman" w:hAnsi="Times New Roman"/>
                <w:sz w:val="20"/>
                <w:szCs w:val="20"/>
              </w:rPr>
            </w:pPr>
            <w:r>
              <w:rPr>
                <w:rFonts w:ascii="Times New Roman" w:hAnsi="Times New Roman"/>
                <w:sz w:val="20"/>
                <w:szCs w:val="20"/>
              </w:rPr>
              <w:t>Sonoma County’s Authority</w:t>
            </w:r>
          </w:p>
          <w:p w:rsidR="007F407A" w:rsidRPr="00FB03B3" w:rsidRDefault="007F407A" w:rsidP="004C794B">
            <w:pPr>
              <w:pStyle w:val="ListParagraph"/>
              <w:numPr>
                <w:ilvl w:val="1"/>
                <w:numId w:val="16"/>
              </w:numPr>
              <w:suppressAutoHyphens w:val="0"/>
              <w:spacing w:before="53" w:after="0" w:line="240" w:lineRule="auto"/>
              <w:ind w:right="95"/>
              <w:contextualSpacing/>
              <w:textAlignment w:val="auto"/>
              <w:rPr>
                <w:rFonts w:ascii="Times New Roman" w:hAnsi="Times New Roman"/>
                <w:sz w:val="20"/>
                <w:szCs w:val="20"/>
              </w:rPr>
            </w:pPr>
            <w:r>
              <w:rPr>
                <w:rFonts w:ascii="Times New Roman" w:hAnsi="Times New Roman"/>
                <w:sz w:val="18"/>
                <w:szCs w:val="18"/>
              </w:rPr>
              <w:t xml:space="preserve"> Measure N approved by 51.7% in 11/04</w:t>
            </w:r>
          </w:p>
          <w:p w:rsidR="007F407A" w:rsidRPr="00FB03B3" w:rsidRDefault="007F407A" w:rsidP="004C794B">
            <w:pPr>
              <w:pStyle w:val="ListParagraph"/>
              <w:numPr>
                <w:ilvl w:val="1"/>
                <w:numId w:val="16"/>
              </w:numPr>
              <w:suppressAutoHyphens w:val="0"/>
              <w:spacing w:before="53" w:after="0" w:line="240" w:lineRule="auto"/>
              <w:ind w:right="95"/>
              <w:contextualSpacing/>
              <w:textAlignment w:val="auto"/>
              <w:rPr>
                <w:rFonts w:ascii="Times New Roman" w:hAnsi="Times New Roman"/>
                <w:sz w:val="20"/>
                <w:szCs w:val="20"/>
              </w:rPr>
            </w:pPr>
            <w:r>
              <w:rPr>
                <w:rFonts w:ascii="Times New Roman" w:hAnsi="Times New Roman"/>
                <w:sz w:val="18"/>
                <w:szCs w:val="18"/>
              </w:rPr>
              <w:t>Authorized development within unincorporated area up to 0.5% of total number of housing units existing during the year</w:t>
            </w:r>
          </w:p>
          <w:p w:rsidR="007F407A" w:rsidRPr="00FB03B3" w:rsidRDefault="007F407A" w:rsidP="004C794B">
            <w:pPr>
              <w:pStyle w:val="ListParagraph"/>
              <w:numPr>
                <w:ilvl w:val="1"/>
                <w:numId w:val="16"/>
              </w:numPr>
              <w:suppressAutoHyphens w:val="0"/>
              <w:spacing w:before="53" w:after="0" w:line="240" w:lineRule="auto"/>
              <w:ind w:right="95"/>
              <w:contextualSpacing/>
              <w:textAlignment w:val="auto"/>
              <w:rPr>
                <w:rFonts w:ascii="Times New Roman" w:hAnsi="Times New Roman"/>
                <w:sz w:val="20"/>
                <w:szCs w:val="20"/>
              </w:rPr>
            </w:pPr>
            <w:r>
              <w:rPr>
                <w:rFonts w:ascii="Times New Roman" w:hAnsi="Times New Roman"/>
                <w:sz w:val="18"/>
                <w:szCs w:val="18"/>
              </w:rPr>
              <w:t>Units authorized but not used do not carry over</w:t>
            </w:r>
          </w:p>
          <w:p w:rsidR="007F407A" w:rsidRPr="00773058" w:rsidRDefault="007F407A" w:rsidP="004C794B">
            <w:pPr>
              <w:pStyle w:val="ListParagraph"/>
              <w:numPr>
                <w:ilvl w:val="1"/>
                <w:numId w:val="16"/>
              </w:numPr>
              <w:suppressAutoHyphens w:val="0"/>
              <w:spacing w:before="53" w:after="0" w:line="240" w:lineRule="auto"/>
              <w:ind w:right="95"/>
              <w:contextualSpacing/>
              <w:textAlignment w:val="auto"/>
              <w:rPr>
                <w:rFonts w:ascii="Times New Roman" w:hAnsi="Times New Roman"/>
                <w:sz w:val="20"/>
                <w:szCs w:val="20"/>
              </w:rPr>
            </w:pPr>
            <w:r>
              <w:rPr>
                <w:rFonts w:ascii="Times New Roman" w:hAnsi="Times New Roman"/>
                <w:sz w:val="18"/>
                <w:szCs w:val="18"/>
              </w:rPr>
              <w:t>Projects must be consistent with General Plan and zoning ordinances and must go through normal planning approval process</w:t>
            </w:r>
          </w:p>
          <w:p w:rsidR="007F407A" w:rsidRDefault="007F407A" w:rsidP="004C794B">
            <w:pPr>
              <w:pStyle w:val="ListParagraph"/>
              <w:numPr>
                <w:ilvl w:val="0"/>
                <w:numId w:val="16"/>
              </w:numPr>
              <w:suppressAutoHyphens w:val="0"/>
              <w:spacing w:before="53" w:after="0" w:line="240" w:lineRule="auto"/>
              <w:ind w:right="95"/>
              <w:contextualSpacing/>
              <w:textAlignment w:val="auto"/>
              <w:rPr>
                <w:rFonts w:ascii="Times New Roman" w:hAnsi="Times New Roman"/>
                <w:sz w:val="20"/>
                <w:szCs w:val="20"/>
              </w:rPr>
            </w:pPr>
            <w:r>
              <w:rPr>
                <w:rFonts w:ascii="Times New Roman" w:hAnsi="Times New Roman"/>
                <w:sz w:val="20"/>
                <w:szCs w:val="20"/>
              </w:rPr>
              <w:t>Cost</w:t>
            </w:r>
          </w:p>
          <w:p w:rsidR="007F407A" w:rsidRPr="00773058" w:rsidRDefault="007F407A" w:rsidP="004C794B">
            <w:pPr>
              <w:pStyle w:val="ListParagraph"/>
              <w:numPr>
                <w:ilvl w:val="1"/>
                <w:numId w:val="16"/>
              </w:numPr>
              <w:suppressAutoHyphens w:val="0"/>
              <w:spacing w:before="53" w:after="0" w:line="240" w:lineRule="auto"/>
              <w:ind w:right="95"/>
              <w:contextualSpacing/>
              <w:textAlignment w:val="auto"/>
              <w:rPr>
                <w:rFonts w:ascii="Times New Roman" w:hAnsi="Times New Roman"/>
                <w:sz w:val="20"/>
                <w:szCs w:val="20"/>
              </w:rPr>
            </w:pPr>
            <w:r>
              <w:rPr>
                <w:rFonts w:ascii="Times New Roman" w:hAnsi="Times New Roman"/>
                <w:sz w:val="18"/>
                <w:szCs w:val="18"/>
              </w:rPr>
              <w:t>Regular election would cost between $2,500 and $5,000</w:t>
            </w:r>
          </w:p>
          <w:p w:rsidR="007F407A" w:rsidRPr="00773058" w:rsidRDefault="007F407A" w:rsidP="004C794B">
            <w:pPr>
              <w:pStyle w:val="ListParagraph"/>
              <w:numPr>
                <w:ilvl w:val="1"/>
                <w:numId w:val="16"/>
              </w:numPr>
              <w:suppressAutoHyphens w:val="0"/>
              <w:spacing w:before="53" w:after="0" w:line="240" w:lineRule="auto"/>
              <w:ind w:right="95"/>
              <w:contextualSpacing/>
              <w:textAlignment w:val="auto"/>
              <w:rPr>
                <w:rFonts w:ascii="Times New Roman" w:hAnsi="Times New Roman"/>
                <w:sz w:val="20"/>
                <w:szCs w:val="20"/>
              </w:rPr>
            </w:pPr>
            <w:r>
              <w:rPr>
                <w:rFonts w:ascii="Times New Roman" w:hAnsi="Times New Roman"/>
                <w:sz w:val="18"/>
                <w:szCs w:val="18"/>
              </w:rPr>
              <w:t>Special election would cost about $200,000</w:t>
            </w:r>
          </w:p>
          <w:p w:rsidR="007F407A" w:rsidRPr="00F11C3B" w:rsidRDefault="007F407A" w:rsidP="004C794B">
            <w:pPr>
              <w:pStyle w:val="ListParagraph"/>
              <w:numPr>
                <w:ilvl w:val="2"/>
                <w:numId w:val="16"/>
              </w:numPr>
              <w:suppressAutoHyphens w:val="0"/>
              <w:spacing w:before="53" w:after="0" w:line="240" w:lineRule="auto"/>
              <w:ind w:right="95"/>
              <w:contextualSpacing/>
              <w:textAlignment w:val="auto"/>
              <w:rPr>
                <w:rFonts w:ascii="Times New Roman" w:hAnsi="Times New Roman"/>
                <w:sz w:val="20"/>
                <w:szCs w:val="20"/>
              </w:rPr>
            </w:pPr>
            <w:r>
              <w:rPr>
                <w:rFonts w:ascii="Times New Roman" w:hAnsi="Times New Roman"/>
                <w:sz w:val="18"/>
                <w:szCs w:val="18"/>
              </w:rPr>
              <w:t>Not a viable option</w:t>
            </w:r>
          </w:p>
          <w:p w:rsidR="007F407A" w:rsidRPr="00FB03B3" w:rsidRDefault="007F407A" w:rsidP="00125F05">
            <w:pPr>
              <w:pStyle w:val="ListParagraph"/>
              <w:suppressAutoHyphens w:val="0"/>
              <w:spacing w:before="53" w:after="0" w:line="240" w:lineRule="auto"/>
              <w:ind w:left="2160" w:right="95"/>
              <w:contextualSpacing/>
              <w:textAlignment w:val="auto"/>
              <w:rPr>
                <w:rFonts w:ascii="Times New Roman" w:hAnsi="Times New Roman"/>
                <w:sz w:val="20"/>
                <w:szCs w:val="20"/>
              </w:rPr>
            </w:pPr>
          </w:p>
        </w:tc>
      </w:tr>
      <w:tr w:rsidR="007F407A" w:rsidRPr="0008253F" w:rsidTr="00113EB0">
        <w:tc>
          <w:tcPr>
            <w:tcW w:w="4201" w:type="dxa"/>
          </w:tcPr>
          <w:p w:rsidR="007F407A" w:rsidRPr="000F7E85" w:rsidRDefault="007F407A" w:rsidP="00125F05">
            <w:pPr>
              <w:autoSpaceDE w:val="0"/>
              <w:autoSpaceDN w:val="0"/>
              <w:adjustRightInd w:val="0"/>
              <w:spacing w:before="53"/>
              <w:ind w:right="95"/>
              <w:jc w:val="right"/>
              <w:rPr>
                <w:rFonts w:ascii="Times New Roman" w:hAnsi="Times New Roman"/>
                <w:sz w:val="20"/>
                <w:szCs w:val="20"/>
              </w:rPr>
            </w:pPr>
            <w:r>
              <w:rPr>
                <w:rFonts w:ascii="Times New Roman" w:hAnsi="Times New Roman"/>
                <w:sz w:val="20"/>
                <w:szCs w:val="20"/>
              </w:rPr>
              <w:t>Review Chart of Impacts of Revenue Increases</w:t>
            </w:r>
          </w:p>
        </w:tc>
        <w:tc>
          <w:tcPr>
            <w:tcW w:w="5087" w:type="dxa"/>
            <w:tcBorders>
              <w:bottom w:val="single" w:sz="4" w:space="0" w:color="auto"/>
            </w:tcBorders>
          </w:tcPr>
          <w:p w:rsidR="007F407A" w:rsidRDefault="007F407A" w:rsidP="004C794B">
            <w:pPr>
              <w:pStyle w:val="ListParagraph"/>
              <w:numPr>
                <w:ilvl w:val="0"/>
                <w:numId w:val="17"/>
              </w:numPr>
              <w:suppressAutoHyphens w:val="0"/>
              <w:spacing w:before="53" w:after="0" w:line="240" w:lineRule="auto"/>
              <w:ind w:right="95"/>
              <w:contextualSpacing/>
              <w:textAlignment w:val="auto"/>
              <w:rPr>
                <w:rFonts w:ascii="Times New Roman" w:hAnsi="Times New Roman"/>
                <w:sz w:val="20"/>
                <w:szCs w:val="20"/>
              </w:rPr>
            </w:pPr>
            <w:r>
              <w:rPr>
                <w:rFonts w:ascii="Times New Roman" w:hAnsi="Times New Roman"/>
                <w:sz w:val="20"/>
                <w:szCs w:val="20"/>
              </w:rPr>
              <w:t>Discussion held regarding the following:</w:t>
            </w:r>
          </w:p>
          <w:p w:rsidR="007F407A" w:rsidRDefault="007F407A" w:rsidP="004C794B">
            <w:pPr>
              <w:pStyle w:val="ListParagraph"/>
              <w:numPr>
                <w:ilvl w:val="1"/>
                <w:numId w:val="17"/>
              </w:numPr>
              <w:suppressAutoHyphens w:val="0"/>
              <w:spacing w:before="53" w:after="0" w:line="240" w:lineRule="auto"/>
              <w:ind w:right="95"/>
              <w:contextualSpacing/>
              <w:textAlignment w:val="auto"/>
              <w:rPr>
                <w:rFonts w:ascii="Times New Roman" w:hAnsi="Times New Roman"/>
                <w:sz w:val="18"/>
                <w:szCs w:val="18"/>
              </w:rPr>
            </w:pPr>
            <w:r w:rsidRPr="00825D93">
              <w:rPr>
                <w:rFonts w:ascii="Times New Roman" w:hAnsi="Times New Roman"/>
                <w:sz w:val="18"/>
                <w:szCs w:val="18"/>
              </w:rPr>
              <w:t>What is target amount for additional revenues?</w:t>
            </w:r>
          </w:p>
          <w:p w:rsidR="007F407A" w:rsidRPr="00825D93" w:rsidRDefault="007F407A" w:rsidP="00125F05">
            <w:pPr>
              <w:pStyle w:val="ListParagraph"/>
              <w:suppressAutoHyphens w:val="0"/>
              <w:spacing w:before="53" w:after="0" w:line="240" w:lineRule="auto"/>
              <w:ind w:left="1440" w:right="95"/>
              <w:contextualSpacing/>
              <w:textAlignment w:val="auto"/>
              <w:rPr>
                <w:rFonts w:ascii="Times New Roman" w:hAnsi="Times New Roman"/>
                <w:sz w:val="18"/>
                <w:szCs w:val="18"/>
              </w:rPr>
            </w:pPr>
          </w:p>
          <w:p w:rsidR="007F407A" w:rsidRPr="00825D93" w:rsidRDefault="007F407A" w:rsidP="004C794B">
            <w:pPr>
              <w:pStyle w:val="ListParagraph"/>
              <w:numPr>
                <w:ilvl w:val="1"/>
                <w:numId w:val="17"/>
              </w:numPr>
              <w:suppressAutoHyphens w:val="0"/>
              <w:spacing w:before="53" w:after="0" w:line="240" w:lineRule="auto"/>
              <w:ind w:right="95"/>
              <w:contextualSpacing/>
              <w:textAlignment w:val="auto"/>
              <w:rPr>
                <w:rFonts w:ascii="Times New Roman" w:hAnsi="Times New Roman"/>
                <w:sz w:val="18"/>
                <w:szCs w:val="18"/>
              </w:rPr>
            </w:pPr>
            <w:r w:rsidRPr="00825D93">
              <w:rPr>
                <w:rFonts w:ascii="Times New Roman" w:hAnsi="Times New Roman"/>
                <w:sz w:val="18"/>
                <w:szCs w:val="18"/>
              </w:rPr>
              <w:t>Which source(s) should be pursued? Should any be dropped?</w:t>
            </w:r>
          </w:p>
          <w:p w:rsidR="007F407A" w:rsidRPr="00522B9F" w:rsidRDefault="007F407A" w:rsidP="004C794B">
            <w:pPr>
              <w:pStyle w:val="ListParagraph"/>
              <w:numPr>
                <w:ilvl w:val="1"/>
                <w:numId w:val="17"/>
              </w:numPr>
              <w:suppressAutoHyphens w:val="0"/>
              <w:spacing w:before="53" w:after="0" w:line="240" w:lineRule="auto"/>
              <w:ind w:right="95"/>
              <w:contextualSpacing/>
              <w:textAlignment w:val="auto"/>
              <w:rPr>
                <w:rFonts w:ascii="Times New Roman" w:hAnsi="Times New Roman"/>
                <w:sz w:val="20"/>
                <w:szCs w:val="20"/>
              </w:rPr>
            </w:pPr>
            <w:r w:rsidRPr="00825D93">
              <w:rPr>
                <w:rFonts w:ascii="Times New Roman" w:hAnsi="Times New Roman"/>
                <w:sz w:val="18"/>
                <w:szCs w:val="18"/>
              </w:rPr>
              <w:t>What proportion of new funding should each funding source provide?</w:t>
            </w:r>
          </w:p>
          <w:p w:rsidR="007F407A" w:rsidRPr="00786A1B" w:rsidRDefault="007F407A" w:rsidP="00125F05">
            <w:pPr>
              <w:pStyle w:val="ListParagraph"/>
              <w:suppressAutoHyphens w:val="0"/>
              <w:spacing w:before="53" w:after="0" w:line="240" w:lineRule="auto"/>
              <w:ind w:left="1440" w:right="95"/>
              <w:contextualSpacing/>
              <w:textAlignment w:val="auto"/>
              <w:rPr>
                <w:rFonts w:ascii="Times New Roman" w:hAnsi="Times New Roman"/>
                <w:sz w:val="20"/>
                <w:szCs w:val="20"/>
              </w:rPr>
            </w:pPr>
          </w:p>
        </w:tc>
      </w:tr>
      <w:tr w:rsidR="007F407A" w:rsidRPr="0008253F" w:rsidTr="00113EB0">
        <w:tc>
          <w:tcPr>
            <w:tcW w:w="4201" w:type="dxa"/>
            <w:tcBorders>
              <w:bottom w:val="single" w:sz="4" w:space="0" w:color="auto"/>
            </w:tcBorders>
          </w:tcPr>
          <w:p w:rsidR="007F407A" w:rsidRDefault="007F407A" w:rsidP="00125F05">
            <w:pPr>
              <w:autoSpaceDE w:val="0"/>
              <w:autoSpaceDN w:val="0"/>
              <w:adjustRightInd w:val="0"/>
              <w:spacing w:before="53"/>
              <w:ind w:right="95"/>
              <w:jc w:val="right"/>
              <w:rPr>
                <w:rFonts w:ascii="Times New Roman" w:hAnsi="Times New Roman"/>
                <w:sz w:val="20"/>
                <w:szCs w:val="20"/>
              </w:rPr>
            </w:pPr>
            <w:r>
              <w:rPr>
                <w:rFonts w:ascii="Times New Roman" w:hAnsi="Times New Roman"/>
                <w:sz w:val="20"/>
                <w:szCs w:val="20"/>
              </w:rPr>
              <w:t>Review of Five Proposed Strategies</w:t>
            </w:r>
          </w:p>
        </w:tc>
        <w:tc>
          <w:tcPr>
            <w:tcW w:w="5087" w:type="dxa"/>
            <w:tcBorders>
              <w:bottom w:val="single" w:sz="4" w:space="0" w:color="auto"/>
            </w:tcBorders>
          </w:tcPr>
          <w:p w:rsidR="007F407A" w:rsidRDefault="007F407A" w:rsidP="004C794B">
            <w:pPr>
              <w:pStyle w:val="ListParagraph"/>
              <w:numPr>
                <w:ilvl w:val="0"/>
                <w:numId w:val="17"/>
              </w:numPr>
              <w:suppressAutoHyphens w:val="0"/>
              <w:spacing w:before="53" w:after="0" w:line="240" w:lineRule="auto"/>
              <w:ind w:right="95"/>
              <w:contextualSpacing/>
              <w:textAlignment w:val="auto"/>
              <w:rPr>
                <w:rFonts w:ascii="Times New Roman" w:hAnsi="Times New Roman"/>
                <w:sz w:val="20"/>
                <w:szCs w:val="20"/>
              </w:rPr>
            </w:pPr>
            <w:r>
              <w:rPr>
                <w:rFonts w:ascii="Times New Roman" w:hAnsi="Times New Roman"/>
                <w:sz w:val="20"/>
                <w:szCs w:val="20"/>
              </w:rPr>
              <w:t>Sub-groups broken out to prioritize recommendations for each strategy</w:t>
            </w:r>
          </w:p>
          <w:p w:rsidR="007F407A" w:rsidRDefault="007F407A" w:rsidP="00125F05">
            <w:pPr>
              <w:pStyle w:val="ListParagraph"/>
              <w:suppressAutoHyphens w:val="0"/>
              <w:spacing w:before="53" w:after="0" w:line="240" w:lineRule="auto"/>
              <w:ind w:right="95"/>
              <w:contextualSpacing/>
              <w:textAlignment w:val="auto"/>
              <w:rPr>
                <w:rFonts w:ascii="Times New Roman" w:hAnsi="Times New Roman"/>
                <w:sz w:val="20"/>
                <w:szCs w:val="20"/>
              </w:rPr>
            </w:pPr>
          </w:p>
        </w:tc>
      </w:tr>
      <w:tr w:rsidR="007F407A" w:rsidRPr="0008253F" w:rsidTr="00113EB0">
        <w:tc>
          <w:tcPr>
            <w:tcW w:w="9288" w:type="dxa"/>
            <w:gridSpan w:val="2"/>
            <w:shd w:val="clear" w:color="auto" w:fill="000000" w:themeFill="text1"/>
          </w:tcPr>
          <w:p w:rsidR="007F407A" w:rsidRPr="00F11C3B" w:rsidRDefault="007F407A" w:rsidP="00125F05">
            <w:pPr>
              <w:autoSpaceDE w:val="0"/>
              <w:autoSpaceDN w:val="0"/>
              <w:adjustRightInd w:val="0"/>
              <w:spacing w:before="53"/>
              <w:ind w:right="95"/>
              <w:jc w:val="center"/>
              <w:rPr>
                <w:rFonts w:ascii="Times New Roman" w:hAnsi="Times New Roman"/>
                <w:b/>
              </w:rPr>
            </w:pPr>
            <w:r w:rsidRPr="00F11C3B">
              <w:rPr>
                <w:rFonts w:ascii="Times New Roman" w:hAnsi="Times New Roman"/>
                <w:b/>
              </w:rPr>
              <w:t>December 12, 2012</w:t>
            </w:r>
          </w:p>
        </w:tc>
      </w:tr>
      <w:tr w:rsidR="007F407A" w:rsidRPr="0008253F" w:rsidTr="00113EB0">
        <w:tc>
          <w:tcPr>
            <w:tcW w:w="9288" w:type="dxa"/>
            <w:gridSpan w:val="2"/>
            <w:shd w:val="clear" w:color="auto" w:fill="000000" w:themeFill="text1"/>
          </w:tcPr>
          <w:p w:rsidR="007F407A" w:rsidRDefault="007F407A" w:rsidP="00125F05">
            <w:pPr>
              <w:autoSpaceDE w:val="0"/>
              <w:autoSpaceDN w:val="0"/>
              <w:adjustRightInd w:val="0"/>
              <w:spacing w:before="53"/>
              <w:ind w:right="95"/>
              <w:jc w:val="center"/>
              <w:rPr>
                <w:rFonts w:ascii="Times New Roman" w:hAnsi="Times New Roman"/>
                <w:b/>
              </w:rPr>
            </w:pPr>
            <w:r w:rsidRPr="00F11C3B">
              <w:rPr>
                <w:rFonts w:ascii="Times New Roman" w:hAnsi="Times New Roman"/>
                <w:b/>
              </w:rPr>
              <w:t>Napa Valley College</w:t>
            </w:r>
          </w:p>
          <w:p w:rsidR="007F407A" w:rsidRPr="00F11C3B" w:rsidRDefault="007F407A" w:rsidP="00125F05">
            <w:pPr>
              <w:autoSpaceDE w:val="0"/>
              <w:autoSpaceDN w:val="0"/>
              <w:adjustRightInd w:val="0"/>
              <w:spacing w:before="53"/>
              <w:ind w:right="95"/>
              <w:rPr>
                <w:rFonts w:ascii="Times New Roman" w:hAnsi="Times New Roman"/>
                <w:b/>
              </w:rPr>
            </w:pPr>
          </w:p>
        </w:tc>
      </w:tr>
      <w:tr w:rsidR="007F407A" w:rsidRPr="0008253F" w:rsidTr="00113EB0">
        <w:tc>
          <w:tcPr>
            <w:tcW w:w="4201" w:type="dxa"/>
          </w:tcPr>
          <w:p w:rsidR="007F407A" w:rsidRPr="0008253F" w:rsidRDefault="007F407A" w:rsidP="00125F05">
            <w:pPr>
              <w:autoSpaceDE w:val="0"/>
              <w:autoSpaceDN w:val="0"/>
              <w:adjustRightInd w:val="0"/>
              <w:spacing w:before="53"/>
              <w:ind w:right="95"/>
              <w:jc w:val="center"/>
              <w:rPr>
                <w:rFonts w:ascii="Times New Roman" w:hAnsi="Times New Roman"/>
                <w:b/>
              </w:rPr>
            </w:pPr>
            <w:r w:rsidRPr="0008253F">
              <w:rPr>
                <w:rFonts w:ascii="Times New Roman" w:hAnsi="Times New Roman"/>
                <w:b/>
              </w:rPr>
              <w:t>Topics of Discussion</w:t>
            </w:r>
          </w:p>
        </w:tc>
        <w:tc>
          <w:tcPr>
            <w:tcW w:w="5087" w:type="dxa"/>
          </w:tcPr>
          <w:p w:rsidR="007F407A" w:rsidRPr="0008253F" w:rsidRDefault="007F407A" w:rsidP="00125F05">
            <w:pPr>
              <w:autoSpaceDE w:val="0"/>
              <w:autoSpaceDN w:val="0"/>
              <w:adjustRightInd w:val="0"/>
              <w:spacing w:before="53"/>
              <w:ind w:right="95"/>
              <w:jc w:val="center"/>
              <w:rPr>
                <w:rFonts w:ascii="Times New Roman" w:hAnsi="Times New Roman"/>
                <w:b/>
              </w:rPr>
            </w:pPr>
            <w:r>
              <w:rPr>
                <w:rFonts w:ascii="Times New Roman" w:hAnsi="Times New Roman"/>
                <w:b/>
              </w:rPr>
              <w:t>Description</w:t>
            </w:r>
          </w:p>
        </w:tc>
      </w:tr>
      <w:tr w:rsidR="007F407A" w:rsidRPr="0008253F" w:rsidTr="00113EB0">
        <w:tc>
          <w:tcPr>
            <w:tcW w:w="4201" w:type="dxa"/>
          </w:tcPr>
          <w:p w:rsidR="007F407A" w:rsidRPr="002C0E21" w:rsidRDefault="007F407A" w:rsidP="00125F05">
            <w:pPr>
              <w:autoSpaceDE w:val="0"/>
              <w:autoSpaceDN w:val="0"/>
              <w:adjustRightInd w:val="0"/>
              <w:spacing w:before="53"/>
              <w:ind w:right="95"/>
              <w:jc w:val="right"/>
              <w:rPr>
                <w:rFonts w:ascii="Times New Roman" w:hAnsi="Times New Roman"/>
                <w:sz w:val="20"/>
                <w:szCs w:val="20"/>
              </w:rPr>
            </w:pPr>
            <w:r>
              <w:rPr>
                <w:rFonts w:ascii="Times New Roman" w:hAnsi="Times New Roman"/>
                <w:sz w:val="20"/>
                <w:szCs w:val="20"/>
              </w:rPr>
              <w:t>Discussion of Strategy to Determine Optimal Mix of Housing Types</w:t>
            </w:r>
          </w:p>
        </w:tc>
        <w:tc>
          <w:tcPr>
            <w:tcW w:w="5087" w:type="dxa"/>
          </w:tcPr>
          <w:p w:rsidR="007F407A" w:rsidRDefault="007F407A" w:rsidP="004C794B">
            <w:pPr>
              <w:pStyle w:val="ListParagraph"/>
              <w:numPr>
                <w:ilvl w:val="0"/>
                <w:numId w:val="17"/>
              </w:numPr>
              <w:suppressAutoHyphens w:val="0"/>
              <w:spacing w:before="53" w:after="0" w:line="240" w:lineRule="auto"/>
              <w:ind w:right="95"/>
              <w:contextualSpacing/>
              <w:textAlignment w:val="auto"/>
              <w:rPr>
                <w:rFonts w:ascii="Times New Roman" w:hAnsi="Times New Roman"/>
                <w:sz w:val="20"/>
                <w:szCs w:val="20"/>
              </w:rPr>
            </w:pPr>
            <w:r>
              <w:rPr>
                <w:rFonts w:ascii="Times New Roman" w:hAnsi="Times New Roman"/>
                <w:sz w:val="20"/>
                <w:szCs w:val="20"/>
              </w:rPr>
              <w:t>Breakout sessions were held to prioritize action items within each strategy group</w:t>
            </w:r>
          </w:p>
          <w:p w:rsidR="007F407A" w:rsidRPr="003A1050" w:rsidRDefault="007F407A" w:rsidP="00125F05">
            <w:pPr>
              <w:pStyle w:val="ListParagraph"/>
              <w:suppressAutoHyphens w:val="0"/>
              <w:spacing w:before="53" w:after="0" w:line="240" w:lineRule="auto"/>
              <w:ind w:right="95"/>
              <w:contextualSpacing/>
              <w:textAlignment w:val="auto"/>
              <w:rPr>
                <w:rFonts w:ascii="Times New Roman" w:hAnsi="Times New Roman"/>
                <w:sz w:val="20"/>
                <w:szCs w:val="20"/>
              </w:rPr>
            </w:pPr>
          </w:p>
        </w:tc>
      </w:tr>
      <w:tr w:rsidR="007F407A" w:rsidRPr="0008253F" w:rsidTr="00113EB0">
        <w:tc>
          <w:tcPr>
            <w:tcW w:w="4201" w:type="dxa"/>
            <w:tcBorders>
              <w:bottom w:val="single" w:sz="4" w:space="0" w:color="auto"/>
            </w:tcBorders>
          </w:tcPr>
          <w:p w:rsidR="007F407A" w:rsidRPr="002C0E21" w:rsidRDefault="007F407A" w:rsidP="00125F05">
            <w:pPr>
              <w:autoSpaceDE w:val="0"/>
              <w:autoSpaceDN w:val="0"/>
              <w:adjustRightInd w:val="0"/>
              <w:spacing w:before="53"/>
              <w:ind w:right="95"/>
              <w:jc w:val="right"/>
              <w:rPr>
                <w:rFonts w:ascii="Times New Roman" w:hAnsi="Times New Roman"/>
                <w:sz w:val="20"/>
                <w:szCs w:val="20"/>
              </w:rPr>
            </w:pPr>
            <w:r>
              <w:rPr>
                <w:rFonts w:ascii="Times New Roman" w:hAnsi="Times New Roman"/>
                <w:sz w:val="20"/>
                <w:szCs w:val="20"/>
              </w:rPr>
              <w:t xml:space="preserve">Review and Feedback </w:t>
            </w:r>
            <w:r w:rsidR="009235E7">
              <w:rPr>
                <w:rFonts w:ascii="Times New Roman" w:hAnsi="Times New Roman"/>
                <w:sz w:val="20"/>
                <w:szCs w:val="20"/>
              </w:rPr>
              <w:t>on Draft Task Force Action</w:t>
            </w:r>
            <w:r>
              <w:rPr>
                <w:rFonts w:ascii="Times New Roman" w:hAnsi="Times New Roman"/>
                <w:sz w:val="20"/>
                <w:szCs w:val="20"/>
              </w:rPr>
              <w:t xml:space="preserve"> Plan</w:t>
            </w:r>
          </w:p>
        </w:tc>
        <w:tc>
          <w:tcPr>
            <w:tcW w:w="5087" w:type="dxa"/>
            <w:tcBorders>
              <w:bottom w:val="single" w:sz="4" w:space="0" w:color="auto"/>
            </w:tcBorders>
          </w:tcPr>
          <w:p w:rsidR="007F407A" w:rsidRPr="003A1050" w:rsidRDefault="007F407A" w:rsidP="004C794B">
            <w:pPr>
              <w:pStyle w:val="ListParagraph"/>
              <w:numPr>
                <w:ilvl w:val="0"/>
                <w:numId w:val="17"/>
              </w:numPr>
              <w:suppressAutoHyphens w:val="0"/>
              <w:spacing w:before="53" w:after="0" w:line="240" w:lineRule="auto"/>
              <w:ind w:right="95"/>
              <w:contextualSpacing/>
              <w:textAlignment w:val="auto"/>
              <w:rPr>
                <w:rFonts w:ascii="Times New Roman" w:hAnsi="Times New Roman"/>
                <w:sz w:val="20"/>
                <w:szCs w:val="20"/>
              </w:rPr>
            </w:pPr>
            <w:r w:rsidRPr="003A1050">
              <w:rPr>
                <w:rFonts w:ascii="Times New Roman" w:hAnsi="Times New Roman"/>
                <w:sz w:val="20"/>
                <w:szCs w:val="20"/>
              </w:rPr>
              <w:t>Large group discussion held</w:t>
            </w:r>
          </w:p>
        </w:tc>
      </w:tr>
      <w:tr w:rsidR="00162887" w:rsidRPr="0008253F" w:rsidTr="00E263D2">
        <w:tc>
          <w:tcPr>
            <w:tcW w:w="9288" w:type="dxa"/>
            <w:gridSpan w:val="2"/>
            <w:shd w:val="clear" w:color="auto" w:fill="000000" w:themeFill="text1"/>
          </w:tcPr>
          <w:p w:rsidR="00162887" w:rsidRPr="00F11C3B" w:rsidRDefault="00162887" w:rsidP="00162887">
            <w:pPr>
              <w:autoSpaceDE w:val="0"/>
              <w:autoSpaceDN w:val="0"/>
              <w:adjustRightInd w:val="0"/>
              <w:spacing w:before="53"/>
              <w:ind w:right="95"/>
              <w:jc w:val="center"/>
              <w:rPr>
                <w:rFonts w:ascii="Times New Roman" w:hAnsi="Times New Roman"/>
                <w:b/>
              </w:rPr>
            </w:pPr>
            <w:r>
              <w:rPr>
                <w:rFonts w:ascii="Times New Roman" w:hAnsi="Times New Roman"/>
                <w:b/>
              </w:rPr>
              <w:t>March 13</w:t>
            </w:r>
            <w:r w:rsidRPr="00F11C3B">
              <w:rPr>
                <w:rFonts w:ascii="Times New Roman" w:hAnsi="Times New Roman"/>
                <w:b/>
              </w:rPr>
              <w:t>, 201</w:t>
            </w:r>
            <w:r>
              <w:rPr>
                <w:rFonts w:ascii="Times New Roman" w:hAnsi="Times New Roman"/>
                <w:b/>
              </w:rPr>
              <w:t>3</w:t>
            </w:r>
          </w:p>
        </w:tc>
      </w:tr>
      <w:tr w:rsidR="00162887" w:rsidRPr="0008253F" w:rsidTr="00E263D2">
        <w:tc>
          <w:tcPr>
            <w:tcW w:w="9288" w:type="dxa"/>
            <w:gridSpan w:val="2"/>
            <w:shd w:val="clear" w:color="auto" w:fill="000000" w:themeFill="text1"/>
          </w:tcPr>
          <w:p w:rsidR="00162887" w:rsidRDefault="00162887" w:rsidP="00E263D2">
            <w:pPr>
              <w:autoSpaceDE w:val="0"/>
              <w:autoSpaceDN w:val="0"/>
              <w:adjustRightInd w:val="0"/>
              <w:spacing w:before="53"/>
              <w:ind w:right="95"/>
              <w:jc w:val="center"/>
              <w:rPr>
                <w:rFonts w:ascii="Times New Roman" w:hAnsi="Times New Roman"/>
                <w:b/>
              </w:rPr>
            </w:pPr>
            <w:r w:rsidRPr="00F11C3B">
              <w:rPr>
                <w:rFonts w:ascii="Times New Roman" w:hAnsi="Times New Roman"/>
                <w:b/>
              </w:rPr>
              <w:t>Napa Valley College</w:t>
            </w:r>
          </w:p>
          <w:p w:rsidR="00162887" w:rsidRPr="00F11C3B" w:rsidRDefault="00162887" w:rsidP="00E263D2">
            <w:pPr>
              <w:autoSpaceDE w:val="0"/>
              <w:autoSpaceDN w:val="0"/>
              <w:adjustRightInd w:val="0"/>
              <w:spacing w:before="53"/>
              <w:ind w:right="95"/>
              <w:rPr>
                <w:rFonts w:ascii="Times New Roman" w:hAnsi="Times New Roman"/>
                <w:b/>
              </w:rPr>
            </w:pPr>
          </w:p>
        </w:tc>
      </w:tr>
      <w:tr w:rsidR="00162887" w:rsidRPr="0008253F" w:rsidTr="00E263D2">
        <w:tc>
          <w:tcPr>
            <w:tcW w:w="4201" w:type="dxa"/>
          </w:tcPr>
          <w:p w:rsidR="00162887" w:rsidRPr="0008253F" w:rsidRDefault="00162887" w:rsidP="00E263D2">
            <w:pPr>
              <w:autoSpaceDE w:val="0"/>
              <w:autoSpaceDN w:val="0"/>
              <w:adjustRightInd w:val="0"/>
              <w:spacing w:before="53"/>
              <w:ind w:right="95"/>
              <w:jc w:val="center"/>
              <w:rPr>
                <w:rFonts w:ascii="Times New Roman" w:hAnsi="Times New Roman"/>
                <w:b/>
              </w:rPr>
            </w:pPr>
            <w:r w:rsidRPr="0008253F">
              <w:rPr>
                <w:rFonts w:ascii="Times New Roman" w:hAnsi="Times New Roman"/>
                <w:b/>
              </w:rPr>
              <w:t>Topics of Discussion</w:t>
            </w:r>
          </w:p>
        </w:tc>
        <w:tc>
          <w:tcPr>
            <w:tcW w:w="5087" w:type="dxa"/>
          </w:tcPr>
          <w:p w:rsidR="00162887" w:rsidRPr="0008253F" w:rsidRDefault="00162887" w:rsidP="00E263D2">
            <w:pPr>
              <w:autoSpaceDE w:val="0"/>
              <w:autoSpaceDN w:val="0"/>
              <w:adjustRightInd w:val="0"/>
              <w:spacing w:before="53"/>
              <w:ind w:right="95"/>
              <w:jc w:val="center"/>
              <w:rPr>
                <w:rFonts w:ascii="Times New Roman" w:hAnsi="Times New Roman"/>
                <w:b/>
              </w:rPr>
            </w:pPr>
            <w:r>
              <w:rPr>
                <w:rFonts w:ascii="Times New Roman" w:hAnsi="Times New Roman"/>
                <w:b/>
              </w:rPr>
              <w:t>Description</w:t>
            </w:r>
          </w:p>
        </w:tc>
      </w:tr>
      <w:tr w:rsidR="00162887" w:rsidRPr="0008253F" w:rsidTr="00E263D2">
        <w:tc>
          <w:tcPr>
            <w:tcW w:w="4201" w:type="dxa"/>
          </w:tcPr>
          <w:p w:rsidR="00162887" w:rsidRPr="002C0E21" w:rsidRDefault="00162887" w:rsidP="00162887">
            <w:pPr>
              <w:autoSpaceDE w:val="0"/>
              <w:autoSpaceDN w:val="0"/>
              <w:adjustRightInd w:val="0"/>
              <w:spacing w:before="53"/>
              <w:ind w:right="95"/>
              <w:jc w:val="right"/>
              <w:rPr>
                <w:rFonts w:ascii="Times New Roman" w:hAnsi="Times New Roman"/>
                <w:sz w:val="20"/>
                <w:szCs w:val="20"/>
              </w:rPr>
            </w:pPr>
            <w:r>
              <w:rPr>
                <w:rFonts w:ascii="Times New Roman" w:hAnsi="Times New Roman"/>
                <w:sz w:val="20"/>
                <w:szCs w:val="20"/>
              </w:rPr>
              <w:t>Review and Feedback on Revised Draft Task Force Action Plan</w:t>
            </w:r>
          </w:p>
        </w:tc>
        <w:tc>
          <w:tcPr>
            <w:tcW w:w="5087" w:type="dxa"/>
          </w:tcPr>
          <w:p w:rsidR="00162887" w:rsidRDefault="00162887" w:rsidP="004C794B">
            <w:pPr>
              <w:pStyle w:val="ListParagraph"/>
              <w:numPr>
                <w:ilvl w:val="0"/>
                <w:numId w:val="17"/>
              </w:numPr>
              <w:suppressAutoHyphens w:val="0"/>
              <w:spacing w:before="53" w:after="0" w:line="240" w:lineRule="auto"/>
              <w:ind w:right="95"/>
              <w:contextualSpacing/>
              <w:textAlignment w:val="auto"/>
              <w:rPr>
                <w:rFonts w:ascii="Times New Roman" w:hAnsi="Times New Roman"/>
                <w:sz w:val="20"/>
                <w:szCs w:val="20"/>
              </w:rPr>
            </w:pPr>
            <w:r>
              <w:rPr>
                <w:rFonts w:ascii="Times New Roman" w:hAnsi="Times New Roman"/>
                <w:sz w:val="20"/>
                <w:szCs w:val="20"/>
              </w:rPr>
              <w:t>Large group discussion held</w:t>
            </w:r>
          </w:p>
          <w:p w:rsidR="00162887" w:rsidRPr="003A1050" w:rsidRDefault="00162887" w:rsidP="00E263D2">
            <w:pPr>
              <w:pStyle w:val="ListParagraph"/>
              <w:suppressAutoHyphens w:val="0"/>
              <w:spacing w:before="53" w:after="0" w:line="240" w:lineRule="auto"/>
              <w:ind w:right="95"/>
              <w:contextualSpacing/>
              <w:textAlignment w:val="auto"/>
              <w:rPr>
                <w:rFonts w:ascii="Times New Roman" w:hAnsi="Times New Roman"/>
                <w:sz w:val="20"/>
                <w:szCs w:val="20"/>
              </w:rPr>
            </w:pPr>
          </w:p>
        </w:tc>
      </w:tr>
      <w:tr w:rsidR="00AB1567" w:rsidRPr="00F11C3B" w:rsidTr="00F30C6D">
        <w:tc>
          <w:tcPr>
            <w:tcW w:w="9288" w:type="dxa"/>
            <w:gridSpan w:val="2"/>
            <w:shd w:val="clear" w:color="auto" w:fill="000000" w:themeFill="text1"/>
          </w:tcPr>
          <w:p w:rsidR="00AB1567" w:rsidRPr="00F11C3B" w:rsidRDefault="00AB1567" w:rsidP="00F30C6D">
            <w:pPr>
              <w:autoSpaceDE w:val="0"/>
              <w:autoSpaceDN w:val="0"/>
              <w:adjustRightInd w:val="0"/>
              <w:spacing w:before="53"/>
              <w:ind w:right="95"/>
              <w:jc w:val="center"/>
              <w:rPr>
                <w:rFonts w:ascii="Times New Roman" w:hAnsi="Times New Roman"/>
                <w:b/>
              </w:rPr>
            </w:pPr>
            <w:r>
              <w:rPr>
                <w:rFonts w:ascii="Times New Roman" w:hAnsi="Times New Roman"/>
                <w:b/>
              </w:rPr>
              <w:t>May 1</w:t>
            </w:r>
            <w:r w:rsidRPr="00F11C3B">
              <w:rPr>
                <w:rFonts w:ascii="Times New Roman" w:hAnsi="Times New Roman"/>
                <w:b/>
              </w:rPr>
              <w:t>, 201</w:t>
            </w:r>
            <w:r>
              <w:rPr>
                <w:rFonts w:ascii="Times New Roman" w:hAnsi="Times New Roman"/>
                <w:b/>
              </w:rPr>
              <w:t>3</w:t>
            </w:r>
          </w:p>
        </w:tc>
      </w:tr>
      <w:tr w:rsidR="00AB1567" w:rsidRPr="00F11C3B" w:rsidTr="00F30C6D">
        <w:tc>
          <w:tcPr>
            <w:tcW w:w="9288" w:type="dxa"/>
            <w:gridSpan w:val="2"/>
            <w:shd w:val="clear" w:color="auto" w:fill="000000" w:themeFill="text1"/>
          </w:tcPr>
          <w:p w:rsidR="00AB1567" w:rsidRDefault="00AB1567" w:rsidP="00F30C6D">
            <w:pPr>
              <w:autoSpaceDE w:val="0"/>
              <w:autoSpaceDN w:val="0"/>
              <w:adjustRightInd w:val="0"/>
              <w:spacing w:before="53"/>
              <w:ind w:right="95"/>
              <w:jc w:val="center"/>
              <w:rPr>
                <w:rFonts w:ascii="Times New Roman" w:hAnsi="Times New Roman"/>
                <w:b/>
              </w:rPr>
            </w:pPr>
            <w:r w:rsidRPr="00F11C3B">
              <w:rPr>
                <w:rFonts w:ascii="Times New Roman" w:hAnsi="Times New Roman"/>
                <w:b/>
              </w:rPr>
              <w:t>Napa Valley College</w:t>
            </w:r>
          </w:p>
          <w:p w:rsidR="00AB1567" w:rsidRPr="00F11C3B" w:rsidRDefault="00AB1567" w:rsidP="00F30C6D">
            <w:pPr>
              <w:autoSpaceDE w:val="0"/>
              <w:autoSpaceDN w:val="0"/>
              <w:adjustRightInd w:val="0"/>
              <w:spacing w:before="53"/>
              <w:ind w:right="95"/>
              <w:rPr>
                <w:rFonts w:ascii="Times New Roman" w:hAnsi="Times New Roman"/>
                <w:b/>
              </w:rPr>
            </w:pPr>
          </w:p>
        </w:tc>
      </w:tr>
      <w:tr w:rsidR="00AB1567" w:rsidRPr="0008253F" w:rsidTr="00F30C6D">
        <w:tc>
          <w:tcPr>
            <w:tcW w:w="4201" w:type="dxa"/>
          </w:tcPr>
          <w:p w:rsidR="00AB1567" w:rsidRPr="0008253F" w:rsidRDefault="00AB1567" w:rsidP="00F30C6D">
            <w:pPr>
              <w:autoSpaceDE w:val="0"/>
              <w:autoSpaceDN w:val="0"/>
              <w:adjustRightInd w:val="0"/>
              <w:spacing w:before="53"/>
              <w:ind w:right="95"/>
              <w:jc w:val="center"/>
              <w:rPr>
                <w:rFonts w:ascii="Times New Roman" w:hAnsi="Times New Roman"/>
                <w:b/>
              </w:rPr>
            </w:pPr>
            <w:r w:rsidRPr="0008253F">
              <w:rPr>
                <w:rFonts w:ascii="Times New Roman" w:hAnsi="Times New Roman"/>
                <w:b/>
              </w:rPr>
              <w:t>Topics of Discussion</w:t>
            </w:r>
          </w:p>
        </w:tc>
        <w:tc>
          <w:tcPr>
            <w:tcW w:w="5087" w:type="dxa"/>
          </w:tcPr>
          <w:p w:rsidR="00AB1567" w:rsidRPr="0008253F" w:rsidRDefault="00AB1567" w:rsidP="00F30C6D">
            <w:pPr>
              <w:autoSpaceDE w:val="0"/>
              <w:autoSpaceDN w:val="0"/>
              <w:adjustRightInd w:val="0"/>
              <w:spacing w:before="53"/>
              <w:ind w:right="95"/>
              <w:jc w:val="center"/>
              <w:rPr>
                <w:rFonts w:ascii="Times New Roman" w:hAnsi="Times New Roman"/>
                <w:b/>
              </w:rPr>
            </w:pPr>
            <w:r>
              <w:rPr>
                <w:rFonts w:ascii="Times New Roman" w:hAnsi="Times New Roman"/>
                <w:b/>
              </w:rPr>
              <w:t>Description</w:t>
            </w:r>
          </w:p>
        </w:tc>
      </w:tr>
      <w:tr w:rsidR="00AB1567" w:rsidRPr="003A1050" w:rsidTr="00F30C6D">
        <w:tc>
          <w:tcPr>
            <w:tcW w:w="4201" w:type="dxa"/>
          </w:tcPr>
          <w:p w:rsidR="00AB1567" w:rsidRPr="002C0E21" w:rsidRDefault="00AB1567" w:rsidP="00AB1567">
            <w:pPr>
              <w:autoSpaceDE w:val="0"/>
              <w:autoSpaceDN w:val="0"/>
              <w:adjustRightInd w:val="0"/>
              <w:spacing w:before="53"/>
              <w:ind w:right="95"/>
              <w:jc w:val="right"/>
              <w:rPr>
                <w:rFonts w:ascii="Times New Roman" w:hAnsi="Times New Roman"/>
                <w:sz w:val="20"/>
                <w:szCs w:val="20"/>
              </w:rPr>
            </w:pPr>
            <w:r>
              <w:rPr>
                <w:rFonts w:ascii="Times New Roman" w:hAnsi="Times New Roman"/>
                <w:sz w:val="20"/>
                <w:szCs w:val="20"/>
              </w:rPr>
              <w:t>Review and Finalize Task Force Action Plan</w:t>
            </w:r>
          </w:p>
        </w:tc>
        <w:tc>
          <w:tcPr>
            <w:tcW w:w="5087" w:type="dxa"/>
          </w:tcPr>
          <w:p w:rsidR="00AB1567" w:rsidRDefault="00AB1567" w:rsidP="00F30C6D">
            <w:pPr>
              <w:pStyle w:val="ListParagraph"/>
              <w:numPr>
                <w:ilvl w:val="0"/>
                <w:numId w:val="17"/>
              </w:numPr>
              <w:suppressAutoHyphens w:val="0"/>
              <w:spacing w:before="53" w:after="0" w:line="240" w:lineRule="auto"/>
              <w:ind w:right="95"/>
              <w:contextualSpacing/>
              <w:textAlignment w:val="auto"/>
              <w:rPr>
                <w:rFonts w:ascii="Times New Roman" w:hAnsi="Times New Roman"/>
                <w:sz w:val="20"/>
                <w:szCs w:val="20"/>
              </w:rPr>
            </w:pPr>
            <w:r>
              <w:rPr>
                <w:rFonts w:ascii="Times New Roman" w:hAnsi="Times New Roman"/>
                <w:sz w:val="20"/>
                <w:szCs w:val="20"/>
              </w:rPr>
              <w:t>Large group discussion held</w:t>
            </w:r>
          </w:p>
          <w:p w:rsidR="00AB1567" w:rsidRPr="003A1050" w:rsidRDefault="00AB1567" w:rsidP="00F30C6D">
            <w:pPr>
              <w:pStyle w:val="ListParagraph"/>
              <w:suppressAutoHyphens w:val="0"/>
              <w:spacing w:before="53" w:after="0" w:line="240" w:lineRule="auto"/>
              <w:ind w:right="95"/>
              <w:contextualSpacing/>
              <w:textAlignment w:val="auto"/>
              <w:rPr>
                <w:rFonts w:ascii="Times New Roman" w:hAnsi="Times New Roman"/>
                <w:sz w:val="20"/>
                <w:szCs w:val="20"/>
              </w:rPr>
            </w:pPr>
          </w:p>
        </w:tc>
      </w:tr>
    </w:tbl>
    <w:p w:rsidR="00914FDD" w:rsidRDefault="00914FDD">
      <w:pPr>
        <w:rPr>
          <w:b/>
          <w:smallCaps/>
          <w:sz w:val="28"/>
        </w:rPr>
      </w:pPr>
    </w:p>
    <w:p w:rsidR="00AB1567" w:rsidRDefault="00AB1567">
      <w:pPr>
        <w:rPr>
          <w:b/>
          <w:smallCaps/>
          <w:sz w:val="28"/>
        </w:rPr>
      </w:pPr>
      <w:r>
        <w:br w:type="page"/>
      </w:r>
    </w:p>
    <w:p w:rsidR="001D16D9" w:rsidRDefault="001D16D9" w:rsidP="001212E4">
      <w:pPr>
        <w:pStyle w:val="TOC10"/>
      </w:pPr>
    </w:p>
    <w:p w:rsidR="0018514C" w:rsidRDefault="00CB322F" w:rsidP="001D16D9">
      <w:pPr>
        <w:pStyle w:val="TOC10"/>
      </w:pPr>
      <w:hyperlink w:anchor="Table_of_Contents" w:history="1">
        <w:bookmarkStart w:id="83" w:name="_Toc352584389"/>
        <w:bookmarkStart w:id="84" w:name="_Toc359933723"/>
        <w:r w:rsidR="00554937" w:rsidRPr="00B16F64">
          <w:rPr>
            <w:rStyle w:val="Hyperlink"/>
          </w:rPr>
          <w:t xml:space="preserve">Appendix </w:t>
        </w:r>
        <w:r w:rsidR="00FB7EFC">
          <w:rPr>
            <w:rStyle w:val="Hyperlink"/>
          </w:rPr>
          <w:t>C</w:t>
        </w:r>
        <w:r w:rsidR="007E545D">
          <w:rPr>
            <w:rStyle w:val="Hyperlink"/>
          </w:rPr>
          <w:br/>
        </w:r>
        <w:r w:rsidR="00554937" w:rsidRPr="00B16F64">
          <w:rPr>
            <w:rStyle w:val="Hyperlink"/>
          </w:rPr>
          <w:t>Non-Monetary Strategies Matrix</w:t>
        </w:r>
        <w:bookmarkEnd w:id="83"/>
        <w:bookmarkEnd w:id="84"/>
      </w:hyperlink>
    </w:p>
    <w:p w:rsidR="0018514C" w:rsidRPr="006A08AB" w:rsidRDefault="0018514C" w:rsidP="001D16D9">
      <w:pPr>
        <w:pStyle w:val="TOC10"/>
        <w:rPr>
          <w:sz w:val="24"/>
        </w:rPr>
      </w:pPr>
    </w:p>
    <w:p w:rsidR="006A08AB" w:rsidRPr="00B836C9" w:rsidRDefault="006A08AB" w:rsidP="006A08AB">
      <w:pPr>
        <w:pStyle w:val="Header"/>
        <w:tabs>
          <w:tab w:val="right" w:pos="9360"/>
        </w:tabs>
        <w:jc w:val="center"/>
        <w:rPr>
          <w:b/>
        </w:rPr>
      </w:pPr>
      <w:r w:rsidRPr="00B836C9">
        <w:rPr>
          <w:b/>
        </w:rPr>
        <w:t>Inventory of Non-Monetary Tools for Affordable Housing</w:t>
      </w:r>
    </w:p>
    <w:p w:rsidR="006A08AB" w:rsidRPr="006A08AB" w:rsidRDefault="006A08AB" w:rsidP="001D16D9">
      <w:pPr>
        <w:pStyle w:val="TOC10"/>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93"/>
        <w:gridCol w:w="1417"/>
        <w:gridCol w:w="934"/>
        <w:gridCol w:w="1232"/>
      </w:tblGrid>
      <w:tr w:rsidR="006A08AB" w:rsidRPr="00B836C9" w:rsidTr="004446F5">
        <w:trPr>
          <w:trHeight w:val="300"/>
        </w:trPr>
        <w:tc>
          <w:tcPr>
            <w:tcW w:w="7960" w:type="dxa"/>
            <w:noWrap/>
            <w:hideMark/>
          </w:tcPr>
          <w:p w:rsidR="006A08AB" w:rsidRPr="00B836C9" w:rsidRDefault="006A08AB" w:rsidP="004446F5">
            <w:pPr>
              <w:rPr>
                <w:rFonts w:asciiTheme="minorHAnsi" w:eastAsiaTheme="minorHAnsi" w:hAnsiTheme="minorHAnsi" w:cstheme="minorBidi"/>
              </w:rPr>
            </w:pPr>
          </w:p>
        </w:tc>
        <w:tc>
          <w:tcPr>
            <w:tcW w:w="4580" w:type="dxa"/>
            <w:gridSpan w:val="3"/>
            <w:noWrap/>
            <w:hideMark/>
          </w:tcPr>
          <w:p w:rsidR="006A08AB" w:rsidRPr="00B836C9" w:rsidRDefault="006A08AB" w:rsidP="004446F5">
            <w:pPr>
              <w:rPr>
                <w:rFonts w:asciiTheme="minorHAnsi" w:eastAsiaTheme="minorHAnsi" w:hAnsiTheme="minorHAnsi" w:cstheme="minorBidi"/>
                <w:b/>
                <w:bCs/>
              </w:rPr>
            </w:pPr>
            <w:r w:rsidRPr="00B836C9">
              <w:rPr>
                <w:rFonts w:asciiTheme="minorHAnsi" w:eastAsiaTheme="minorHAnsi" w:hAnsiTheme="minorHAnsi" w:cstheme="minorBidi"/>
                <w:b/>
                <w:bCs/>
              </w:rPr>
              <w:t>Strategy Adopted</w:t>
            </w:r>
          </w:p>
        </w:tc>
      </w:tr>
      <w:tr w:rsidR="006A08AB" w:rsidRPr="00B836C9" w:rsidTr="004446F5">
        <w:trPr>
          <w:trHeight w:val="845"/>
        </w:trPr>
        <w:tc>
          <w:tcPr>
            <w:tcW w:w="7960" w:type="dxa"/>
            <w:hideMark/>
          </w:tcPr>
          <w:p w:rsidR="006A08AB" w:rsidRPr="00B836C9" w:rsidRDefault="006A08AB" w:rsidP="004446F5">
            <w:pPr>
              <w:rPr>
                <w:rFonts w:asciiTheme="minorHAnsi" w:eastAsiaTheme="minorHAnsi" w:hAnsiTheme="minorHAnsi" w:cstheme="minorBidi"/>
                <w:b/>
                <w:bCs/>
              </w:rPr>
            </w:pPr>
            <w:r w:rsidRPr="00B836C9">
              <w:rPr>
                <w:rFonts w:asciiTheme="minorHAnsi" w:eastAsiaTheme="minorHAnsi" w:hAnsiTheme="minorHAnsi" w:cstheme="minorBidi"/>
                <w:b/>
                <w:bCs/>
              </w:rPr>
              <w:t>Affordable Housing Strategy</w:t>
            </w:r>
          </w:p>
        </w:tc>
        <w:tc>
          <w:tcPr>
            <w:tcW w:w="1825" w:type="dxa"/>
            <w:noWrap/>
            <w:hideMark/>
          </w:tcPr>
          <w:p w:rsidR="006A08AB" w:rsidRPr="00B836C9" w:rsidRDefault="006A08AB" w:rsidP="004446F5">
            <w:pPr>
              <w:rPr>
                <w:rFonts w:asciiTheme="minorHAnsi" w:eastAsiaTheme="minorHAnsi" w:hAnsiTheme="minorHAnsi" w:cstheme="minorBidi"/>
                <w:b/>
                <w:bCs/>
              </w:rPr>
            </w:pPr>
            <w:r w:rsidRPr="00B836C9">
              <w:rPr>
                <w:rFonts w:asciiTheme="minorHAnsi" w:eastAsiaTheme="minorHAnsi" w:hAnsiTheme="minorHAnsi" w:cstheme="minorBidi"/>
                <w:b/>
                <w:bCs/>
              </w:rPr>
              <w:t>County of Napa</w:t>
            </w:r>
          </w:p>
        </w:tc>
        <w:tc>
          <w:tcPr>
            <w:tcW w:w="1178" w:type="dxa"/>
            <w:hideMark/>
          </w:tcPr>
          <w:p w:rsidR="006A08AB" w:rsidRPr="00B836C9" w:rsidRDefault="006A08AB" w:rsidP="004446F5">
            <w:pPr>
              <w:rPr>
                <w:rFonts w:asciiTheme="minorHAnsi" w:eastAsiaTheme="minorHAnsi" w:hAnsiTheme="minorHAnsi" w:cstheme="minorBidi"/>
                <w:b/>
                <w:bCs/>
              </w:rPr>
            </w:pPr>
            <w:r w:rsidRPr="00B836C9">
              <w:rPr>
                <w:rFonts w:asciiTheme="minorHAnsi" w:eastAsiaTheme="minorHAnsi" w:hAnsiTheme="minorHAnsi" w:cstheme="minorBidi"/>
                <w:b/>
                <w:bCs/>
              </w:rPr>
              <w:t>City of Napa</w:t>
            </w:r>
          </w:p>
        </w:tc>
        <w:tc>
          <w:tcPr>
            <w:tcW w:w="1577" w:type="dxa"/>
            <w:hideMark/>
          </w:tcPr>
          <w:p w:rsidR="006A08AB" w:rsidRPr="00B836C9" w:rsidRDefault="006A08AB" w:rsidP="004446F5">
            <w:pPr>
              <w:rPr>
                <w:rFonts w:asciiTheme="minorHAnsi" w:eastAsiaTheme="minorHAnsi" w:hAnsiTheme="minorHAnsi" w:cstheme="minorBidi"/>
                <w:b/>
                <w:bCs/>
              </w:rPr>
            </w:pPr>
            <w:r w:rsidRPr="00B836C9">
              <w:rPr>
                <w:rFonts w:asciiTheme="minorHAnsi" w:eastAsiaTheme="minorHAnsi" w:hAnsiTheme="minorHAnsi" w:cstheme="minorBidi"/>
                <w:b/>
                <w:bCs/>
              </w:rPr>
              <w:t>City of American Canyon</w:t>
            </w:r>
          </w:p>
        </w:tc>
      </w:tr>
      <w:tr w:rsidR="006A08AB" w:rsidRPr="00B836C9" w:rsidTr="004446F5">
        <w:trPr>
          <w:trHeight w:val="575"/>
        </w:trPr>
        <w:tc>
          <w:tcPr>
            <w:tcW w:w="7960" w:type="dxa"/>
            <w:shd w:val="clear" w:color="auto" w:fill="BFBFBF" w:themeFill="background1" w:themeFillShade="BF"/>
            <w:hideMark/>
          </w:tcPr>
          <w:p w:rsidR="006A08AB" w:rsidRPr="00B836C9" w:rsidRDefault="006A08AB" w:rsidP="004446F5">
            <w:pPr>
              <w:rPr>
                <w:rFonts w:asciiTheme="minorHAnsi" w:eastAsiaTheme="minorHAnsi" w:hAnsiTheme="minorHAnsi" w:cstheme="minorBidi"/>
                <w:b/>
                <w:bCs/>
              </w:rPr>
            </w:pPr>
            <w:r w:rsidRPr="00B836C9">
              <w:rPr>
                <w:rFonts w:asciiTheme="minorHAnsi" w:eastAsiaTheme="minorHAnsi" w:hAnsiTheme="minorHAnsi" w:cstheme="minorBidi"/>
                <w:b/>
                <w:bCs/>
              </w:rPr>
              <w:t>Augment Housing Supply</w:t>
            </w:r>
          </w:p>
        </w:tc>
        <w:tc>
          <w:tcPr>
            <w:tcW w:w="1825" w:type="dxa"/>
            <w:shd w:val="clear" w:color="auto" w:fill="BFBFBF" w:themeFill="background1" w:themeFillShade="BF"/>
            <w:noWrap/>
            <w:hideMark/>
          </w:tcPr>
          <w:p w:rsidR="006A08AB" w:rsidRPr="00B836C9" w:rsidRDefault="006A08AB" w:rsidP="004446F5">
            <w:pPr>
              <w:rPr>
                <w:rFonts w:asciiTheme="minorHAnsi" w:eastAsiaTheme="minorHAnsi" w:hAnsiTheme="minorHAnsi" w:cstheme="minorBidi"/>
              </w:rPr>
            </w:pPr>
            <w:r w:rsidRPr="00B836C9">
              <w:rPr>
                <w:rFonts w:asciiTheme="minorHAnsi" w:eastAsiaTheme="minorHAnsi" w:hAnsiTheme="minorHAnsi" w:cstheme="minorBidi"/>
              </w:rPr>
              <w:t> </w:t>
            </w:r>
          </w:p>
        </w:tc>
        <w:tc>
          <w:tcPr>
            <w:tcW w:w="1178" w:type="dxa"/>
            <w:shd w:val="clear" w:color="auto" w:fill="BFBFBF" w:themeFill="background1" w:themeFillShade="BF"/>
            <w:noWrap/>
            <w:hideMark/>
          </w:tcPr>
          <w:p w:rsidR="006A08AB" w:rsidRPr="00B836C9" w:rsidRDefault="006A08AB" w:rsidP="004446F5">
            <w:pPr>
              <w:rPr>
                <w:rFonts w:asciiTheme="minorHAnsi" w:eastAsiaTheme="minorHAnsi" w:hAnsiTheme="minorHAnsi" w:cstheme="minorBidi"/>
              </w:rPr>
            </w:pPr>
            <w:r w:rsidRPr="00B836C9">
              <w:rPr>
                <w:rFonts w:asciiTheme="minorHAnsi" w:eastAsiaTheme="minorHAnsi" w:hAnsiTheme="minorHAnsi" w:cstheme="minorBidi"/>
              </w:rPr>
              <w:t> </w:t>
            </w:r>
          </w:p>
        </w:tc>
        <w:tc>
          <w:tcPr>
            <w:tcW w:w="1577" w:type="dxa"/>
            <w:shd w:val="clear" w:color="auto" w:fill="BFBFBF" w:themeFill="background1" w:themeFillShade="BF"/>
            <w:noWrap/>
            <w:hideMark/>
          </w:tcPr>
          <w:p w:rsidR="006A08AB" w:rsidRPr="00B836C9" w:rsidRDefault="006A08AB" w:rsidP="004446F5">
            <w:pPr>
              <w:rPr>
                <w:rFonts w:asciiTheme="minorHAnsi" w:eastAsiaTheme="minorHAnsi" w:hAnsiTheme="minorHAnsi" w:cstheme="minorBidi"/>
              </w:rPr>
            </w:pPr>
            <w:r w:rsidRPr="00B836C9">
              <w:rPr>
                <w:rFonts w:asciiTheme="minorHAnsi" w:eastAsiaTheme="minorHAnsi" w:hAnsiTheme="minorHAnsi" w:cstheme="minorBidi"/>
              </w:rPr>
              <w:t> </w:t>
            </w:r>
          </w:p>
        </w:tc>
      </w:tr>
      <w:tr w:rsidR="006A08AB" w:rsidRPr="00B836C9" w:rsidTr="004446F5">
        <w:trPr>
          <w:trHeight w:val="300"/>
        </w:trPr>
        <w:tc>
          <w:tcPr>
            <w:tcW w:w="7960" w:type="dxa"/>
            <w:hideMark/>
          </w:tcPr>
          <w:p w:rsidR="006A08AB" w:rsidRPr="00B836C9" w:rsidRDefault="006A08AB" w:rsidP="004446F5">
            <w:pPr>
              <w:rPr>
                <w:rFonts w:asciiTheme="minorHAnsi" w:eastAsiaTheme="minorHAnsi" w:hAnsiTheme="minorHAnsi" w:cstheme="minorBidi"/>
              </w:rPr>
            </w:pPr>
            <w:r w:rsidRPr="00B836C9">
              <w:rPr>
                <w:rFonts w:asciiTheme="minorHAnsi" w:eastAsiaTheme="minorHAnsi" w:hAnsiTheme="minorHAnsi" w:cstheme="minorBidi"/>
              </w:rPr>
              <w:t>Allow second units by right in all residential zones</w:t>
            </w:r>
          </w:p>
        </w:tc>
        <w:tc>
          <w:tcPr>
            <w:tcW w:w="1825" w:type="dxa"/>
            <w:noWrap/>
            <w:hideMark/>
          </w:tcPr>
          <w:p w:rsidR="006A08AB" w:rsidRPr="00B836C9" w:rsidRDefault="006A08AB" w:rsidP="004446F5">
            <w:pPr>
              <w:jc w:val="center"/>
              <w:rPr>
                <w:rFonts w:asciiTheme="minorHAnsi" w:eastAsiaTheme="minorHAnsi" w:hAnsiTheme="minorHAnsi" w:cstheme="minorBidi"/>
              </w:rPr>
            </w:pPr>
          </w:p>
        </w:tc>
        <w:tc>
          <w:tcPr>
            <w:tcW w:w="1178" w:type="dxa"/>
            <w:noWrap/>
            <w:hideMark/>
          </w:tcPr>
          <w:p w:rsidR="006A08AB" w:rsidRPr="00B836C9" w:rsidRDefault="006A08AB" w:rsidP="004446F5">
            <w:pPr>
              <w:jc w:val="center"/>
              <w:rPr>
                <w:rFonts w:asciiTheme="minorHAnsi" w:eastAsiaTheme="minorHAnsi" w:hAnsiTheme="minorHAnsi" w:cstheme="minorBidi"/>
              </w:rPr>
            </w:pPr>
            <w:r w:rsidRPr="00B836C9">
              <w:rPr>
                <w:rFonts w:asciiTheme="minorHAnsi" w:eastAsiaTheme="minorHAnsi" w:hAnsiTheme="minorHAnsi" w:cstheme="minorBidi"/>
              </w:rPr>
              <w:t>X</w:t>
            </w:r>
          </w:p>
        </w:tc>
        <w:tc>
          <w:tcPr>
            <w:tcW w:w="1577" w:type="dxa"/>
            <w:noWrap/>
            <w:hideMark/>
          </w:tcPr>
          <w:p w:rsidR="006A08AB" w:rsidRPr="00B836C9" w:rsidRDefault="006A08AB" w:rsidP="004446F5">
            <w:pPr>
              <w:jc w:val="center"/>
              <w:rPr>
                <w:rFonts w:asciiTheme="minorHAnsi" w:eastAsiaTheme="minorHAnsi" w:hAnsiTheme="minorHAnsi" w:cstheme="minorBidi"/>
              </w:rPr>
            </w:pPr>
            <w:r w:rsidRPr="00B836C9">
              <w:rPr>
                <w:rFonts w:asciiTheme="minorHAnsi" w:eastAsiaTheme="minorHAnsi" w:hAnsiTheme="minorHAnsi" w:cstheme="minorBidi"/>
              </w:rPr>
              <w:t>X</w:t>
            </w:r>
          </w:p>
        </w:tc>
      </w:tr>
      <w:tr w:rsidR="006A08AB" w:rsidRPr="00B836C9" w:rsidTr="004446F5">
        <w:trPr>
          <w:trHeight w:val="300"/>
        </w:trPr>
        <w:tc>
          <w:tcPr>
            <w:tcW w:w="7960" w:type="dxa"/>
            <w:shd w:val="clear" w:color="auto" w:fill="D9D9D9" w:themeFill="background1" w:themeFillShade="D9"/>
            <w:hideMark/>
          </w:tcPr>
          <w:p w:rsidR="006A08AB" w:rsidRPr="00B836C9" w:rsidRDefault="006A08AB" w:rsidP="004446F5">
            <w:pPr>
              <w:rPr>
                <w:rFonts w:asciiTheme="minorHAnsi" w:eastAsiaTheme="minorHAnsi" w:hAnsiTheme="minorHAnsi" w:cstheme="minorBidi"/>
              </w:rPr>
            </w:pPr>
            <w:r w:rsidRPr="00B836C9">
              <w:rPr>
                <w:rFonts w:asciiTheme="minorHAnsi" w:eastAsiaTheme="minorHAnsi" w:hAnsiTheme="minorHAnsi" w:cstheme="minorBidi"/>
              </w:rPr>
              <w:t>Ease owner-occupancy for second units or main residence</w:t>
            </w:r>
          </w:p>
        </w:tc>
        <w:tc>
          <w:tcPr>
            <w:tcW w:w="1825" w:type="dxa"/>
            <w:shd w:val="clear" w:color="auto" w:fill="D9D9D9" w:themeFill="background1" w:themeFillShade="D9"/>
            <w:noWrap/>
            <w:hideMark/>
          </w:tcPr>
          <w:p w:rsidR="006A08AB" w:rsidRPr="00B836C9" w:rsidRDefault="006A08AB" w:rsidP="004446F5">
            <w:pPr>
              <w:jc w:val="center"/>
              <w:rPr>
                <w:rFonts w:asciiTheme="minorHAnsi" w:eastAsiaTheme="minorHAnsi" w:hAnsiTheme="minorHAnsi" w:cstheme="minorBidi"/>
              </w:rPr>
            </w:pPr>
            <w:r w:rsidRPr="00B836C9">
              <w:rPr>
                <w:rFonts w:asciiTheme="minorHAnsi" w:eastAsiaTheme="minorHAnsi" w:hAnsiTheme="minorHAnsi" w:cstheme="minorBidi"/>
              </w:rPr>
              <w:t>X</w:t>
            </w:r>
          </w:p>
        </w:tc>
        <w:tc>
          <w:tcPr>
            <w:tcW w:w="1178" w:type="dxa"/>
            <w:shd w:val="clear" w:color="auto" w:fill="D9D9D9" w:themeFill="background1" w:themeFillShade="D9"/>
            <w:noWrap/>
            <w:hideMark/>
          </w:tcPr>
          <w:p w:rsidR="006A08AB" w:rsidRPr="00B836C9" w:rsidRDefault="006A08AB" w:rsidP="004446F5">
            <w:pPr>
              <w:jc w:val="center"/>
              <w:rPr>
                <w:rFonts w:asciiTheme="minorHAnsi" w:eastAsiaTheme="minorHAnsi" w:hAnsiTheme="minorHAnsi" w:cstheme="minorBidi"/>
              </w:rPr>
            </w:pPr>
          </w:p>
        </w:tc>
        <w:tc>
          <w:tcPr>
            <w:tcW w:w="1577" w:type="dxa"/>
            <w:shd w:val="clear" w:color="auto" w:fill="D9D9D9" w:themeFill="background1" w:themeFillShade="D9"/>
            <w:noWrap/>
            <w:hideMark/>
          </w:tcPr>
          <w:p w:rsidR="006A08AB" w:rsidRPr="00B836C9" w:rsidRDefault="006A08AB" w:rsidP="004446F5">
            <w:pPr>
              <w:jc w:val="center"/>
              <w:rPr>
                <w:rFonts w:asciiTheme="minorHAnsi" w:eastAsiaTheme="minorHAnsi" w:hAnsiTheme="minorHAnsi" w:cstheme="minorBidi"/>
              </w:rPr>
            </w:pPr>
          </w:p>
        </w:tc>
      </w:tr>
      <w:tr w:rsidR="006A08AB" w:rsidRPr="00B836C9" w:rsidTr="004446F5">
        <w:trPr>
          <w:trHeight w:val="315"/>
        </w:trPr>
        <w:tc>
          <w:tcPr>
            <w:tcW w:w="7960" w:type="dxa"/>
            <w:hideMark/>
          </w:tcPr>
          <w:p w:rsidR="006A08AB" w:rsidRPr="00B836C9" w:rsidRDefault="006A08AB" w:rsidP="004446F5">
            <w:pPr>
              <w:rPr>
                <w:rFonts w:asciiTheme="minorHAnsi" w:eastAsiaTheme="minorHAnsi" w:hAnsiTheme="minorHAnsi" w:cstheme="minorBidi"/>
              </w:rPr>
            </w:pPr>
            <w:r w:rsidRPr="00B836C9">
              <w:rPr>
                <w:rFonts w:asciiTheme="minorHAnsi" w:eastAsiaTheme="minorHAnsi" w:hAnsiTheme="minorHAnsi" w:cstheme="minorBidi"/>
              </w:rPr>
              <w:t>Provide a density increase for subdivisions above State density bonus (i.e., for smaller lots)</w:t>
            </w:r>
          </w:p>
        </w:tc>
        <w:tc>
          <w:tcPr>
            <w:tcW w:w="1825" w:type="dxa"/>
            <w:noWrap/>
            <w:hideMark/>
          </w:tcPr>
          <w:p w:rsidR="006A08AB" w:rsidRPr="00B836C9" w:rsidRDefault="006A08AB" w:rsidP="004446F5">
            <w:pPr>
              <w:jc w:val="center"/>
              <w:rPr>
                <w:rFonts w:asciiTheme="minorHAnsi" w:eastAsiaTheme="minorHAnsi" w:hAnsiTheme="minorHAnsi" w:cstheme="minorBidi"/>
              </w:rPr>
            </w:pPr>
          </w:p>
        </w:tc>
        <w:tc>
          <w:tcPr>
            <w:tcW w:w="1178" w:type="dxa"/>
            <w:noWrap/>
            <w:hideMark/>
          </w:tcPr>
          <w:p w:rsidR="006A08AB" w:rsidRPr="00B836C9" w:rsidRDefault="006A08AB" w:rsidP="004446F5">
            <w:pPr>
              <w:jc w:val="center"/>
              <w:rPr>
                <w:rFonts w:asciiTheme="minorHAnsi" w:eastAsiaTheme="minorHAnsi" w:hAnsiTheme="minorHAnsi" w:cstheme="minorBidi"/>
              </w:rPr>
            </w:pPr>
            <w:r w:rsidRPr="00B836C9">
              <w:rPr>
                <w:rFonts w:asciiTheme="minorHAnsi" w:eastAsiaTheme="minorHAnsi" w:hAnsiTheme="minorHAnsi" w:cstheme="minorBidi"/>
              </w:rPr>
              <w:t>X</w:t>
            </w:r>
          </w:p>
        </w:tc>
        <w:tc>
          <w:tcPr>
            <w:tcW w:w="1577" w:type="dxa"/>
            <w:noWrap/>
            <w:hideMark/>
          </w:tcPr>
          <w:p w:rsidR="006A08AB" w:rsidRPr="00B836C9" w:rsidRDefault="006A08AB" w:rsidP="004446F5">
            <w:pPr>
              <w:jc w:val="center"/>
              <w:rPr>
                <w:rFonts w:asciiTheme="minorHAnsi" w:eastAsiaTheme="minorHAnsi" w:hAnsiTheme="minorHAnsi" w:cstheme="minorBidi"/>
              </w:rPr>
            </w:pPr>
          </w:p>
        </w:tc>
      </w:tr>
      <w:tr w:rsidR="006A08AB" w:rsidRPr="00B836C9" w:rsidTr="004446F5">
        <w:trPr>
          <w:trHeight w:val="315"/>
        </w:trPr>
        <w:tc>
          <w:tcPr>
            <w:tcW w:w="7960" w:type="dxa"/>
            <w:shd w:val="clear" w:color="auto" w:fill="D9D9D9" w:themeFill="background1" w:themeFillShade="D9"/>
            <w:hideMark/>
          </w:tcPr>
          <w:p w:rsidR="006A08AB" w:rsidRPr="00B836C9" w:rsidRDefault="006A08AB" w:rsidP="004446F5">
            <w:pPr>
              <w:rPr>
                <w:rFonts w:asciiTheme="minorHAnsi" w:eastAsiaTheme="minorHAnsi" w:hAnsiTheme="minorHAnsi" w:cstheme="minorBidi"/>
              </w:rPr>
            </w:pPr>
            <w:r w:rsidRPr="00B836C9">
              <w:rPr>
                <w:rFonts w:asciiTheme="minorHAnsi" w:eastAsiaTheme="minorHAnsi" w:hAnsiTheme="minorHAnsi" w:cstheme="minorBidi"/>
              </w:rPr>
              <w:t>Provide a density increase for affordable housing development above state law</w:t>
            </w:r>
          </w:p>
        </w:tc>
        <w:tc>
          <w:tcPr>
            <w:tcW w:w="1825" w:type="dxa"/>
            <w:shd w:val="clear" w:color="auto" w:fill="D9D9D9" w:themeFill="background1" w:themeFillShade="D9"/>
            <w:noWrap/>
            <w:hideMark/>
          </w:tcPr>
          <w:p w:rsidR="006A08AB" w:rsidRPr="00B836C9" w:rsidRDefault="006A08AB" w:rsidP="004446F5">
            <w:pPr>
              <w:jc w:val="center"/>
              <w:rPr>
                <w:rFonts w:asciiTheme="minorHAnsi" w:eastAsiaTheme="minorHAnsi" w:hAnsiTheme="minorHAnsi" w:cstheme="minorBidi"/>
              </w:rPr>
            </w:pPr>
          </w:p>
        </w:tc>
        <w:tc>
          <w:tcPr>
            <w:tcW w:w="1178" w:type="dxa"/>
            <w:shd w:val="clear" w:color="auto" w:fill="D9D9D9" w:themeFill="background1" w:themeFillShade="D9"/>
            <w:noWrap/>
            <w:hideMark/>
          </w:tcPr>
          <w:p w:rsidR="006A08AB" w:rsidRPr="00B836C9" w:rsidRDefault="006A08AB" w:rsidP="004446F5">
            <w:pPr>
              <w:jc w:val="center"/>
              <w:rPr>
                <w:rFonts w:asciiTheme="minorHAnsi" w:eastAsiaTheme="minorHAnsi" w:hAnsiTheme="minorHAnsi" w:cstheme="minorBidi"/>
              </w:rPr>
            </w:pPr>
          </w:p>
        </w:tc>
        <w:tc>
          <w:tcPr>
            <w:tcW w:w="1577" w:type="dxa"/>
            <w:shd w:val="clear" w:color="auto" w:fill="D9D9D9" w:themeFill="background1" w:themeFillShade="D9"/>
            <w:noWrap/>
            <w:hideMark/>
          </w:tcPr>
          <w:p w:rsidR="006A08AB" w:rsidRPr="00B836C9" w:rsidRDefault="006A08AB" w:rsidP="004446F5">
            <w:pPr>
              <w:jc w:val="center"/>
              <w:rPr>
                <w:rFonts w:asciiTheme="minorHAnsi" w:eastAsiaTheme="minorHAnsi" w:hAnsiTheme="minorHAnsi" w:cstheme="minorBidi"/>
              </w:rPr>
            </w:pPr>
            <w:r w:rsidRPr="00B836C9">
              <w:rPr>
                <w:rFonts w:asciiTheme="minorHAnsi" w:eastAsiaTheme="minorHAnsi" w:hAnsiTheme="minorHAnsi" w:cstheme="minorBidi"/>
              </w:rPr>
              <w:t>X</w:t>
            </w:r>
          </w:p>
        </w:tc>
      </w:tr>
      <w:tr w:rsidR="006A08AB" w:rsidRPr="00B836C9" w:rsidTr="004446F5">
        <w:trPr>
          <w:trHeight w:val="300"/>
        </w:trPr>
        <w:tc>
          <w:tcPr>
            <w:tcW w:w="7960" w:type="dxa"/>
            <w:hideMark/>
          </w:tcPr>
          <w:p w:rsidR="006A08AB" w:rsidRPr="00B836C9" w:rsidRDefault="006A08AB" w:rsidP="004446F5">
            <w:pPr>
              <w:rPr>
                <w:rFonts w:asciiTheme="minorHAnsi" w:eastAsiaTheme="minorHAnsi" w:hAnsiTheme="minorHAnsi" w:cstheme="minorBidi"/>
              </w:rPr>
            </w:pPr>
            <w:r w:rsidRPr="00B836C9">
              <w:rPr>
                <w:rFonts w:asciiTheme="minorHAnsi" w:eastAsiaTheme="minorHAnsi" w:hAnsiTheme="minorHAnsi" w:cstheme="minorBidi"/>
              </w:rPr>
              <w:t>Zone properties for increased densities above general plan density range</w:t>
            </w:r>
          </w:p>
        </w:tc>
        <w:tc>
          <w:tcPr>
            <w:tcW w:w="1825" w:type="dxa"/>
            <w:noWrap/>
            <w:hideMark/>
          </w:tcPr>
          <w:p w:rsidR="006A08AB" w:rsidRPr="00B836C9" w:rsidRDefault="006A08AB" w:rsidP="004446F5">
            <w:pPr>
              <w:jc w:val="center"/>
              <w:rPr>
                <w:rFonts w:asciiTheme="minorHAnsi" w:eastAsiaTheme="minorHAnsi" w:hAnsiTheme="minorHAnsi" w:cstheme="minorBidi"/>
              </w:rPr>
            </w:pPr>
            <w:r w:rsidRPr="00B836C9">
              <w:rPr>
                <w:rFonts w:asciiTheme="minorHAnsi" w:eastAsiaTheme="minorHAnsi" w:hAnsiTheme="minorHAnsi" w:cstheme="minorBidi"/>
              </w:rPr>
              <w:t>X</w:t>
            </w:r>
          </w:p>
        </w:tc>
        <w:tc>
          <w:tcPr>
            <w:tcW w:w="1178" w:type="dxa"/>
            <w:noWrap/>
            <w:hideMark/>
          </w:tcPr>
          <w:p w:rsidR="006A08AB" w:rsidRPr="00B836C9" w:rsidRDefault="006A08AB" w:rsidP="004446F5">
            <w:pPr>
              <w:jc w:val="center"/>
              <w:rPr>
                <w:rFonts w:asciiTheme="minorHAnsi" w:eastAsiaTheme="minorHAnsi" w:hAnsiTheme="minorHAnsi" w:cstheme="minorBidi"/>
              </w:rPr>
            </w:pPr>
            <w:r w:rsidRPr="00B836C9">
              <w:rPr>
                <w:rFonts w:asciiTheme="minorHAnsi" w:eastAsiaTheme="minorHAnsi" w:hAnsiTheme="minorHAnsi" w:cstheme="minorBidi"/>
              </w:rPr>
              <w:t>X</w:t>
            </w:r>
          </w:p>
        </w:tc>
        <w:tc>
          <w:tcPr>
            <w:tcW w:w="1577" w:type="dxa"/>
            <w:noWrap/>
            <w:hideMark/>
          </w:tcPr>
          <w:p w:rsidR="006A08AB" w:rsidRPr="00B836C9" w:rsidRDefault="006A08AB" w:rsidP="004446F5">
            <w:pPr>
              <w:jc w:val="center"/>
              <w:rPr>
                <w:rFonts w:asciiTheme="minorHAnsi" w:eastAsiaTheme="minorHAnsi" w:hAnsiTheme="minorHAnsi" w:cstheme="minorBidi"/>
              </w:rPr>
            </w:pPr>
          </w:p>
        </w:tc>
      </w:tr>
      <w:tr w:rsidR="006A08AB" w:rsidRPr="00B836C9" w:rsidTr="004446F5">
        <w:trPr>
          <w:trHeight w:val="300"/>
        </w:trPr>
        <w:tc>
          <w:tcPr>
            <w:tcW w:w="7960" w:type="dxa"/>
            <w:shd w:val="clear" w:color="auto" w:fill="D9D9D9" w:themeFill="background1" w:themeFillShade="D9"/>
            <w:hideMark/>
          </w:tcPr>
          <w:p w:rsidR="006A08AB" w:rsidRPr="00B836C9" w:rsidRDefault="006A08AB" w:rsidP="004446F5">
            <w:pPr>
              <w:rPr>
                <w:rFonts w:asciiTheme="minorHAnsi" w:eastAsiaTheme="minorHAnsi" w:hAnsiTheme="minorHAnsi" w:cstheme="minorBidi"/>
              </w:rPr>
            </w:pPr>
            <w:r w:rsidRPr="00B836C9">
              <w:rPr>
                <w:rFonts w:asciiTheme="minorHAnsi" w:eastAsiaTheme="minorHAnsi" w:hAnsiTheme="minorHAnsi" w:cstheme="minorBidi"/>
              </w:rPr>
              <w:t>Establish standards and zone for SROs</w:t>
            </w:r>
          </w:p>
        </w:tc>
        <w:tc>
          <w:tcPr>
            <w:tcW w:w="1825" w:type="dxa"/>
            <w:shd w:val="clear" w:color="auto" w:fill="D9D9D9" w:themeFill="background1" w:themeFillShade="D9"/>
            <w:noWrap/>
            <w:hideMark/>
          </w:tcPr>
          <w:p w:rsidR="006A08AB" w:rsidRPr="00B836C9" w:rsidRDefault="006A08AB" w:rsidP="004446F5">
            <w:pPr>
              <w:jc w:val="center"/>
              <w:rPr>
                <w:rFonts w:asciiTheme="minorHAnsi" w:eastAsiaTheme="minorHAnsi" w:hAnsiTheme="minorHAnsi" w:cstheme="minorBidi"/>
              </w:rPr>
            </w:pPr>
            <w:r w:rsidRPr="00B836C9">
              <w:rPr>
                <w:rFonts w:asciiTheme="minorHAnsi" w:eastAsiaTheme="minorHAnsi" w:hAnsiTheme="minorHAnsi" w:cstheme="minorBidi"/>
              </w:rPr>
              <w:t>X</w:t>
            </w:r>
          </w:p>
        </w:tc>
        <w:tc>
          <w:tcPr>
            <w:tcW w:w="1178" w:type="dxa"/>
            <w:shd w:val="clear" w:color="auto" w:fill="D9D9D9" w:themeFill="background1" w:themeFillShade="D9"/>
            <w:noWrap/>
            <w:hideMark/>
          </w:tcPr>
          <w:p w:rsidR="006A08AB" w:rsidRPr="00B836C9" w:rsidRDefault="006A08AB" w:rsidP="004446F5">
            <w:pPr>
              <w:jc w:val="center"/>
              <w:rPr>
                <w:rFonts w:asciiTheme="minorHAnsi" w:eastAsiaTheme="minorHAnsi" w:hAnsiTheme="minorHAnsi" w:cstheme="minorBidi"/>
              </w:rPr>
            </w:pPr>
            <w:r w:rsidRPr="00B836C9">
              <w:rPr>
                <w:rFonts w:asciiTheme="minorHAnsi" w:eastAsiaTheme="minorHAnsi" w:hAnsiTheme="minorHAnsi" w:cstheme="minorBidi"/>
              </w:rPr>
              <w:t>X</w:t>
            </w:r>
          </w:p>
        </w:tc>
        <w:tc>
          <w:tcPr>
            <w:tcW w:w="1577" w:type="dxa"/>
            <w:shd w:val="clear" w:color="auto" w:fill="D9D9D9" w:themeFill="background1" w:themeFillShade="D9"/>
            <w:noWrap/>
            <w:hideMark/>
          </w:tcPr>
          <w:p w:rsidR="006A08AB" w:rsidRPr="00B836C9" w:rsidRDefault="006A08AB" w:rsidP="004446F5">
            <w:pPr>
              <w:jc w:val="center"/>
              <w:rPr>
                <w:rFonts w:asciiTheme="minorHAnsi" w:eastAsiaTheme="minorHAnsi" w:hAnsiTheme="minorHAnsi" w:cstheme="minorBidi"/>
              </w:rPr>
            </w:pPr>
          </w:p>
        </w:tc>
      </w:tr>
      <w:tr w:rsidR="006A08AB" w:rsidRPr="00B836C9" w:rsidTr="004446F5">
        <w:trPr>
          <w:trHeight w:val="300"/>
        </w:trPr>
        <w:tc>
          <w:tcPr>
            <w:tcW w:w="7960" w:type="dxa"/>
            <w:hideMark/>
          </w:tcPr>
          <w:p w:rsidR="006A08AB" w:rsidRPr="00B836C9" w:rsidRDefault="006A08AB" w:rsidP="004446F5">
            <w:pPr>
              <w:rPr>
                <w:rFonts w:asciiTheme="minorHAnsi" w:eastAsiaTheme="minorHAnsi" w:hAnsiTheme="minorHAnsi" w:cstheme="minorBidi"/>
              </w:rPr>
            </w:pPr>
            <w:r w:rsidRPr="00B836C9">
              <w:rPr>
                <w:rFonts w:asciiTheme="minorHAnsi" w:eastAsiaTheme="minorHAnsi" w:hAnsiTheme="minorHAnsi" w:cstheme="minorBidi"/>
              </w:rPr>
              <w:t>Require second units in large subdivisions as a housing alternative</w:t>
            </w:r>
          </w:p>
        </w:tc>
        <w:tc>
          <w:tcPr>
            <w:tcW w:w="1825" w:type="dxa"/>
            <w:noWrap/>
            <w:hideMark/>
          </w:tcPr>
          <w:p w:rsidR="006A08AB" w:rsidRPr="00B836C9" w:rsidRDefault="006A08AB" w:rsidP="004446F5">
            <w:pPr>
              <w:jc w:val="center"/>
              <w:rPr>
                <w:rFonts w:asciiTheme="minorHAnsi" w:eastAsiaTheme="minorHAnsi" w:hAnsiTheme="minorHAnsi" w:cstheme="minorBidi"/>
              </w:rPr>
            </w:pPr>
          </w:p>
        </w:tc>
        <w:tc>
          <w:tcPr>
            <w:tcW w:w="1178" w:type="dxa"/>
            <w:noWrap/>
            <w:hideMark/>
          </w:tcPr>
          <w:p w:rsidR="006A08AB" w:rsidRPr="00B836C9" w:rsidRDefault="006A08AB" w:rsidP="004446F5">
            <w:pPr>
              <w:jc w:val="center"/>
              <w:rPr>
                <w:rFonts w:asciiTheme="minorHAnsi" w:eastAsiaTheme="minorHAnsi" w:hAnsiTheme="minorHAnsi" w:cstheme="minorBidi"/>
              </w:rPr>
            </w:pPr>
          </w:p>
        </w:tc>
        <w:tc>
          <w:tcPr>
            <w:tcW w:w="1577" w:type="dxa"/>
            <w:noWrap/>
            <w:hideMark/>
          </w:tcPr>
          <w:p w:rsidR="006A08AB" w:rsidRPr="00B836C9" w:rsidRDefault="006A08AB" w:rsidP="004446F5">
            <w:pPr>
              <w:jc w:val="center"/>
              <w:rPr>
                <w:rFonts w:asciiTheme="minorHAnsi" w:eastAsiaTheme="minorHAnsi" w:hAnsiTheme="minorHAnsi" w:cstheme="minorBidi"/>
              </w:rPr>
            </w:pPr>
          </w:p>
        </w:tc>
      </w:tr>
      <w:tr w:rsidR="006A08AB" w:rsidRPr="00B836C9" w:rsidTr="004446F5">
        <w:trPr>
          <w:trHeight w:val="300"/>
        </w:trPr>
        <w:tc>
          <w:tcPr>
            <w:tcW w:w="7960" w:type="dxa"/>
            <w:shd w:val="clear" w:color="auto" w:fill="D9D9D9" w:themeFill="background1" w:themeFillShade="D9"/>
            <w:hideMark/>
          </w:tcPr>
          <w:p w:rsidR="006A08AB" w:rsidRPr="00B836C9" w:rsidRDefault="006A08AB" w:rsidP="004446F5">
            <w:pPr>
              <w:rPr>
                <w:rFonts w:asciiTheme="minorHAnsi" w:eastAsiaTheme="minorHAnsi" w:hAnsiTheme="minorHAnsi" w:cstheme="minorBidi"/>
              </w:rPr>
            </w:pPr>
            <w:r w:rsidRPr="00B836C9">
              <w:rPr>
                <w:rFonts w:asciiTheme="minorHAnsi" w:eastAsiaTheme="minorHAnsi" w:hAnsiTheme="minorHAnsi" w:cstheme="minorBidi"/>
              </w:rPr>
              <w:t>Zone property specifically for affordable housing</w:t>
            </w:r>
          </w:p>
        </w:tc>
        <w:tc>
          <w:tcPr>
            <w:tcW w:w="1825" w:type="dxa"/>
            <w:shd w:val="clear" w:color="auto" w:fill="D9D9D9" w:themeFill="background1" w:themeFillShade="D9"/>
            <w:noWrap/>
            <w:hideMark/>
          </w:tcPr>
          <w:p w:rsidR="006A08AB" w:rsidRPr="00B836C9" w:rsidRDefault="006A08AB" w:rsidP="004446F5">
            <w:pPr>
              <w:jc w:val="center"/>
              <w:rPr>
                <w:rFonts w:asciiTheme="minorHAnsi" w:eastAsiaTheme="minorHAnsi" w:hAnsiTheme="minorHAnsi" w:cstheme="minorBidi"/>
              </w:rPr>
            </w:pPr>
            <w:r w:rsidRPr="00B836C9">
              <w:rPr>
                <w:rFonts w:asciiTheme="minorHAnsi" w:eastAsiaTheme="minorHAnsi" w:hAnsiTheme="minorHAnsi" w:cstheme="minorBidi"/>
              </w:rPr>
              <w:t>X</w:t>
            </w:r>
          </w:p>
        </w:tc>
        <w:tc>
          <w:tcPr>
            <w:tcW w:w="1178" w:type="dxa"/>
            <w:shd w:val="clear" w:color="auto" w:fill="D9D9D9" w:themeFill="background1" w:themeFillShade="D9"/>
            <w:noWrap/>
            <w:hideMark/>
          </w:tcPr>
          <w:p w:rsidR="006A08AB" w:rsidRPr="00B836C9" w:rsidRDefault="006A08AB" w:rsidP="004446F5">
            <w:pPr>
              <w:jc w:val="center"/>
              <w:rPr>
                <w:rFonts w:asciiTheme="minorHAnsi" w:eastAsiaTheme="minorHAnsi" w:hAnsiTheme="minorHAnsi" w:cstheme="minorBidi"/>
              </w:rPr>
            </w:pPr>
            <w:r w:rsidRPr="00B836C9">
              <w:rPr>
                <w:rFonts w:asciiTheme="minorHAnsi" w:eastAsiaTheme="minorHAnsi" w:hAnsiTheme="minorHAnsi" w:cstheme="minorBidi"/>
              </w:rPr>
              <w:t>X</w:t>
            </w:r>
          </w:p>
        </w:tc>
        <w:tc>
          <w:tcPr>
            <w:tcW w:w="1577" w:type="dxa"/>
            <w:shd w:val="clear" w:color="auto" w:fill="D9D9D9" w:themeFill="background1" w:themeFillShade="D9"/>
            <w:noWrap/>
            <w:hideMark/>
          </w:tcPr>
          <w:p w:rsidR="006A08AB" w:rsidRPr="00B836C9" w:rsidRDefault="006A08AB" w:rsidP="004446F5">
            <w:pPr>
              <w:jc w:val="center"/>
              <w:rPr>
                <w:rFonts w:asciiTheme="minorHAnsi" w:eastAsiaTheme="minorHAnsi" w:hAnsiTheme="minorHAnsi" w:cstheme="minorBidi"/>
              </w:rPr>
            </w:pPr>
          </w:p>
        </w:tc>
      </w:tr>
      <w:tr w:rsidR="006A08AB" w:rsidRPr="00B836C9" w:rsidTr="004446F5">
        <w:trPr>
          <w:trHeight w:val="300"/>
        </w:trPr>
        <w:tc>
          <w:tcPr>
            <w:tcW w:w="7960" w:type="dxa"/>
            <w:hideMark/>
          </w:tcPr>
          <w:p w:rsidR="006A08AB" w:rsidRPr="00B836C9" w:rsidRDefault="006A08AB" w:rsidP="004446F5">
            <w:pPr>
              <w:rPr>
                <w:rFonts w:asciiTheme="minorHAnsi" w:eastAsiaTheme="minorHAnsi" w:hAnsiTheme="minorHAnsi" w:cstheme="minorBidi"/>
              </w:rPr>
            </w:pPr>
            <w:r w:rsidRPr="00B836C9">
              <w:rPr>
                <w:rFonts w:asciiTheme="minorHAnsi" w:eastAsiaTheme="minorHAnsi" w:hAnsiTheme="minorHAnsi" w:cstheme="minorBidi"/>
              </w:rPr>
              <w:t>Target density at the mid-range of the density range or above by policy</w:t>
            </w:r>
          </w:p>
        </w:tc>
        <w:tc>
          <w:tcPr>
            <w:tcW w:w="1825" w:type="dxa"/>
            <w:noWrap/>
            <w:hideMark/>
          </w:tcPr>
          <w:p w:rsidR="006A08AB" w:rsidRPr="00B836C9" w:rsidRDefault="006A08AB" w:rsidP="004446F5">
            <w:pPr>
              <w:jc w:val="center"/>
              <w:rPr>
                <w:rFonts w:asciiTheme="minorHAnsi" w:eastAsiaTheme="minorHAnsi" w:hAnsiTheme="minorHAnsi" w:cstheme="minorBidi"/>
              </w:rPr>
            </w:pPr>
          </w:p>
        </w:tc>
        <w:tc>
          <w:tcPr>
            <w:tcW w:w="1178" w:type="dxa"/>
            <w:noWrap/>
            <w:hideMark/>
          </w:tcPr>
          <w:p w:rsidR="006A08AB" w:rsidRPr="00B836C9" w:rsidRDefault="006A08AB" w:rsidP="004446F5">
            <w:pPr>
              <w:jc w:val="center"/>
              <w:rPr>
                <w:rFonts w:asciiTheme="minorHAnsi" w:eastAsiaTheme="minorHAnsi" w:hAnsiTheme="minorHAnsi" w:cstheme="minorBidi"/>
              </w:rPr>
            </w:pPr>
            <w:r w:rsidRPr="00B836C9">
              <w:rPr>
                <w:rFonts w:asciiTheme="minorHAnsi" w:eastAsiaTheme="minorHAnsi" w:hAnsiTheme="minorHAnsi" w:cstheme="minorBidi"/>
              </w:rPr>
              <w:t>X</w:t>
            </w:r>
          </w:p>
        </w:tc>
        <w:tc>
          <w:tcPr>
            <w:tcW w:w="1577" w:type="dxa"/>
            <w:noWrap/>
            <w:hideMark/>
          </w:tcPr>
          <w:p w:rsidR="006A08AB" w:rsidRPr="00B836C9" w:rsidRDefault="006A08AB" w:rsidP="004446F5">
            <w:pPr>
              <w:jc w:val="center"/>
              <w:rPr>
                <w:rFonts w:asciiTheme="minorHAnsi" w:eastAsiaTheme="minorHAnsi" w:hAnsiTheme="minorHAnsi" w:cstheme="minorBidi"/>
              </w:rPr>
            </w:pPr>
          </w:p>
        </w:tc>
      </w:tr>
      <w:tr w:rsidR="006A08AB" w:rsidRPr="00B836C9" w:rsidTr="004446F5">
        <w:trPr>
          <w:trHeight w:val="330"/>
        </w:trPr>
        <w:tc>
          <w:tcPr>
            <w:tcW w:w="7960" w:type="dxa"/>
            <w:shd w:val="clear" w:color="auto" w:fill="D9D9D9" w:themeFill="background1" w:themeFillShade="D9"/>
            <w:hideMark/>
          </w:tcPr>
          <w:p w:rsidR="006A08AB" w:rsidRPr="00B836C9" w:rsidRDefault="006A08AB" w:rsidP="004446F5">
            <w:pPr>
              <w:rPr>
                <w:rFonts w:asciiTheme="minorHAnsi" w:eastAsiaTheme="minorHAnsi" w:hAnsiTheme="minorHAnsi" w:cstheme="minorBidi"/>
              </w:rPr>
            </w:pPr>
            <w:r w:rsidRPr="00B836C9">
              <w:rPr>
                <w:rFonts w:asciiTheme="minorHAnsi" w:eastAsiaTheme="minorHAnsi" w:hAnsiTheme="minorHAnsi" w:cstheme="minorBidi"/>
              </w:rPr>
              <w:t>Do not allow density to fall below the density range "floor" without adoption of certain findings</w:t>
            </w:r>
          </w:p>
        </w:tc>
        <w:tc>
          <w:tcPr>
            <w:tcW w:w="1825" w:type="dxa"/>
            <w:shd w:val="clear" w:color="auto" w:fill="D9D9D9" w:themeFill="background1" w:themeFillShade="D9"/>
            <w:noWrap/>
            <w:hideMark/>
          </w:tcPr>
          <w:p w:rsidR="006A08AB" w:rsidRPr="00B836C9" w:rsidRDefault="006A08AB" w:rsidP="004446F5">
            <w:pPr>
              <w:jc w:val="center"/>
              <w:rPr>
                <w:rFonts w:asciiTheme="minorHAnsi" w:eastAsiaTheme="minorHAnsi" w:hAnsiTheme="minorHAnsi" w:cstheme="minorBidi"/>
              </w:rPr>
            </w:pPr>
          </w:p>
        </w:tc>
        <w:tc>
          <w:tcPr>
            <w:tcW w:w="1178" w:type="dxa"/>
            <w:shd w:val="clear" w:color="auto" w:fill="D9D9D9" w:themeFill="background1" w:themeFillShade="D9"/>
            <w:noWrap/>
            <w:hideMark/>
          </w:tcPr>
          <w:p w:rsidR="006A08AB" w:rsidRPr="00B836C9" w:rsidRDefault="006A08AB" w:rsidP="004446F5">
            <w:pPr>
              <w:jc w:val="center"/>
              <w:rPr>
                <w:rFonts w:asciiTheme="minorHAnsi" w:eastAsiaTheme="minorHAnsi" w:hAnsiTheme="minorHAnsi" w:cstheme="minorBidi"/>
              </w:rPr>
            </w:pPr>
            <w:r w:rsidRPr="00B836C9">
              <w:rPr>
                <w:rFonts w:asciiTheme="minorHAnsi" w:eastAsiaTheme="minorHAnsi" w:hAnsiTheme="minorHAnsi" w:cstheme="minorBidi"/>
              </w:rPr>
              <w:t>X</w:t>
            </w:r>
          </w:p>
        </w:tc>
        <w:tc>
          <w:tcPr>
            <w:tcW w:w="1577" w:type="dxa"/>
            <w:shd w:val="clear" w:color="auto" w:fill="D9D9D9" w:themeFill="background1" w:themeFillShade="D9"/>
            <w:noWrap/>
            <w:hideMark/>
          </w:tcPr>
          <w:p w:rsidR="006A08AB" w:rsidRPr="00B836C9" w:rsidRDefault="006A08AB" w:rsidP="004446F5">
            <w:pPr>
              <w:jc w:val="center"/>
              <w:rPr>
                <w:rFonts w:asciiTheme="minorHAnsi" w:eastAsiaTheme="minorHAnsi" w:hAnsiTheme="minorHAnsi" w:cstheme="minorBidi"/>
              </w:rPr>
            </w:pPr>
            <w:r w:rsidRPr="00B836C9">
              <w:rPr>
                <w:rFonts w:asciiTheme="minorHAnsi" w:eastAsiaTheme="minorHAnsi" w:hAnsiTheme="minorHAnsi" w:cstheme="minorBidi"/>
              </w:rPr>
              <w:t>X</w:t>
            </w:r>
          </w:p>
        </w:tc>
      </w:tr>
      <w:tr w:rsidR="006A08AB" w:rsidRPr="00B836C9" w:rsidTr="004446F5">
        <w:trPr>
          <w:trHeight w:val="645"/>
        </w:trPr>
        <w:tc>
          <w:tcPr>
            <w:tcW w:w="7960" w:type="dxa"/>
            <w:hideMark/>
          </w:tcPr>
          <w:p w:rsidR="006A08AB" w:rsidRPr="00B836C9" w:rsidRDefault="006A08AB" w:rsidP="004446F5">
            <w:pPr>
              <w:rPr>
                <w:rFonts w:asciiTheme="minorHAnsi" w:eastAsiaTheme="minorHAnsi" w:hAnsiTheme="minorHAnsi" w:cstheme="minorBidi"/>
              </w:rPr>
            </w:pPr>
            <w:r w:rsidRPr="00B836C9">
              <w:rPr>
                <w:rFonts w:asciiTheme="minorHAnsi" w:eastAsiaTheme="minorHAnsi" w:hAnsiTheme="minorHAnsi" w:cstheme="minorBidi"/>
              </w:rPr>
              <w:t>Adopt inclusionary housing ordinance for non-residential development to include payment of fees or construction of units</w:t>
            </w:r>
          </w:p>
        </w:tc>
        <w:tc>
          <w:tcPr>
            <w:tcW w:w="1825" w:type="dxa"/>
            <w:noWrap/>
            <w:hideMark/>
          </w:tcPr>
          <w:p w:rsidR="006A08AB" w:rsidRPr="00B836C9" w:rsidRDefault="006A08AB" w:rsidP="004446F5">
            <w:pPr>
              <w:jc w:val="center"/>
              <w:rPr>
                <w:rFonts w:asciiTheme="minorHAnsi" w:eastAsiaTheme="minorHAnsi" w:hAnsiTheme="minorHAnsi" w:cstheme="minorBidi"/>
              </w:rPr>
            </w:pPr>
            <w:r w:rsidRPr="00B836C9">
              <w:rPr>
                <w:rFonts w:asciiTheme="minorHAnsi" w:eastAsiaTheme="minorHAnsi" w:hAnsiTheme="minorHAnsi" w:cstheme="minorBidi"/>
              </w:rPr>
              <w:t>X</w:t>
            </w:r>
          </w:p>
        </w:tc>
        <w:tc>
          <w:tcPr>
            <w:tcW w:w="1178" w:type="dxa"/>
            <w:noWrap/>
            <w:hideMark/>
          </w:tcPr>
          <w:p w:rsidR="006A08AB" w:rsidRPr="00B836C9" w:rsidRDefault="006A08AB" w:rsidP="004446F5">
            <w:pPr>
              <w:jc w:val="center"/>
              <w:rPr>
                <w:rFonts w:asciiTheme="minorHAnsi" w:eastAsiaTheme="minorHAnsi" w:hAnsiTheme="minorHAnsi" w:cstheme="minorBidi"/>
              </w:rPr>
            </w:pPr>
            <w:r w:rsidRPr="00B836C9">
              <w:rPr>
                <w:rFonts w:asciiTheme="minorHAnsi" w:eastAsiaTheme="minorHAnsi" w:hAnsiTheme="minorHAnsi" w:cstheme="minorBidi"/>
              </w:rPr>
              <w:t>X</w:t>
            </w:r>
          </w:p>
        </w:tc>
        <w:tc>
          <w:tcPr>
            <w:tcW w:w="1577" w:type="dxa"/>
            <w:noWrap/>
            <w:hideMark/>
          </w:tcPr>
          <w:p w:rsidR="006A08AB" w:rsidRPr="00B836C9" w:rsidRDefault="006A08AB" w:rsidP="004446F5">
            <w:pPr>
              <w:jc w:val="center"/>
              <w:rPr>
                <w:rFonts w:asciiTheme="minorHAnsi" w:eastAsiaTheme="minorHAnsi" w:hAnsiTheme="minorHAnsi" w:cstheme="minorBidi"/>
              </w:rPr>
            </w:pPr>
          </w:p>
        </w:tc>
      </w:tr>
      <w:tr w:rsidR="006A08AB" w:rsidRPr="00B836C9" w:rsidTr="004446F5">
        <w:trPr>
          <w:trHeight w:val="575"/>
        </w:trPr>
        <w:tc>
          <w:tcPr>
            <w:tcW w:w="7960" w:type="dxa"/>
            <w:shd w:val="clear" w:color="auto" w:fill="A6A6A6" w:themeFill="background1" w:themeFillShade="A6"/>
            <w:hideMark/>
          </w:tcPr>
          <w:p w:rsidR="006A08AB" w:rsidRPr="00B836C9" w:rsidRDefault="006A08AB" w:rsidP="004446F5">
            <w:pPr>
              <w:rPr>
                <w:rFonts w:asciiTheme="minorHAnsi" w:eastAsiaTheme="minorHAnsi" w:hAnsiTheme="minorHAnsi" w:cstheme="minorBidi"/>
                <w:b/>
                <w:bCs/>
              </w:rPr>
            </w:pPr>
            <w:r w:rsidRPr="00B836C9">
              <w:rPr>
                <w:rFonts w:asciiTheme="minorHAnsi" w:eastAsiaTheme="minorHAnsi" w:hAnsiTheme="minorHAnsi" w:cstheme="minorBidi"/>
                <w:b/>
                <w:bCs/>
              </w:rPr>
              <w:t>Impaired Housing</w:t>
            </w:r>
          </w:p>
        </w:tc>
        <w:tc>
          <w:tcPr>
            <w:tcW w:w="1825" w:type="dxa"/>
            <w:shd w:val="clear" w:color="auto" w:fill="A6A6A6" w:themeFill="background1" w:themeFillShade="A6"/>
            <w:noWrap/>
            <w:hideMark/>
          </w:tcPr>
          <w:p w:rsidR="006A08AB" w:rsidRPr="00B836C9" w:rsidRDefault="006A08AB" w:rsidP="004446F5">
            <w:pPr>
              <w:jc w:val="center"/>
              <w:rPr>
                <w:rFonts w:asciiTheme="minorHAnsi" w:eastAsiaTheme="minorHAnsi" w:hAnsiTheme="minorHAnsi" w:cstheme="minorBidi"/>
              </w:rPr>
            </w:pPr>
          </w:p>
        </w:tc>
        <w:tc>
          <w:tcPr>
            <w:tcW w:w="1178" w:type="dxa"/>
            <w:shd w:val="clear" w:color="auto" w:fill="A6A6A6" w:themeFill="background1" w:themeFillShade="A6"/>
            <w:noWrap/>
            <w:hideMark/>
          </w:tcPr>
          <w:p w:rsidR="006A08AB" w:rsidRPr="00B836C9" w:rsidRDefault="006A08AB" w:rsidP="004446F5">
            <w:pPr>
              <w:jc w:val="center"/>
              <w:rPr>
                <w:rFonts w:asciiTheme="minorHAnsi" w:eastAsiaTheme="minorHAnsi" w:hAnsiTheme="minorHAnsi" w:cstheme="minorBidi"/>
              </w:rPr>
            </w:pPr>
          </w:p>
        </w:tc>
        <w:tc>
          <w:tcPr>
            <w:tcW w:w="1577" w:type="dxa"/>
            <w:shd w:val="clear" w:color="auto" w:fill="A6A6A6" w:themeFill="background1" w:themeFillShade="A6"/>
            <w:noWrap/>
            <w:hideMark/>
          </w:tcPr>
          <w:p w:rsidR="006A08AB" w:rsidRPr="00B836C9" w:rsidRDefault="006A08AB" w:rsidP="004446F5">
            <w:pPr>
              <w:jc w:val="center"/>
              <w:rPr>
                <w:rFonts w:asciiTheme="minorHAnsi" w:eastAsiaTheme="minorHAnsi" w:hAnsiTheme="minorHAnsi" w:cstheme="minorBidi"/>
              </w:rPr>
            </w:pPr>
          </w:p>
        </w:tc>
      </w:tr>
      <w:tr w:rsidR="006A08AB" w:rsidRPr="00B836C9" w:rsidTr="004446F5">
        <w:trPr>
          <w:trHeight w:val="360"/>
        </w:trPr>
        <w:tc>
          <w:tcPr>
            <w:tcW w:w="7960" w:type="dxa"/>
            <w:hideMark/>
          </w:tcPr>
          <w:p w:rsidR="006A08AB" w:rsidRPr="00B836C9" w:rsidRDefault="006A08AB" w:rsidP="004446F5">
            <w:pPr>
              <w:rPr>
                <w:rFonts w:asciiTheme="minorHAnsi" w:eastAsiaTheme="minorHAnsi" w:hAnsiTheme="minorHAnsi" w:cstheme="minorBidi"/>
              </w:rPr>
            </w:pPr>
            <w:r w:rsidRPr="00B836C9">
              <w:rPr>
                <w:rFonts w:asciiTheme="minorHAnsi" w:eastAsiaTheme="minorHAnsi" w:hAnsiTheme="minorHAnsi" w:cstheme="minorBidi"/>
              </w:rPr>
              <w:t>Adopt amnesty program for illegal second units prior to a certain date</w:t>
            </w:r>
          </w:p>
        </w:tc>
        <w:tc>
          <w:tcPr>
            <w:tcW w:w="1825" w:type="dxa"/>
            <w:noWrap/>
            <w:hideMark/>
          </w:tcPr>
          <w:p w:rsidR="006A08AB" w:rsidRPr="00B836C9" w:rsidRDefault="006A08AB" w:rsidP="004446F5">
            <w:pPr>
              <w:jc w:val="center"/>
              <w:rPr>
                <w:rFonts w:asciiTheme="minorHAnsi" w:eastAsiaTheme="minorHAnsi" w:hAnsiTheme="minorHAnsi" w:cstheme="minorBidi"/>
              </w:rPr>
            </w:pPr>
          </w:p>
        </w:tc>
        <w:tc>
          <w:tcPr>
            <w:tcW w:w="1178" w:type="dxa"/>
            <w:noWrap/>
            <w:hideMark/>
          </w:tcPr>
          <w:p w:rsidR="006A08AB" w:rsidRPr="00B836C9" w:rsidRDefault="006A08AB" w:rsidP="004446F5">
            <w:pPr>
              <w:jc w:val="center"/>
              <w:rPr>
                <w:rFonts w:asciiTheme="minorHAnsi" w:eastAsiaTheme="minorHAnsi" w:hAnsiTheme="minorHAnsi" w:cstheme="minorBidi"/>
              </w:rPr>
            </w:pPr>
          </w:p>
        </w:tc>
        <w:tc>
          <w:tcPr>
            <w:tcW w:w="1577" w:type="dxa"/>
            <w:noWrap/>
            <w:hideMark/>
          </w:tcPr>
          <w:p w:rsidR="006A08AB" w:rsidRPr="00B836C9" w:rsidRDefault="006A08AB" w:rsidP="004446F5">
            <w:pPr>
              <w:jc w:val="center"/>
              <w:rPr>
                <w:rFonts w:asciiTheme="minorHAnsi" w:eastAsiaTheme="minorHAnsi" w:hAnsiTheme="minorHAnsi" w:cstheme="minorBidi"/>
              </w:rPr>
            </w:pPr>
          </w:p>
        </w:tc>
      </w:tr>
      <w:tr w:rsidR="006A08AB" w:rsidRPr="00B836C9" w:rsidTr="004446F5">
        <w:trPr>
          <w:trHeight w:val="585"/>
        </w:trPr>
        <w:tc>
          <w:tcPr>
            <w:tcW w:w="7960" w:type="dxa"/>
            <w:shd w:val="clear" w:color="auto" w:fill="D9D9D9" w:themeFill="background1" w:themeFillShade="D9"/>
            <w:hideMark/>
          </w:tcPr>
          <w:p w:rsidR="006A08AB" w:rsidRPr="00B836C9" w:rsidRDefault="006A08AB" w:rsidP="004446F5">
            <w:pPr>
              <w:rPr>
                <w:rFonts w:asciiTheme="minorHAnsi" w:eastAsiaTheme="minorHAnsi" w:hAnsiTheme="minorHAnsi" w:cstheme="minorBidi"/>
              </w:rPr>
            </w:pPr>
            <w:r w:rsidRPr="00B836C9">
              <w:rPr>
                <w:rFonts w:asciiTheme="minorHAnsi" w:eastAsiaTheme="minorHAnsi" w:hAnsiTheme="minorHAnsi" w:cstheme="minorBidi"/>
              </w:rPr>
              <w:t>Adopt universal design standards for low cost housing (e.g., second units) to speed the permit process</w:t>
            </w:r>
          </w:p>
        </w:tc>
        <w:tc>
          <w:tcPr>
            <w:tcW w:w="1825" w:type="dxa"/>
            <w:shd w:val="clear" w:color="auto" w:fill="D9D9D9" w:themeFill="background1" w:themeFillShade="D9"/>
            <w:noWrap/>
            <w:hideMark/>
          </w:tcPr>
          <w:p w:rsidR="006A08AB" w:rsidRPr="00B836C9" w:rsidRDefault="006A08AB" w:rsidP="004446F5">
            <w:pPr>
              <w:jc w:val="center"/>
              <w:rPr>
                <w:rFonts w:asciiTheme="minorHAnsi" w:eastAsiaTheme="minorHAnsi" w:hAnsiTheme="minorHAnsi" w:cstheme="minorBidi"/>
              </w:rPr>
            </w:pPr>
            <w:r w:rsidRPr="00B836C9">
              <w:rPr>
                <w:rFonts w:asciiTheme="minorHAnsi" w:eastAsiaTheme="minorHAnsi" w:hAnsiTheme="minorHAnsi" w:cstheme="minorBidi"/>
              </w:rPr>
              <w:t>X</w:t>
            </w:r>
          </w:p>
        </w:tc>
        <w:tc>
          <w:tcPr>
            <w:tcW w:w="1178" w:type="dxa"/>
            <w:shd w:val="clear" w:color="auto" w:fill="D9D9D9" w:themeFill="background1" w:themeFillShade="D9"/>
            <w:noWrap/>
            <w:hideMark/>
          </w:tcPr>
          <w:p w:rsidR="006A08AB" w:rsidRPr="00B836C9" w:rsidRDefault="006A08AB" w:rsidP="004446F5">
            <w:pPr>
              <w:jc w:val="center"/>
              <w:rPr>
                <w:rFonts w:asciiTheme="minorHAnsi" w:eastAsiaTheme="minorHAnsi" w:hAnsiTheme="minorHAnsi" w:cstheme="minorBidi"/>
              </w:rPr>
            </w:pPr>
          </w:p>
        </w:tc>
        <w:tc>
          <w:tcPr>
            <w:tcW w:w="1577" w:type="dxa"/>
            <w:shd w:val="clear" w:color="auto" w:fill="D9D9D9" w:themeFill="background1" w:themeFillShade="D9"/>
            <w:noWrap/>
            <w:hideMark/>
          </w:tcPr>
          <w:p w:rsidR="006A08AB" w:rsidRPr="00B836C9" w:rsidRDefault="006A08AB" w:rsidP="004446F5">
            <w:pPr>
              <w:jc w:val="center"/>
              <w:rPr>
                <w:rFonts w:asciiTheme="minorHAnsi" w:eastAsiaTheme="minorHAnsi" w:hAnsiTheme="minorHAnsi" w:cstheme="minorBidi"/>
              </w:rPr>
            </w:pPr>
          </w:p>
        </w:tc>
      </w:tr>
      <w:tr w:rsidR="006A08AB" w:rsidRPr="00B836C9" w:rsidTr="004446F5">
        <w:trPr>
          <w:trHeight w:val="300"/>
        </w:trPr>
        <w:tc>
          <w:tcPr>
            <w:tcW w:w="7960" w:type="dxa"/>
            <w:hideMark/>
          </w:tcPr>
          <w:p w:rsidR="006A08AB" w:rsidRPr="00B836C9" w:rsidRDefault="006A08AB" w:rsidP="004446F5">
            <w:pPr>
              <w:rPr>
                <w:rFonts w:asciiTheme="minorHAnsi" w:eastAsiaTheme="minorHAnsi" w:hAnsiTheme="minorHAnsi" w:cstheme="minorBidi"/>
              </w:rPr>
            </w:pPr>
            <w:r w:rsidRPr="00B836C9">
              <w:rPr>
                <w:rFonts w:asciiTheme="minorHAnsi" w:eastAsiaTheme="minorHAnsi" w:hAnsiTheme="minorHAnsi" w:cstheme="minorBidi"/>
              </w:rPr>
              <w:t>Protect mobilehome residents from displacement &amp; unreasonable rent increases</w:t>
            </w:r>
          </w:p>
        </w:tc>
        <w:tc>
          <w:tcPr>
            <w:tcW w:w="1825" w:type="dxa"/>
            <w:noWrap/>
            <w:hideMark/>
          </w:tcPr>
          <w:p w:rsidR="006A08AB" w:rsidRPr="00B836C9" w:rsidRDefault="006A08AB" w:rsidP="004446F5">
            <w:pPr>
              <w:jc w:val="center"/>
              <w:rPr>
                <w:rFonts w:asciiTheme="minorHAnsi" w:eastAsiaTheme="minorHAnsi" w:hAnsiTheme="minorHAnsi" w:cstheme="minorBidi"/>
              </w:rPr>
            </w:pPr>
          </w:p>
        </w:tc>
        <w:tc>
          <w:tcPr>
            <w:tcW w:w="1178" w:type="dxa"/>
            <w:noWrap/>
            <w:hideMark/>
          </w:tcPr>
          <w:p w:rsidR="006A08AB" w:rsidRPr="00B836C9" w:rsidRDefault="006A08AB" w:rsidP="004446F5">
            <w:pPr>
              <w:jc w:val="center"/>
              <w:rPr>
                <w:rFonts w:asciiTheme="minorHAnsi" w:eastAsiaTheme="minorHAnsi" w:hAnsiTheme="minorHAnsi" w:cstheme="minorBidi"/>
              </w:rPr>
            </w:pPr>
            <w:r w:rsidRPr="00B836C9">
              <w:rPr>
                <w:rFonts w:asciiTheme="minorHAnsi" w:eastAsiaTheme="minorHAnsi" w:hAnsiTheme="minorHAnsi" w:cstheme="minorBidi"/>
              </w:rPr>
              <w:t>X</w:t>
            </w:r>
          </w:p>
        </w:tc>
        <w:tc>
          <w:tcPr>
            <w:tcW w:w="1577" w:type="dxa"/>
            <w:noWrap/>
            <w:hideMark/>
          </w:tcPr>
          <w:p w:rsidR="006A08AB" w:rsidRPr="00B836C9" w:rsidRDefault="006A08AB" w:rsidP="004446F5">
            <w:pPr>
              <w:jc w:val="center"/>
              <w:rPr>
                <w:rFonts w:asciiTheme="minorHAnsi" w:eastAsiaTheme="minorHAnsi" w:hAnsiTheme="minorHAnsi" w:cstheme="minorBidi"/>
              </w:rPr>
            </w:pPr>
            <w:r w:rsidRPr="00B836C9">
              <w:rPr>
                <w:rFonts w:asciiTheme="minorHAnsi" w:eastAsiaTheme="minorHAnsi" w:hAnsiTheme="minorHAnsi" w:cstheme="minorBidi"/>
              </w:rPr>
              <w:t>X</w:t>
            </w:r>
          </w:p>
        </w:tc>
      </w:tr>
      <w:tr w:rsidR="006A08AB" w:rsidRPr="00B836C9" w:rsidTr="004446F5">
        <w:trPr>
          <w:trHeight w:val="300"/>
        </w:trPr>
        <w:tc>
          <w:tcPr>
            <w:tcW w:w="7960" w:type="dxa"/>
            <w:shd w:val="clear" w:color="auto" w:fill="D9D9D9" w:themeFill="background1" w:themeFillShade="D9"/>
            <w:hideMark/>
          </w:tcPr>
          <w:p w:rsidR="006A08AB" w:rsidRPr="00B836C9" w:rsidRDefault="006A08AB" w:rsidP="004446F5">
            <w:pPr>
              <w:rPr>
                <w:rFonts w:asciiTheme="minorHAnsi" w:eastAsiaTheme="minorHAnsi" w:hAnsiTheme="minorHAnsi" w:cstheme="minorBidi"/>
              </w:rPr>
            </w:pPr>
            <w:r w:rsidRPr="00B836C9">
              <w:rPr>
                <w:rFonts w:asciiTheme="minorHAnsi" w:eastAsiaTheme="minorHAnsi" w:hAnsiTheme="minorHAnsi" w:cstheme="minorBidi"/>
              </w:rPr>
              <w:t>Get mobile homes recognized as affordable housing stock (with State)</w:t>
            </w:r>
          </w:p>
        </w:tc>
        <w:tc>
          <w:tcPr>
            <w:tcW w:w="1825" w:type="dxa"/>
            <w:shd w:val="clear" w:color="auto" w:fill="D9D9D9" w:themeFill="background1" w:themeFillShade="D9"/>
            <w:noWrap/>
            <w:hideMark/>
          </w:tcPr>
          <w:p w:rsidR="006A08AB" w:rsidRPr="00B836C9" w:rsidRDefault="006A08AB" w:rsidP="004446F5">
            <w:pPr>
              <w:jc w:val="center"/>
              <w:rPr>
                <w:rFonts w:asciiTheme="minorHAnsi" w:eastAsiaTheme="minorHAnsi" w:hAnsiTheme="minorHAnsi" w:cstheme="minorBidi"/>
              </w:rPr>
            </w:pPr>
          </w:p>
        </w:tc>
        <w:tc>
          <w:tcPr>
            <w:tcW w:w="1178" w:type="dxa"/>
            <w:shd w:val="clear" w:color="auto" w:fill="D9D9D9" w:themeFill="background1" w:themeFillShade="D9"/>
            <w:noWrap/>
            <w:hideMark/>
          </w:tcPr>
          <w:p w:rsidR="006A08AB" w:rsidRPr="00B836C9" w:rsidRDefault="006A08AB" w:rsidP="004446F5">
            <w:pPr>
              <w:jc w:val="center"/>
              <w:rPr>
                <w:rFonts w:asciiTheme="minorHAnsi" w:eastAsiaTheme="minorHAnsi" w:hAnsiTheme="minorHAnsi" w:cstheme="minorBidi"/>
              </w:rPr>
            </w:pPr>
          </w:p>
        </w:tc>
        <w:tc>
          <w:tcPr>
            <w:tcW w:w="1577" w:type="dxa"/>
            <w:shd w:val="clear" w:color="auto" w:fill="D9D9D9" w:themeFill="background1" w:themeFillShade="D9"/>
            <w:noWrap/>
            <w:hideMark/>
          </w:tcPr>
          <w:p w:rsidR="006A08AB" w:rsidRPr="00B836C9" w:rsidRDefault="006A08AB" w:rsidP="004446F5">
            <w:pPr>
              <w:jc w:val="center"/>
              <w:rPr>
                <w:rFonts w:asciiTheme="minorHAnsi" w:eastAsiaTheme="minorHAnsi" w:hAnsiTheme="minorHAnsi" w:cstheme="minorBidi"/>
              </w:rPr>
            </w:pPr>
          </w:p>
        </w:tc>
      </w:tr>
      <w:tr w:rsidR="006A08AB" w:rsidRPr="00B836C9" w:rsidTr="004446F5">
        <w:trPr>
          <w:trHeight w:val="600"/>
        </w:trPr>
        <w:tc>
          <w:tcPr>
            <w:tcW w:w="7960" w:type="dxa"/>
            <w:hideMark/>
          </w:tcPr>
          <w:p w:rsidR="006A08AB" w:rsidRPr="00B836C9" w:rsidRDefault="006A08AB" w:rsidP="004446F5">
            <w:pPr>
              <w:rPr>
                <w:rFonts w:asciiTheme="minorHAnsi" w:eastAsiaTheme="minorHAnsi" w:hAnsiTheme="minorHAnsi" w:cstheme="minorBidi"/>
              </w:rPr>
            </w:pPr>
            <w:r w:rsidRPr="00B836C9">
              <w:rPr>
                <w:rFonts w:asciiTheme="minorHAnsi" w:eastAsiaTheme="minorHAnsi" w:hAnsiTheme="minorHAnsi" w:cstheme="minorBidi"/>
              </w:rPr>
              <w:t>Adopt residential and mixed use design guidelines to help define the expectations and speed up the process</w:t>
            </w:r>
          </w:p>
        </w:tc>
        <w:tc>
          <w:tcPr>
            <w:tcW w:w="1825" w:type="dxa"/>
            <w:noWrap/>
            <w:hideMark/>
          </w:tcPr>
          <w:p w:rsidR="006A08AB" w:rsidRPr="00B836C9" w:rsidRDefault="006A08AB" w:rsidP="004446F5">
            <w:pPr>
              <w:jc w:val="center"/>
              <w:rPr>
                <w:rFonts w:asciiTheme="minorHAnsi" w:eastAsiaTheme="minorHAnsi" w:hAnsiTheme="minorHAnsi" w:cstheme="minorBidi"/>
              </w:rPr>
            </w:pPr>
          </w:p>
        </w:tc>
        <w:tc>
          <w:tcPr>
            <w:tcW w:w="1178" w:type="dxa"/>
            <w:noWrap/>
            <w:hideMark/>
          </w:tcPr>
          <w:p w:rsidR="006A08AB" w:rsidRPr="00B836C9" w:rsidRDefault="006A08AB" w:rsidP="004446F5">
            <w:pPr>
              <w:jc w:val="center"/>
              <w:rPr>
                <w:rFonts w:asciiTheme="minorHAnsi" w:eastAsiaTheme="minorHAnsi" w:hAnsiTheme="minorHAnsi" w:cstheme="minorBidi"/>
              </w:rPr>
            </w:pPr>
            <w:r w:rsidRPr="00B836C9">
              <w:rPr>
                <w:rFonts w:asciiTheme="minorHAnsi" w:eastAsiaTheme="minorHAnsi" w:hAnsiTheme="minorHAnsi" w:cstheme="minorBidi"/>
              </w:rPr>
              <w:t>X</w:t>
            </w:r>
          </w:p>
        </w:tc>
        <w:tc>
          <w:tcPr>
            <w:tcW w:w="1577" w:type="dxa"/>
            <w:noWrap/>
            <w:hideMark/>
          </w:tcPr>
          <w:p w:rsidR="006A08AB" w:rsidRPr="00B836C9" w:rsidRDefault="006A08AB" w:rsidP="004446F5">
            <w:pPr>
              <w:jc w:val="center"/>
              <w:rPr>
                <w:rFonts w:asciiTheme="minorHAnsi" w:eastAsiaTheme="minorHAnsi" w:hAnsiTheme="minorHAnsi" w:cstheme="minorBidi"/>
              </w:rPr>
            </w:pPr>
            <w:r w:rsidRPr="00B836C9">
              <w:rPr>
                <w:rFonts w:asciiTheme="minorHAnsi" w:eastAsiaTheme="minorHAnsi" w:hAnsiTheme="minorHAnsi" w:cstheme="minorBidi"/>
              </w:rPr>
              <w:t>X</w:t>
            </w:r>
          </w:p>
        </w:tc>
      </w:tr>
      <w:tr w:rsidR="006A08AB" w:rsidRPr="00B836C9" w:rsidTr="004446F5">
        <w:trPr>
          <w:trHeight w:val="602"/>
        </w:trPr>
        <w:tc>
          <w:tcPr>
            <w:tcW w:w="7960" w:type="dxa"/>
            <w:shd w:val="clear" w:color="auto" w:fill="A6A6A6" w:themeFill="background1" w:themeFillShade="A6"/>
            <w:hideMark/>
          </w:tcPr>
          <w:p w:rsidR="006A08AB" w:rsidRPr="00B836C9" w:rsidRDefault="006A08AB" w:rsidP="004446F5">
            <w:pPr>
              <w:rPr>
                <w:rFonts w:asciiTheme="minorHAnsi" w:eastAsiaTheme="minorHAnsi" w:hAnsiTheme="minorHAnsi" w:cstheme="minorBidi"/>
                <w:b/>
                <w:bCs/>
              </w:rPr>
            </w:pPr>
            <w:r w:rsidRPr="00B836C9">
              <w:rPr>
                <w:rFonts w:asciiTheme="minorHAnsi" w:eastAsiaTheme="minorHAnsi" w:hAnsiTheme="minorHAnsi" w:cstheme="minorBidi"/>
                <w:b/>
                <w:bCs/>
              </w:rPr>
              <w:t>Preservation</w:t>
            </w:r>
          </w:p>
        </w:tc>
        <w:tc>
          <w:tcPr>
            <w:tcW w:w="1825" w:type="dxa"/>
            <w:shd w:val="clear" w:color="auto" w:fill="A6A6A6" w:themeFill="background1" w:themeFillShade="A6"/>
            <w:noWrap/>
            <w:hideMark/>
          </w:tcPr>
          <w:p w:rsidR="006A08AB" w:rsidRPr="00B836C9" w:rsidRDefault="006A08AB" w:rsidP="004446F5">
            <w:pPr>
              <w:jc w:val="center"/>
              <w:rPr>
                <w:rFonts w:asciiTheme="minorHAnsi" w:eastAsiaTheme="minorHAnsi" w:hAnsiTheme="minorHAnsi" w:cstheme="minorBidi"/>
              </w:rPr>
            </w:pPr>
          </w:p>
        </w:tc>
        <w:tc>
          <w:tcPr>
            <w:tcW w:w="1178" w:type="dxa"/>
            <w:shd w:val="clear" w:color="auto" w:fill="A6A6A6" w:themeFill="background1" w:themeFillShade="A6"/>
            <w:noWrap/>
            <w:hideMark/>
          </w:tcPr>
          <w:p w:rsidR="006A08AB" w:rsidRPr="00B836C9" w:rsidRDefault="006A08AB" w:rsidP="004446F5">
            <w:pPr>
              <w:jc w:val="center"/>
              <w:rPr>
                <w:rFonts w:asciiTheme="minorHAnsi" w:eastAsiaTheme="minorHAnsi" w:hAnsiTheme="minorHAnsi" w:cstheme="minorBidi"/>
              </w:rPr>
            </w:pPr>
          </w:p>
        </w:tc>
        <w:tc>
          <w:tcPr>
            <w:tcW w:w="1577" w:type="dxa"/>
            <w:shd w:val="clear" w:color="auto" w:fill="A6A6A6" w:themeFill="background1" w:themeFillShade="A6"/>
            <w:noWrap/>
            <w:hideMark/>
          </w:tcPr>
          <w:p w:rsidR="006A08AB" w:rsidRPr="00B836C9" w:rsidRDefault="006A08AB" w:rsidP="004446F5">
            <w:pPr>
              <w:jc w:val="center"/>
              <w:rPr>
                <w:rFonts w:asciiTheme="minorHAnsi" w:eastAsiaTheme="minorHAnsi" w:hAnsiTheme="minorHAnsi" w:cstheme="minorBidi"/>
              </w:rPr>
            </w:pPr>
          </w:p>
        </w:tc>
      </w:tr>
      <w:tr w:rsidR="006A08AB" w:rsidRPr="00B836C9" w:rsidTr="004446F5">
        <w:trPr>
          <w:trHeight w:val="300"/>
        </w:trPr>
        <w:tc>
          <w:tcPr>
            <w:tcW w:w="7960" w:type="dxa"/>
            <w:hideMark/>
          </w:tcPr>
          <w:p w:rsidR="006A08AB" w:rsidRPr="00B836C9" w:rsidRDefault="006A08AB" w:rsidP="004446F5">
            <w:pPr>
              <w:rPr>
                <w:rFonts w:asciiTheme="minorHAnsi" w:eastAsiaTheme="minorHAnsi" w:hAnsiTheme="minorHAnsi" w:cstheme="minorBidi"/>
              </w:rPr>
            </w:pPr>
            <w:r w:rsidRPr="00B836C9">
              <w:rPr>
                <w:rFonts w:asciiTheme="minorHAnsi" w:eastAsiaTheme="minorHAnsi" w:hAnsiTheme="minorHAnsi" w:cstheme="minorBidi"/>
              </w:rPr>
              <w:t>Discourage down zoning without mitigating loss of multifamily housing sites</w:t>
            </w:r>
          </w:p>
        </w:tc>
        <w:tc>
          <w:tcPr>
            <w:tcW w:w="1825" w:type="dxa"/>
            <w:noWrap/>
            <w:hideMark/>
          </w:tcPr>
          <w:p w:rsidR="006A08AB" w:rsidRPr="00B836C9" w:rsidRDefault="006A08AB" w:rsidP="004446F5">
            <w:pPr>
              <w:jc w:val="center"/>
              <w:rPr>
                <w:rFonts w:asciiTheme="minorHAnsi" w:eastAsiaTheme="minorHAnsi" w:hAnsiTheme="minorHAnsi" w:cstheme="minorBidi"/>
              </w:rPr>
            </w:pPr>
          </w:p>
        </w:tc>
        <w:tc>
          <w:tcPr>
            <w:tcW w:w="1178" w:type="dxa"/>
            <w:noWrap/>
            <w:hideMark/>
          </w:tcPr>
          <w:p w:rsidR="006A08AB" w:rsidRPr="00B836C9" w:rsidRDefault="006A08AB" w:rsidP="004446F5">
            <w:pPr>
              <w:jc w:val="center"/>
              <w:rPr>
                <w:rFonts w:asciiTheme="minorHAnsi" w:eastAsiaTheme="minorHAnsi" w:hAnsiTheme="minorHAnsi" w:cstheme="minorBidi"/>
              </w:rPr>
            </w:pPr>
            <w:r w:rsidRPr="00B836C9">
              <w:rPr>
                <w:rFonts w:asciiTheme="minorHAnsi" w:eastAsiaTheme="minorHAnsi" w:hAnsiTheme="minorHAnsi" w:cstheme="minorBidi"/>
              </w:rPr>
              <w:t>X</w:t>
            </w:r>
          </w:p>
        </w:tc>
        <w:tc>
          <w:tcPr>
            <w:tcW w:w="1577" w:type="dxa"/>
            <w:noWrap/>
            <w:hideMark/>
          </w:tcPr>
          <w:p w:rsidR="006A08AB" w:rsidRPr="00B836C9" w:rsidRDefault="006A08AB" w:rsidP="004446F5">
            <w:pPr>
              <w:jc w:val="center"/>
              <w:rPr>
                <w:rFonts w:asciiTheme="minorHAnsi" w:eastAsiaTheme="minorHAnsi" w:hAnsiTheme="minorHAnsi" w:cstheme="minorBidi"/>
              </w:rPr>
            </w:pPr>
            <w:r w:rsidRPr="00B836C9">
              <w:rPr>
                <w:rFonts w:asciiTheme="minorHAnsi" w:eastAsiaTheme="minorHAnsi" w:hAnsiTheme="minorHAnsi" w:cstheme="minorBidi"/>
              </w:rPr>
              <w:t>X</w:t>
            </w:r>
          </w:p>
        </w:tc>
      </w:tr>
      <w:tr w:rsidR="006A08AB" w:rsidRPr="00B836C9" w:rsidTr="004446F5">
        <w:trPr>
          <w:trHeight w:val="300"/>
        </w:trPr>
        <w:tc>
          <w:tcPr>
            <w:tcW w:w="7960" w:type="dxa"/>
            <w:shd w:val="clear" w:color="auto" w:fill="D9D9D9" w:themeFill="background1" w:themeFillShade="D9"/>
            <w:hideMark/>
          </w:tcPr>
          <w:p w:rsidR="006A08AB" w:rsidRPr="00B836C9" w:rsidRDefault="006A08AB" w:rsidP="004446F5">
            <w:pPr>
              <w:rPr>
                <w:rFonts w:asciiTheme="minorHAnsi" w:eastAsiaTheme="minorHAnsi" w:hAnsiTheme="minorHAnsi" w:cstheme="minorBidi"/>
              </w:rPr>
            </w:pPr>
            <w:r w:rsidRPr="00B836C9">
              <w:rPr>
                <w:rFonts w:asciiTheme="minorHAnsi" w:eastAsiaTheme="minorHAnsi" w:hAnsiTheme="minorHAnsi" w:cstheme="minorBidi"/>
              </w:rPr>
              <w:t>Preserve apartments by limiting their conversion to condominiums</w:t>
            </w:r>
          </w:p>
        </w:tc>
        <w:tc>
          <w:tcPr>
            <w:tcW w:w="1825" w:type="dxa"/>
            <w:shd w:val="clear" w:color="auto" w:fill="D9D9D9" w:themeFill="background1" w:themeFillShade="D9"/>
            <w:noWrap/>
            <w:hideMark/>
          </w:tcPr>
          <w:p w:rsidR="006A08AB" w:rsidRPr="00B836C9" w:rsidRDefault="006A08AB" w:rsidP="004446F5">
            <w:pPr>
              <w:jc w:val="center"/>
              <w:rPr>
                <w:rFonts w:asciiTheme="minorHAnsi" w:eastAsiaTheme="minorHAnsi" w:hAnsiTheme="minorHAnsi" w:cstheme="minorBidi"/>
              </w:rPr>
            </w:pPr>
          </w:p>
        </w:tc>
        <w:tc>
          <w:tcPr>
            <w:tcW w:w="1178" w:type="dxa"/>
            <w:shd w:val="clear" w:color="auto" w:fill="D9D9D9" w:themeFill="background1" w:themeFillShade="D9"/>
            <w:noWrap/>
            <w:hideMark/>
          </w:tcPr>
          <w:p w:rsidR="006A08AB" w:rsidRPr="00B836C9" w:rsidRDefault="006A08AB" w:rsidP="004446F5">
            <w:pPr>
              <w:jc w:val="center"/>
              <w:rPr>
                <w:rFonts w:asciiTheme="minorHAnsi" w:eastAsiaTheme="minorHAnsi" w:hAnsiTheme="minorHAnsi" w:cstheme="minorBidi"/>
              </w:rPr>
            </w:pPr>
            <w:r w:rsidRPr="00B836C9">
              <w:rPr>
                <w:rFonts w:asciiTheme="minorHAnsi" w:eastAsiaTheme="minorHAnsi" w:hAnsiTheme="minorHAnsi" w:cstheme="minorBidi"/>
              </w:rPr>
              <w:t>X</w:t>
            </w:r>
          </w:p>
        </w:tc>
        <w:tc>
          <w:tcPr>
            <w:tcW w:w="1577" w:type="dxa"/>
            <w:shd w:val="clear" w:color="auto" w:fill="D9D9D9" w:themeFill="background1" w:themeFillShade="D9"/>
            <w:noWrap/>
            <w:hideMark/>
          </w:tcPr>
          <w:p w:rsidR="006A08AB" w:rsidRPr="00B836C9" w:rsidRDefault="006A08AB" w:rsidP="004446F5">
            <w:pPr>
              <w:jc w:val="center"/>
              <w:rPr>
                <w:rFonts w:asciiTheme="minorHAnsi" w:eastAsiaTheme="minorHAnsi" w:hAnsiTheme="minorHAnsi" w:cstheme="minorBidi"/>
              </w:rPr>
            </w:pPr>
          </w:p>
        </w:tc>
      </w:tr>
      <w:tr w:rsidR="006A08AB" w:rsidRPr="00B836C9" w:rsidTr="004446F5">
        <w:trPr>
          <w:trHeight w:val="620"/>
        </w:trPr>
        <w:tc>
          <w:tcPr>
            <w:tcW w:w="7960" w:type="dxa"/>
            <w:shd w:val="clear" w:color="auto" w:fill="A6A6A6" w:themeFill="background1" w:themeFillShade="A6"/>
            <w:hideMark/>
          </w:tcPr>
          <w:p w:rsidR="006A08AB" w:rsidRPr="00B836C9" w:rsidRDefault="006A08AB" w:rsidP="004446F5">
            <w:pPr>
              <w:rPr>
                <w:rFonts w:asciiTheme="minorHAnsi" w:eastAsiaTheme="minorHAnsi" w:hAnsiTheme="minorHAnsi" w:cstheme="minorBidi"/>
                <w:b/>
                <w:bCs/>
              </w:rPr>
            </w:pPr>
            <w:r w:rsidRPr="00B836C9">
              <w:rPr>
                <w:rFonts w:asciiTheme="minorHAnsi" w:eastAsiaTheme="minorHAnsi" w:hAnsiTheme="minorHAnsi" w:cstheme="minorBidi"/>
                <w:b/>
                <w:bCs/>
              </w:rPr>
              <w:t>Measures Ongoing or Complete</w:t>
            </w:r>
          </w:p>
        </w:tc>
        <w:tc>
          <w:tcPr>
            <w:tcW w:w="1825" w:type="dxa"/>
            <w:shd w:val="clear" w:color="auto" w:fill="A6A6A6" w:themeFill="background1" w:themeFillShade="A6"/>
            <w:noWrap/>
            <w:hideMark/>
          </w:tcPr>
          <w:p w:rsidR="006A08AB" w:rsidRPr="00B836C9" w:rsidRDefault="006A08AB" w:rsidP="004446F5">
            <w:pPr>
              <w:jc w:val="center"/>
              <w:rPr>
                <w:rFonts w:asciiTheme="minorHAnsi" w:eastAsiaTheme="minorHAnsi" w:hAnsiTheme="minorHAnsi" w:cstheme="minorBidi"/>
              </w:rPr>
            </w:pPr>
          </w:p>
        </w:tc>
        <w:tc>
          <w:tcPr>
            <w:tcW w:w="1178" w:type="dxa"/>
            <w:shd w:val="clear" w:color="auto" w:fill="A6A6A6" w:themeFill="background1" w:themeFillShade="A6"/>
            <w:noWrap/>
            <w:hideMark/>
          </w:tcPr>
          <w:p w:rsidR="006A08AB" w:rsidRPr="00B836C9" w:rsidRDefault="006A08AB" w:rsidP="004446F5">
            <w:pPr>
              <w:jc w:val="center"/>
              <w:rPr>
                <w:rFonts w:asciiTheme="minorHAnsi" w:eastAsiaTheme="minorHAnsi" w:hAnsiTheme="minorHAnsi" w:cstheme="minorBidi"/>
              </w:rPr>
            </w:pPr>
          </w:p>
        </w:tc>
        <w:tc>
          <w:tcPr>
            <w:tcW w:w="1577" w:type="dxa"/>
            <w:shd w:val="clear" w:color="auto" w:fill="A6A6A6" w:themeFill="background1" w:themeFillShade="A6"/>
            <w:noWrap/>
            <w:hideMark/>
          </w:tcPr>
          <w:p w:rsidR="006A08AB" w:rsidRPr="00B836C9" w:rsidRDefault="006A08AB" w:rsidP="004446F5">
            <w:pPr>
              <w:jc w:val="center"/>
              <w:rPr>
                <w:rFonts w:asciiTheme="minorHAnsi" w:eastAsiaTheme="minorHAnsi" w:hAnsiTheme="minorHAnsi" w:cstheme="minorBidi"/>
              </w:rPr>
            </w:pPr>
          </w:p>
        </w:tc>
      </w:tr>
      <w:tr w:rsidR="006A08AB" w:rsidRPr="00B836C9" w:rsidTr="004446F5">
        <w:trPr>
          <w:trHeight w:val="300"/>
        </w:trPr>
        <w:tc>
          <w:tcPr>
            <w:tcW w:w="7960" w:type="dxa"/>
            <w:shd w:val="clear" w:color="auto" w:fill="D9D9D9" w:themeFill="background1" w:themeFillShade="D9"/>
            <w:hideMark/>
          </w:tcPr>
          <w:p w:rsidR="006A08AB" w:rsidRPr="00B836C9" w:rsidRDefault="006A08AB" w:rsidP="004446F5">
            <w:pPr>
              <w:rPr>
                <w:rFonts w:asciiTheme="minorHAnsi" w:eastAsiaTheme="minorHAnsi" w:hAnsiTheme="minorHAnsi" w:cstheme="minorBidi"/>
              </w:rPr>
            </w:pPr>
            <w:r w:rsidRPr="00B836C9">
              <w:rPr>
                <w:rFonts w:asciiTheme="minorHAnsi" w:eastAsiaTheme="minorHAnsi" w:hAnsiTheme="minorHAnsi" w:cstheme="minorBidi"/>
              </w:rPr>
              <w:t>Maintain a list of available vacant or underutilized housing sites</w:t>
            </w:r>
          </w:p>
        </w:tc>
        <w:tc>
          <w:tcPr>
            <w:tcW w:w="1825" w:type="dxa"/>
            <w:shd w:val="clear" w:color="auto" w:fill="D9D9D9" w:themeFill="background1" w:themeFillShade="D9"/>
            <w:noWrap/>
            <w:hideMark/>
          </w:tcPr>
          <w:p w:rsidR="006A08AB" w:rsidRPr="00B836C9" w:rsidRDefault="006A08AB" w:rsidP="004446F5">
            <w:pPr>
              <w:jc w:val="center"/>
              <w:rPr>
                <w:rFonts w:asciiTheme="minorHAnsi" w:eastAsiaTheme="minorHAnsi" w:hAnsiTheme="minorHAnsi" w:cstheme="minorBidi"/>
              </w:rPr>
            </w:pPr>
            <w:r w:rsidRPr="00B836C9">
              <w:rPr>
                <w:rFonts w:asciiTheme="minorHAnsi" w:eastAsiaTheme="minorHAnsi" w:hAnsiTheme="minorHAnsi" w:cstheme="minorBidi"/>
              </w:rPr>
              <w:t>X</w:t>
            </w:r>
          </w:p>
        </w:tc>
        <w:tc>
          <w:tcPr>
            <w:tcW w:w="1178" w:type="dxa"/>
            <w:shd w:val="clear" w:color="auto" w:fill="D9D9D9" w:themeFill="background1" w:themeFillShade="D9"/>
            <w:noWrap/>
            <w:hideMark/>
          </w:tcPr>
          <w:p w:rsidR="006A08AB" w:rsidRPr="00B836C9" w:rsidRDefault="006A08AB" w:rsidP="004446F5">
            <w:pPr>
              <w:jc w:val="center"/>
              <w:rPr>
                <w:rFonts w:asciiTheme="minorHAnsi" w:eastAsiaTheme="minorHAnsi" w:hAnsiTheme="minorHAnsi" w:cstheme="minorBidi"/>
              </w:rPr>
            </w:pPr>
            <w:r w:rsidRPr="00B836C9">
              <w:rPr>
                <w:rFonts w:asciiTheme="minorHAnsi" w:eastAsiaTheme="minorHAnsi" w:hAnsiTheme="minorHAnsi" w:cstheme="minorBidi"/>
              </w:rPr>
              <w:t>X</w:t>
            </w:r>
          </w:p>
        </w:tc>
        <w:tc>
          <w:tcPr>
            <w:tcW w:w="1577" w:type="dxa"/>
            <w:shd w:val="clear" w:color="auto" w:fill="D9D9D9" w:themeFill="background1" w:themeFillShade="D9"/>
            <w:noWrap/>
            <w:hideMark/>
          </w:tcPr>
          <w:p w:rsidR="006A08AB" w:rsidRPr="00B836C9" w:rsidRDefault="006A08AB" w:rsidP="004446F5">
            <w:pPr>
              <w:jc w:val="center"/>
              <w:rPr>
                <w:rFonts w:asciiTheme="minorHAnsi" w:eastAsiaTheme="minorHAnsi" w:hAnsiTheme="minorHAnsi" w:cstheme="minorBidi"/>
              </w:rPr>
            </w:pPr>
            <w:r w:rsidRPr="00B836C9">
              <w:rPr>
                <w:rFonts w:asciiTheme="minorHAnsi" w:eastAsiaTheme="minorHAnsi" w:hAnsiTheme="minorHAnsi" w:cstheme="minorBidi"/>
              </w:rPr>
              <w:t>X</w:t>
            </w:r>
          </w:p>
        </w:tc>
      </w:tr>
      <w:tr w:rsidR="006A08AB" w:rsidRPr="00B836C9" w:rsidTr="004446F5">
        <w:trPr>
          <w:trHeight w:val="300"/>
        </w:trPr>
        <w:tc>
          <w:tcPr>
            <w:tcW w:w="7960" w:type="dxa"/>
            <w:shd w:val="clear" w:color="auto" w:fill="D9D9D9" w:themeFill="background1" w:themeFillShade="D9"/>
            <w:hideMark/>
          </w:tcPr>
          <w:p w:rsidR="006A08AB" w:rsidRPr="00B836C9" w:rsidRDefault="006A08AB" w:rsidP="004446F5">
            <w:pPr>
              <w:rPr>
                <w:rFonts w:asciiTheme="minorHAnsi" w:eastAsiaTheme="minorHAnsi" w:hAnsiTheme="minorHAnsi" w:cstheme="minorBidi"/>
              </w:rPr>
            </w:pPr>
            <w:r w:rsidRPr="00B836C9">
              <w:rPr>
                <w:rFonts w:asciiTheme="minorHAnsi" w:eastAsiaTheme="minorHAnsi" w:hAnsiTheme="minorHAnsi" w:cstheme="minorBidi"/>
              </w:rPr>
              <w:t>Sell City/County owned land for affordable housing to benefit affordable housing</w:t>
            </w:r>
          </w:p>
        </w:tc>
        <w:tc>
          <w:tcPr>
            <w:tcW w:w="1825" w:type="dxa"/>
            <w:shd w:val="clear" w:color="auto" w:fill="D9D9D9" w:themeFill="background1" w:themeFillShade="D9"/>
            <w:noWrap/>
            <w:hideMark/>
          </w:tcPr>
          <w:p w:rsidR="006A08AB" w:rsidRPr="00B836C9" w:rsidRDefault="006A08AB" w:rsidP="004446F5">
            <w:pPr>
              <w:jc w:val="center"/>
              <w:rPr>
                <w:rFonts w:asciiTheme="minorHAnsi" w:eastAsiaTheme="minorHAnsi" w:hAnsiTheme="minorHAnsi" w:cstheme="minorBidi"/>
              </w:rPr>
            </w:pPr>
            <w:r w:rsidRPr="00B836C9">
              <w:rPr>
                <w:rFonts w:asciiTheme="minorHAnsi" w:eastAsiaTheme="minorHAnsi" w:hAnsiTheme="minorHAnsi" w:cstheme="minorBidi"/>
              </w:rPr>
              <w:t>X</w:t>
            </w:r>
          </w:p>
        </w:tc>
        <w:tc>
          <w:tcPr>
            <w:tcW w:w="1178" w:type="dxa"/>
            <w:shd w:val="clear" w:color="auto" w:fill="D9D9D9" w:themeFill="background1" w:themeFillShade="D9"/>
            <w:noWrap/>
            <w:hideMark/>
          </w:tcPr>
          <w:p w:rsidR="006A08AB" w:rsidRPr="00B836C9" w:rsidRDefault="006A08AB" w:rsidP="004446F5">
            <w:pPr>
              <w:jc w:val="center"/>
              <w:rPr>
                <w:rFonts w:asciiTheme="minorHAnsi" w:eastAsiaTheme="minorHAnsi" w:hAnsiTheme="minorHAnsi" w:cstheme="minorBidi"/>
              </w:rPr>
            </w:pPr>
            <w:r w:rsidRPr="00B836C9">
              <w:rPr>
                <w:rFonts w:asciiTheme="minorHAnsi" w:eastAsiaTheme="minorHAnsi" w:hAnsiTheme="minorHAnsi" w:cstheme="minorBidi"/>
              </w:rPr>
              <w:t>X</w:t>
            </w:r>
          </w:p>
        </w:tc>
        <w:tc>
          <w:tcPr>
            <w:tcW w:w="1577" w:type="dxa"/>
            <w:shd w:val="clear" w:color="auto" w:fill="D9D9D9" w:themeFill="background1" w:themeFillShade="D9"/>
            <w:noWrap/>
            <w:hideMark/>
          </w:tcPr>
          <w:p w:rsidR="006A08AB" w:rsidRPr="00B836C9" w:rsidRDefault="006A08AB" w:rsidP="004446F5">
            <w:pPr>
              <w:jc w:val="center"/>
              <w:rPr>
                <w:rFonts w:asciiTheme="minorHAnsi" w:eastAsiaTheme="minorHAnsi" w:hAnsiTheme="minorHAnsi" w:cstheme="minorBidi"/>
              </w:rPr>
            </w:pPr>
            <w:r w:rsidRPr="00B836C9">
              <w:rPr>
                <w:rFonts w:asciiTheme="minorHAnsi" w:eastAsiaTheme="minorHAnsi" w:hAnsiTheme="minorHAnsi" w:cstheme="minorBidi"/>
              </w:rPr>
              <w:t>X</w:t>
            </w:r>
          </w:p>
        </w:tc>
      </w:tr>
      <w:tr w:rsidR="006A08AB" w:rsidRPr="00B836C9" w:rsidTr="004446F5">
        <w:trPr>
          <w:trHeight w:val="600"/>
        </w:trPr>
        <w:tc>
          <w:tcPr>
            <w:tcW w:w="7960" w:type="dxa"/>
            <w:shd w:val="clear" w:color="auto" w:fill="D9D9D9" w:themeFill="background1" w:themeFillShade="D9"/>
            <w:hideMark/>
          </w:tcPr>
          <w:p w:rsidR="006A08AB" w:rsidRPr="00B836C9" w:rsidRDefault="006A08AB" w:rsidP="004446F5">
            <w:pPr>
              <w:rPr>
                <w:rFonts w:asciiTheme="minorHAnsi" w:eastAsiaTheme="minorHAnsi" w:hAnsiTheme="minorHAnsi" w:cstheme="minorBidi"/>
              </w:rPr>
            </w:pPr>
            <w:r w:rsidRPr="00B836C9">
              <w:rPr>
                <w:rFonts w:asciiTheme="minorHAnsi" w:eastAsiaTheme="minorHAnsi" w:hAnsiTheme="minorHAnsi" w:cstheme="minorBidi"/>
              </w:rPr>
              <w:t>Increase or exempt residential FARs (above State requirements) to support housing in mixed use developments</w:t>
            </w:r>
          </w:p>
        </w:tc>
        <w:tc>
          <w:tcPr>
            <w:tcW w:w="1825" w:type="dxa"/>
            <w:shd w:val="clear" w:color="auto" w:fill="D9D9D9" w:themeFill="background1" w:themeFillShade="D9"/>
            <w:noWrap/>
            <w:hideMark/>
          </w:tcPr>
          <w:p w:rsidR="006A08AB" w:rsidRPr="00B836C9" w:rsidRDefault="006A08AB" w:rsidP="004446F5">
            <w:pPr>
              <w:jc w:val="center"/>
              <w:rPr>
                <w:rFonts w:asciiTheme="minorHAnsi" w:eastAsiaTheme="minorHAnsi" w:hAnsiTheme="minorHAnsi" w:cstheme="minorBidi"/>
              </w:rPr>
            </w:pPr>
            <w:r w:rsidRPr="00B836C9">
              <w:rPr>
                <w:rFonts w:asciiTheme="minorHAnsi" w:eastAsiaTheme="minorHAnsi" w:hAnsiTheme="minorHAnsi" w:cstheme="minorBidi"/>
              </w:rPr>
              <w:t>X</w:t>
            </w:r>
          </w:p>
        </w:tc>
        <w:tc>
          <w:tcPr>
            <w:tcW w:w="1178" w:type="dxa"/>
            <w:shd w:val="clear" w:color="auto" w:fill="D9D9D9" w:themeFill="background1" w:themeFillShade="D9"/>
            <w:noWrap/>
            <w:hideMark/>
          </w:tcPr>
          <w:p w:rsidR="006A08AB" w:rsidRPr="00B836C9" w:rsidRDefault="006A08AB" w:rsidP="004446F5">
            <w:pPr>
              <w:jc w:val="center"/>
              <w:rPr>
                <w:rFonts w:asciiTheme="minorHAnsi" w:eastAsiaTheme="minorHAnsi" w:hAnsiTheme="minorHAnsi" w:cstheme="minorBidi"/>
              </w:rPr>
            </w:pPr>
            <w:r w:rsidRPr="00B836C9">
              <w:rPr>
                <w:rFonts w:asciiTheme="minorHAnsi" w:eastAsiaTheme="minorHAnsi" w:hAnsiTheme="minorHAnsi" w:cstheme="minorBidi"/>
              </w:rPr>
              <w:t>X</w:t>
            </w:r>
          </w:p>
        </w:tc>
        <w:tc>
          <w:tcPr>
            <w:tcW w:w="1577" w:type="dxa"/>
            <w:shd w:val="clear" w:color="auto" w:fill="D9D9D9" w:themeFill="background1" w:themeFillShade="D9"/>
            <w:noWrap/>
            <w:hideMark/>
          </w:tcPr>
          <w:p w:rsidR="006A08AB" w:rsidRPr="00B836C9" w:rsidRDefault="006A08AB" w:rsidP="004446F5">
            <w:pPr>
              <w:jc w:val="center"/>
              <w:rPr>
                <w:rFonts w:asciiTheme="minorHAnsi" w:eastAsiaTheme="minorHAnsi" w:hAnsiTheme="minorHAnsi" w:cstheme="minorBidi"/>
              </w:rPr>
            </w:pPr>
            <w:r w:rsidRPr="00B836C9">
              <w:rPr>
                <w:rFonts w:asciiTheme="minorHAnsi" w:eastAsiaTheme="minorHAnsi" w:hAnsiTheme="minorHAnsi" w:cstheme="minorBidi"/>
              </w:rPr>
              <w:t>X</w:t>
            </w:r>
          </w:p>
        </w:tc>
      </w:tr>
      <w:tr w:rsidR="006A08AB" w:rsidRPr="00B836C9" w:rsidTr="004446F5">
        <w:trPr>
          <w:trHeight w:val="300"/>
        </w:trPr>
        <w:tc>
          <w:tcPr>
            <w:tcW w:w="7960" w:type="dxa"/>
            <w:shd w:val="clear" w:color="auto" w:fill="D9D9D9" w:themeFill="background1" w:themeFillShade="D9"/>
            <w:hideMark/>
          </w:tcPr>
          <w:p w:rsidR="006A08AB" w:rsidRPr="00B836C9" w:rsidRDefault="006A08AB" w:rsidP="004446F5">
            <w:pPr>
              <w:rPr>
                <w:rFonts w:asciiTheme="minorHAnsi" w:eastAsiaTheme="minorHAnsi" w:hAnsiTheme="minorHAnsi" w:cstheme="minorBidi"/>
              </w:rPr>
            </w:pPr>
            <w:r w:rsidRPr="00B836C9">
              <w:rPr>
                <w:rFonts w:asciiTheme="minorHAnsi" w:eastAsiaTheme="minorHAnsi" w:hAnsiTheme="minorHAnsi" w:cstheme="minorBidi"/>
              </w:rPr>
              <w:t>Adopt a Fast Track Permit Process for housing projects</w:t>
            </w:r>
          </w:p>
        </w:tc>
        <w:tc>
          <w:tcPr>
            <w:tcW w:w="1825" w:type="dxa"/>
            <w:shd w:val="clear" w:color="auto" w:fill="D9D9D9" w:themeFill="background1" w:themeFillShade="D9"/>
            <w:noWrap/>
            <w:hideMark/>
          </w:tcPr>
          <w:p w:rsidR="006A08AB" w:rsidRPr="00B836C9" w:rsidRDefault="006A08AB" w:rsidP="004446F5">
            <w:pPr>
              <w:jc w:val="center"/>
              <w:rPr>
                <w:rFonts w:asciiTheme="minorHAnsi" w:eastAsiaTheme="minorHAnsi" w:hAnsiTheme="minorHAnsi" w:cstheme="minorBidi"/>
              </w:rPr>
            </w:pPr>
            <w:r w:rsidRPr="00B836C9">
              <w:rPr>
                <w:rFonts w:asciiTheme="minorHAnsi" w:eastAsiaTheme="minorHAnsi" w:hAnsiTheme="minorHAnsi" w:cstheme="minorBidi"/>
              </w:rPr>
              <w:t>X</w:t>
            </w:r>
          </w:p>
        </w:tc>
        <w:tc>
          <w:tcPr>
            <w:tcW w:w="1178" w:type="dxa"/>
            <w:shd w:val="clear" w:color="auto" w:fill="D9D9D9" w:themeFill="background1" w:themeFillShade="D9"/>
            <w:noWrap/>
            <w:hideMark/>
          </w:tcPr>
          <w:p w:rsidR="006A08AB" w:rsidRPr="00B836C9" w:rsidRDefault="006A08AB" w:rsidP="004446F5">
            <w:pPr>
              <w:jc w:val="center"/>
              <w:rPr>
                <w:rFonts w:asciiTheme="minorHAnsi" w:eastAsiaTheme="minorHAnsi" w:hAnsiTheme="minorHAnsi" w:cstheme="minorBidi"/>
              </w:rPr>
            </w:pPr>
            <w:r w:rsidRPr="00B836C9">
              <w:rPr>
                <w:rFonts w:asciiTheme="minorHAnsi" w:eastAsiaTheme="minorHAnsi" w:hAnsiTheme="minorHAnsi" w:cstheme="minorBidi"/>
              </w:rPr>
              <w:t>X</w:t>
            </w:r>
          </w:p>
        </w:tc>
        <w:tc>
          <w:tcPr>
            <w:tcW w:w="1577" w:type="dxa"/>
            <w:shd w:val="clear" w:color="auto" w:fill="D9D9D9" w:themeFill="background1" w:themeFillShade="D9"/>
            <w:noWrap/>
            <w:hideMark/>
          </w:tcPr>
          <w:p w:rsidR="006A08AB" w:rsidRPr="00B836C9" w:rsidRDefault="006A08AB" w:rsidP="004446F5">
            <w:pPr>
              <w:jc w:val="center"/>
              <w:rPr>
                <w:rFonts w:asciiTheme="minorHAnsi" w:eastAsiaTheme="minorHAnsi" w:hAnsiTheme="minorHAnsi" w:cstheme="minorBidi"/>
              </w:rPr>
            </w:pPr>
            <w:r w:rsidRPr="00B836C9">
              <w:rPr>
                <w:rFonts w:asciiTheme="minorHAnsi" w:eastAsiaTheme="minorHAnsi" w:hAnsiTheme="minorHAnsi" w:cstheme="minorBidi"/>
              </w:rPr>
              <w:t>X</w:t>
            </w:r>
          </w:p>
        </w:tc>
      </w:tr>
      <w:tr w:rsidR="006A08AB" w:rsidRPr="00B836C9" w:rsidTr="004446F5">
        <w:trPr>
          <w:trHeight w:val="315"/>
        </w:trPr>
        <w:tc>
          <w:tcPr>
            <w:tcW w:w="7960" w:type="dxa"/>
            <w:shd w:val="clear" w:color="auto" w:fill="D9D9D9" w:themeFill="background1" w:themeFillShade="D9"/>
            <w:hideMark/>
          </w:tcPr>
          <w:p w:rsidR="006A08AB" w:rsidRPr="00B836C9" w:rsidRDefault="006A08AB" w:rsidP="004446F5">
            <w:pPr>
              <w:rPr>
                <w:rFonts w:asciiTheme="minorHAnsi" w:eastAsiaTheme="minorHAnsi" w:hAnsiTheme="minorHAnsi" w:cstheme="minorBidi"/>
              </w:rPr>
            </w:pPr>
            <w:r w:rsidRPr="00B836C9">
              <w:rPr>
                <w:rFonts w:asciiTheme="minorHAnsi" w:eastAsiaTheme="minorHAnsi" w:hAnsiTheme="minorHAnsi" w:cstheme="minorBidi"/>
              </w:rPr>
              <w:t>Adopt a policy to target development in cities</w:t>
            </w:r>
          </w:p>
        </w:tc>
        <w:tc>
          <w:tcPr>
            <w:tcW w:w="1825" w:type="dxa"/>
            <w:shd w:val="clear" w:color="auto" w:fill="D9D9D9" w:themeFill="background1" w:themeFillShade="D9"/>
            <w:noWrap/>
            <w:hideMark/>
          </w:tcPr>
          <w:p w:rsidR="006A08AB" w:rsidRPr="00B836C9" w:rsidRDefault="006A08AB" w:rsidP="004446F5">
            <w:pPr>
              <w:jc w:val="center"/>
              <w:rPr>
                <w:rFonts w:asciiTheme="minorHAnsi" w:eastAsiaTheme="minorHAnsi" w:hAnsiTheme="minorHAnsi" w:cstheme="minorBidi"/>
              </w:rPr>
            </w:pPr>
            <w:r w:rsidRPr="00B836C9">
              <w:rPr>
                <w:rFonts w:asciiTheme="minorHAnsi" w:eastAsiaTheme="minorHAnsi" w:hAnsiTheme="minorHAnsi" w:cstheme="minorBidi"/>
              </w:rPr>
              <w:t>X</w:t>
            </w:r>
          </w:p>
        </w:tc>
        <w:tc>
          <w:tcPr>
            <w:tcW w:w="1178" w:type="dxa"/>
            <w:shd w:val="clear" w:color="auto" w:fill="D9D9D9" w:themeFill="background1" w:themeFillShade="D9"/>
            <w:noWrap/>
            <w:hideMark/>
          </w:tcPr>
          <w:p w:rsidR="006A08AB" w:rsidRPr="00B836C9" w:rsidRDefault="006A08AB" w:rsidP="004446F5">
            <w:pPr>
              <w:jc w:val="center"/>
              <w:rPr>
                <w:rFonts w:asciiTheme="minorHAnsi" w:eastAsiaTheme="minorHAnsi" w:hAnsiTheme="minorHAnsi" w:cstheme="minorBidi"/>
              </w:rPr>
            </w:pPr>
            <w:r w:rsidRPr="00B836C9">
              <w:rPr>
                <w:rFonts w:asciiTheme="minorHAnsi" w:eastAsiaTheme="minorHAnsi" w:hAnsiTheme="minorHAnsi" w:cstheme="minorBidi"/>
              </w:rPr>
              <w:t>X</w:t>
            </w:r>
          </w:p>
        </w:tc>
        <w:tc>
          <w:tcPr>
            <w:tcW w:w="1577" w:type="dxa"/>
            <w:shd w:val="clear" w:color="auto" w:fill="D9D9D9" w:themeFill="background1" w:themeFillShade="D9"/>
            <w:noWrap/>
            <w:hideMark/>
          </w:tcPr>
          <w:p w:rsidR="006A08AB" w:rsidRPr="00B836C9" w:rsidRDefault="006A08AB" w:rsidP="004446F5">
            <w:pPr>
              <w:jc w:val="center"/>
              <w:rPr>
                <w:rFonts w:asciiTheme="minorHAnsi" w:eastAsiaTheme="minorHAnsi" w:hAnsiTheme="minorHAnsi" w:cstheme="minorBidi"/>
              </w:rPr>
            </w:pPr>
          </w:p>
        </w:tc>
      </w:tr>
      <w:tr w:rsidR="006A08AB" w:rsidRPr="00B836C9" w:rsidTr="004446F5">
        <w:trPr>
          <w:trHeight w:val="300"/>
        </w:trPr>
        <w:tc>
          <w:tcPr>
            <w:tcW w:w="7960" w:type="dxa"/>
            <w:shd w:val="clear" w:color="auto" w:fill="D9D9D9" w:themeFill="background1" w:themeFillShade="D9"/>
            <w:hideMark/>
          </w:tcPr>
          <w:p w:rsidR="006A08AB" w:rsidRPr="00B836C9" w:rsidRDefault="006A08AB" w:rsidP="004446F5">
            <w:pPr>
              <w:rPr>
                <w:rFonts w:asciiTheme="minorHAnsi" w:eastAsiaTheme="minorHAnsi" w:hAnsiTheme="minorHAnsi" w:cstheme="minorBidi"/>
              </w:rPr>
            </w:pPr>
            <w:r w:rsidRPr="00B836C9">
              <w:rPr>
                <w:rFonts w:asciiTheme="minorHAnsi" w:eastAsiaTheme="minorHAnsi" w:hAnsiTheme="minorHAnsi" w:cstheme="minorBidi"/>
              </w:rPr>
              <w:t>Exempt affordable housing units from Growth Management Policies</w:t>
            </w:r>
          </w:p>
        </w:tc>
        <w:tc>
          <w:tcPr>
            <w:tcW w:w="1825" w:type="dxa"/>
            <w:shd w:val="clear" w:color="auto" w:fill="D9D9D9" w:themeFill="background1" w:themeFillShade="D9"/>
            <w:noWrap/>
            <w:hideMark/>
          </w:tcPr>
          <w:p w:rsidR="006A08AB" w:rsidRPr="00B836C9" w:rsidRDefault="006A08AB" w:rsidP="004446F5">
            <w:pPr>
              <w:jc w:val="center"/>
              <w:rPr>
                <w:rFonts w:asciiTheme="minorHAnsi" w:eastAsiaTheme="minorHAnsi" w:hAnsiTheme="minorHAnsi" w:cstheme="minorBidi"/>
              </w:rPr>
            </w:pPr>
            <w:r w:rsidRPr="00B836C9">
              <w:rPr>
                <w:rFonts w:asciiTheme="minorHAnsi" w:eastAsiaTheme="minorHAnsi" w:hAnsiTheme="minorHAnsi" w:cstheme="minorBidi"/>
              </w:rPr>
              <w:t>X</w:t>
            </w:r>
          </w:p>
        </w:tc>
        <w:tc>
          <w:tcPr>
            <w:tcW w:w="1178" w:type="dxa"/>
            <w:shd w:val="clear" w:color="auto" w:fill="D9D9D9" w:themeFill="background1" w:themeFillShade="D9"/>
            <w:noWrap/>
            <w:hideMark/>
          </w:tcPr>
          <w:p w:rsidR="006A08AB" w:rsidRPr="00B836C9" w:rsidRDefault="006A08AB" w:rsidP="004446F5">
            <w:pPr>
              <w:jc w:val="center"/>
              <w:rPr>
                <w:rFonts w:asciiTheme="minorHAnsi" w:eastAsiaTheme="minorHAnsi" w:hAnsiTheme="minorHAnsi" w:cstheme="minorBidi"/>
              </w:rPr>
            </w:pPr>
            <w:r w:rsidRPr="00B836C9">
              <w:rPr>
                <w:rFonts w:asciiTheme="minorHAnsi" w:eastAsiaTheme="minorHAnsi" w:hAnsiTheme="minorHAnsi" w:cstheme="minorBidi"/>
              </w:rPr>
              <w:t>X</w:t>
            </w:r>
          </w:p>
        </w:tc>
        <w:tc>
          <w:tcPr>
            <w:tcW w:w="1577" w:type="dxa"/>
            <w:shd w:val="clear" w:color="auto" w:fill="D9D9D9" w:themeFill="background1" w:themeFillShade="D9"/>
            <w:noWrap/>
            <w:hideMark/>
          </w:tcPr>
          <w:p w:rsidR="006A08AB" w:rsidRPr="00B836C9" w:rsidRDefault="006A08AB" w:rsidP="004446F5">
            <w:pPr>
              <w:jc w:val="center"/>
              <w:rPr>
                <w:rFonts w:asciiTheme="minorHAnsi" w:eastAsiaTheme="minorHAnsi" w:hAnsiTheme="minorHAnsi" w:cstheme="minorBidi"/>
              </w:rPr>
            </w:pPr>
            <w:r w:rsidRPr="00B836C9">
              <w:rPr>
                <w:rFonts w:asciiTheme="minorHAnsi" w:eastAsiaTheme="minorHAnsi" w:hAnsiTheme="minorHAnsi" w:cstheme="minorBidi"/>
              </w:rPr>
              <w:t>X</w:t>
            </w:r>
          </w:p>
        </w:tc>
      </w:tr>
      <w:tr w:rsidR="006A08AB" w:rsidRPr="00B836C9" w:rsidTr="004446F5">
        <w:trPr>
          <w:trHeight w:val="300"/>
        </w:trPr>
        <w:tc>
          <w:tcPr>
            <w:tcW w:w="7960" w:type="dxa"/>
            <w:shd w:val="clear" w:color="auto" w:fill="D9D9D9" w:themeFill="background1" w:themeFillShade="D9"/>
            <w:hideMark/>
          </w:tcPr>
          <w:p w:rsidR="006A08AB" w:rsidRPr="00B836C9" w:rsidRDefault="006A08AB" w:rsidP="004446F5">
            <w:pPr>
              <w:rPr>
                <w:rFonts w:asciiTheme="minorHAnsi" w:eastAsiaTheme="minorHAnsi" w:hAnsiTheme="minorHAnsi" w:cstheme="minorBidi"/>
              </w:rPr>
            </w:pPr>
            <w:r w:rsidRPr="00B836C9">
              <w:rPr>
                <w:rFonts w:asciiTheme="minorHAnsi" w:eastAsiaTheme="minorHAnsi" w:hAnsiTheme="minorHAnsi" w:cstheme="minorBidi"/>
              </w:rPr>
              <w:t>Reduce parking standards for second units</w:t>
            </w:r>
          </w:p>
        </w:tc>
        <w:tc>
          <w:tcPr>
            <w:tcW w:w="1825" w:type="dxa"/>
            <w:shd w:val="clear" w:color="auto" w:fill="D9D9D9" w:themeFill="background1" w:themeFillShade="D9"/>
            <w:noWrap/>
            <w:hideMark/>
          </w:tcPr>
          <w:p w:rsidR="006A08AB" w:rsidRPr="00B836C9" w:rsidRDefault="006A08AB" w:rsidP="004446F5">
            <w:pPr>
              <w:jc w:val="center"/>
              <w:rPr>
                <w:rFonts w:asciiTheme="minorHAnsi" w:eastAsiaTheme="minorHAnsi" w:hAnsiTheme="minorHAnsi" w:cstheme="minorBidi"/>
              </w:rPr>
            </w:pPr>
            <w:r w:rsidRPr="00B836C9">
              <w:rPr>
                <w:rFonts w:asciiTheme="minorHAnsi" w:eastAsiaTheme="minorHAnsi" w:hAnsiTheme="minorHAnsi" w:cstheme="minorBidi"/>
              </w:rPr>
              <w:t>X</w:t>
            </w:r>
          </w:p>
        </w:tc>
        <w:tc>
          <w:tcPr>
            <w:tcW w:w="1178" w:type="dxa"/>
            <w:shd w:val="clear" w:color="auto" w:fill="D9D9D9" w:themeFill="background1" w:themeFillShade="D9"/>
            <w:noWrap/>
            <w:hideMark/>
          </w:tcPr>
          <w:p w:rsidR="006A08AB" w:rsidRPr="00B836C9" w:rsidRDefault="006A08AB" w:rsidP="004446F5">
            <w:pPr>
              <w:jc w:val="center"/>
              <w:rPr>
                <w:rFonts w:asciiTheme="minorHAnsi" w:eastAsiaTheme="minorHAnsi" w:hAnsiTheme="minorHAnsi" w:cstheme="minorBidi"/>
              </w:rPr>
            </w:pPr>
            <w:r w:rsidRPr="00B836C9">
              <w:rPr>
                <w:rFonts w:asciiTheme="minorHAnsi" w:eastAsiaTheme="minorHAnsi" w:hAnsiTheme="minorHAnsi" w:cstheme="minorBidi"/>
              </w:rPr>
              <w:t>X</w:t>
            </w:r>
          </w:p>
        </w:tc>
        <w:tc>
          <w:tcPr>
            <w:tcW w:w="1577" w:type="dxa"/>
            <w:shd w:val="clear" w:color="auto" w:fill="D9D9D9" w:themeFill="background1" w:themeFillShade="D9"/>
            <w:noWrap/>
            <w:hideMark/>
          </w:tcPr>
          <w:p w:rsidR="006A08AB" w:rsidRPr="00B836C9" w:rsidRDefault="006A08AB" w:rsidP="004446F5">
            <w:pPr>
              <w:jc w:val="center"/>
              <w:rPr>
                <w:rFonts w:asciiTheme="minorHAnsi" w:eastAsiaTheme="minorHAnsi" w:hAnsiTheme="minorHAnsi" w:cstheme="minorBidi"/>
              </w:rPr>
            </w:pPr>
            <w:r w:rsidRPr="00B836C9">
              <w:rPr>
                <w:rFonts w:asciiTheme="minorHAnsi" w:eastAsiaTheme="minorHAnsi" w:hAnsiTheme="minorHAnsi" w:cstheme="minorBidi"/>
              </w:rPr>
              <w:t>X</w:t>
            </w:r>
          </w:p>
        </w:tc>
      </w:tr>
      <w:tr w:rsidR="006A08AB" w:rsidRPr="00B836C9" w:rsidTr="004446F5">
        <w:trPr>
          <w:trHeight w:val="300"/>
        </w:trPr>
        <w:tc>
          <w:tcPr>
            <w:tcW w:w="7960" w:type="dxa"/>
            <w:shd w:val="clear" w:color="auto" w:fill="D9D9D9" w:themeFill="background1" w:themeFillShade="D9"/>
            <w:hideMark/>
          </w:tcPr>
          <w:p w:rsidR="006A08AB" w:rsidRPr="00B836C9" w:rsidRDefault="006A08AB" w:rsidP="004446F5">
            <w:pPr>
              <w:rPr>
                <w:rFonts w:asciiTheme="minorHAnsi" w:eastAsiaTheme="minorHAnsi" w:hAnsiTheme="minorHAnsi" w:cstheme="minorBidi"/>
              </w:rPr>
            </w:pPr>
            <w:r w:rsidRPr="00B836C9">
              <w:rPr>
                <w:rFonts w:asciiTheme="minorHAnsi" w:eastAsiaTheme="minorHAnsi" w:hAnsiTheme="minorHAnsi" w:cstheme="minorBidi"/>
              </w:rPr>
              <w:t>Plan for mixed use development</w:t>
            </w:r>
          </w:p>
        </w:tc>
        <w:tc>
          <w:tcPr>
            <w:tcW w:w="1825" w:type="dxa"/>
            <w:shd w:val="clear" w:color="auto" w:fill="D9D9D9" w:themeFill="background1" w:themeFillShade="D9"/>
            <w:noWrap/>
            <w:hideMark/>
          </w:tcPr>
          <w:p w:rsidR="006A08AB" w:rsidRPr="00B836C9" w:rsidRDefault="006A08AB" w:rsidP="004446F5">
            <w:pPr>
              <w:jc w:val="center"/>
              <w:rPr>
                <w:rFonts w:asciiTheme="minorHAnsi" w:eastAsiaTheme="minorHAnsi" w:hAnsiTheme="minorHAnsi" w:cstheme="minorBidi"/>
              </w:rPr>
            </w:pPr>
            <w:r w:rsidRPr="00B836C9">
              <w:rPr>
                <w:rFonts w:asciiTheme="minorHAnsi" w:eastAsiaTheme="minorHAnsi" w:hAnsiTheme="minorHAnsi" w:cstheme="minorBidi"/>
              </w:rPr>
              <w:t>X</w:t>
            </w:r>
          </w:p>
        </w:tc>
        <w:tc>
          <w:tcPr>
            <w:tcW w:w="1178" w:type="dxa"/>
            <w:shd w:val="clear" w:color="auto" w:fill="D9D9D9" w:themeFill="background1" w:themeFillShade="D9"/>
            <w:noWrap/>
            <w:hideMark/>
          </w:tcPr>
          <w:p w:rsidR="006A08AB" w:rsidRPr="00B836C9" w:rsidRDefault="006A08AB" w:rsidP="004446F5">
            <w:pPr>
              <w:jc w:val="center"/>
              <w:rPr>
                <w:rFonts w:asciiTheme="minorHAnsi" w:eastAsiaTheme="minorHAnsi" w:hAnsiTheme="minorHAnsi" w:cstheme="minorBidi"/>
              </w:rPr>
            </w:pPr>
            <w:r w:rsidRPr="00B836C9">
              <w:rPr>
                <w:rFonts w:asciiTheme="minorHAnsi" w:eastAsiaTheme="minorHAnsi" w:hAnsiTheme="minorHAnsi" w:cstheme="minorBidi"/>
              </w:rPr>
              <w:t>X</w:t>
            </w:r>
          </w:p>
        </w:tc>
        <w:tc>
          <w:tcPr>
            <w:tcW w:w="1577" w:type="dxa"/>
            <w:shd w:val="clear" w:color="auto" w:fill="D9D9D9" w:themeFill="background1" w:themeFillShade="D9"/>
            <w:noWrap/>
            <w:hideMark/>
          </w:tcPr>
          <w:p w:rsidR="006A08AB" w:rsidRPr="00B836C9" w:rsidRDefault="006A08AB" w:rsidP="004446F5">
            <w:pPr>
              <w:jc w:val="center"/>
              <w:rPr>
                <w:rFonts w:asciiTheme="minorHAnsi" w:eastAsiaTheme="minorHAnsi" w:hAnsiTheme="minorHAnsi" w:cstheme="minorBidi"/>
              </w:rPr>
            </w:pPr>
            <w:r w:rsidRPr="00B836C9">
              <w:rPr>
                <w:rFonts w:asciiTheme="minorHAnsi" w:eastAsiaTheme="minorHAnsi" w:hAnsiTheme="minorHAnsi" w:cstheme="minorBidi"/>
              </w:rPr>
              <w:t>X</w:t>
            </w:r>
          </w:p>
        </w:tc>
      </w:tr>
      <w:tr w:rsidR="006A08AB" w:rsidRPr="00B836C9" w:rsidTr="004446F5">
        <w:trPr>
          <w:trHeight w:val="315"/>
        </w:trPr>
        <w:tc>
          <w:tcPr>
            <w:tcW w:w="7960" w:type="dxa"/>
            <w:shd w:val="clear" w:color="auto" w:fill="D9D9D9" w:themeFill="background1" w:themeFillShade="D9"/>
            <w:hideMark/>
          </w:tcPr>
          <w:p w:rsidR="006A08AB" w:rsidRPr="00B836C9" w:rsidRDefault="006A08AB" w:rsidP="004446F5">
            <w:pPr>
              <w:rPr>
                <w:rFonts w:asciiTheme="minorHAnsi" w:eastAsiaTheme="minorHAnsi" w:hAnsiTheme="minorHAnsi" w:cstheme="minorBidi"/>
              </w:rPr>
            </w:pPr>
            <w:r w:rsidRPr="00B836C9">
              <w:rPr>
                <w:rFonts w:asciiTheme="minorHAnsi" w:eastAsiaTheme="minorHAnsi" w:hAnsiTheme="minorHAnsi" w:cstheme="minorBidi"/>
              </w:rPr>
              <w:t>Allow by right certain size affordable housing developments (i.e., up to "x" units)</w:t>
            </w:r>
          </w:p>
        </w:tc>
        <w:tc>
          <w:tcPr>
            <w:tcW w:w="1825" w:type="dxa"/>
            <w:shd w:val="clear" w:color="auto" w:fill="D9D9D9" w:themeFill="background1" w:themeFillShade="D9"/>
            <w:noWrap/>
            <w:hideMark/>
          </w:tcPr>
          <w:p w:rsidR="006A08AB" w:rsidRPr="00B836C9" w:rsidRDefault="006A08AB" w:rsidP="004446F5">
            <w:pPr>
              <w:jc w:val="center"/>
              <w:rPr>
                <w:rFonts w:asciiTheme="minorHAnsi" w:eastAsiaTheme="minorHAnsi" w:hAnsiTheme="minorHAnsi" w:cstheme="minorBidi"/>
              </w:rPr>
            </w:pPr>
            <w:r w:rsidRPr="00B836C9">
              <w:rPr>
                <w:rFonts w:asciiTheme="minorHAnsi" w:eastAsiaTheme="minorHAnsi" w:hAnsiTheme="minorHAnsi" w:cstheme="minorBidi"/>
              </w:rPr>
              <w:t>X</w:t>
            </w:r>
          </w:p>
        </w:tc>
        <w:tc>
          <w:tcPr>
            <w:tcW w:w="1178" w:type="dxa"/>
            <w:shd w:val="clear" w:color="auto" w:fill="D9D9D9" w:themeFill="background1" w:themeFillShade="D9"/>
            <w:noWrap/>
            <w:hideMark/>
          </w:tcPr>
          <w:p w:rsidR="006A08AB" w:rsidRPr="00B836C9" w:rsidRDefault="006A08AB" w:rsidP="004446F5">
            <w:pPr>
              <w:jc w:val="center"/>
              <w:rPr>
                <w:rFonts w:asciiTheme="minorHAnsi" w:eastAsiaTheme="minorHAnsi" w:hAnsiTheme="minorHAnsi" w:cstheme="minorBidi"/>
              </w:rPr>
            </w:pPr>
            <w:r w:rsidRPr="00B836C9">
              <w:rPr>
                <w:rFonts w:asciiTheme="minorHAnsi" w:eastAsiaTheme="minorHAnsi" w:hAnsiTheme="minorHAnsi" w:cstheme="minorBidi"/>
              </w:rPr>
              <w:t>X</w:t>
            </w:r>
          </w:p>
        </w:tc>
        <w:tc>
          <w:tcPr>
            <w:tcW w:w="1577" w:type="dxa"/>
            <w:shd w:val="clear" w:color="auto" w:fill="D9D9D9" w:themeFill="background1" w:themeFillShade="D9"/>
            <w:noWrap/>
            <w:hideMark/>
          </w:tcPr>
          <w:p w:rsidR="006A08AB" w:rsidRPr="00B836C9" w:rsidRDefault="006A08AB" w:rsidP="004446F5">
            <w:pPr>
              <w:jc w:val="center"/>
              <w:rPr>
                <w:rFonts w:asciiTheme="minorHAnsi" w:eastAsiaTheme="minorHAnsi" w:hAnsiTheme="minorHAnsi" w:cstheme="minorBidi"/>
              </w:rPr>
            </w:pPr>
            <w:r w:rsidRPr="00B836C9">
              <w:rPr>
                <w:rFonts w:asciiTheme="minorHAnsi" w:eastAsiaTheme="minorHAnsi" w:hAnsiTheme="minorHAnsi" w:cstheme="minorBidi"/>
              </w:rPr>
              <w:t>X</w:t>
            </w:r>
          </w:p>
        </w:tc>
      </w:tr>
    </w:tbl>
    <w:p w:rsidR="006A08AB" w:rsidRPr="00B836C9" w:rsidRDefault="006A08AB" w:rsidP="006A08AB"/>
    <w:p w:rsidR="006A08AB" w:rsidRPr="00B836C9" w:rsidRDefault="006A08AB" w:rsidP="006A08AB"/>
    <w:p w:rsidR="006A08AB" w:rsidRPr="00B836C9" w:rsidRDefault="006A08AB" w:rsidP="006A08AB"/>
    <w:p w:rsidR="00B42D58" w:rsidRPr="001212E4" w:rsidRDefault="00B42D58" w:rsidP="001D16D9">
      <w:pPr>
        <w:pStyle w:val="TOC10"/>
      </w:pPr>
      <w:r>
        <w:br w:type="page"/>
      </w:r>
    </w:p>
    <w:p w:rsidR="0024520B" w:rsidRPr="001212E4" w:rsidRDefault="00CB322F" w:rsidP="00754918">
      <w:pPr>
        <w:pStyle w:val="TOC10"/>
      </w:pPr>
      <w:hyperlink w:anchor="Table_of_Contents" w:history="1">
        <w:bookmarkStart w:id="85" w:name="_Toc352584390"/>
        <w:bookmarkStart w:id="86" w:name="_Toc359933724"/>
        <w:r w:rsidR="0024520B" w:rsidRPr="00754918">
          <w:rPr>
            <w:rStyle w:val="Hyperlink"/>
            <w:color w:val="auto"/>
          </w:rPr>
          <w:t>Appendix</w:t>
        </w:r>
        <w:r w:rsidR="0024520B" w:rsidRPr="001212E4">
          <w:rPr>
            <w:rStyle w:val="Hyperlink"/>
            <w:color w:val="auto"/>
          </w:rPr>
          <w:t xml:space="preserve"> </w:t>
        </w:r>
        <w:r w:rsidR="00FB7EFC">
          <w:rPr>
            <w:rStyle w:val="Hyperlink"/>
            <w:color w:val="auto"/>
          </w:rPr>
          <w:t>D</w:t>
        </w:r>
        <w:r w:rsidR="0024520B" w:rsidRPr="001212E4">
          <w:rPr>
            <w:rStyle w:val="Hyperlink"/>
            <w:color w:val="auto"/>
          </w:rPr>
          <w:br/>
          <w:t>Strategy Rankings</w:t>
        </w:r>
        <w:bookmarkEnd w:id="85"/>
        <w:bookmarkEnd w:id="86"/>
      </w:hyperlink>
    </w:p>
    <w:p w:rsidR="00B01423" w:rsidRDefault="00B01423" w:rsidP="0024520B">
      <w:pPr>
        <w:pStyle w:val="TOC10"/>
      </w:pPr>
    </w:p>
    <w:p w:rsidR="000E7B8B" w:rsidRDefault="000E7B8B" w:rsidP="000E7B8B">
      <w:pPr>
        <w:pStyle w:val="TOC10"/>
        <w:jc w:val="left"/>
      </w:pPr>
    </w:p>
    <w:p w:rsidR="000E7B8B" w:rsidRPr="000E7B8B" w:rsidRDefault="000E7B8B" w:rsidP="009427E9">
      <w:r w:rsidRPr="000E7B8B">
        <w:t>Action steps rated by task force members based on rating scale between 1 and 3</w:t>
      </w:r>
      <w:r w:rsidR="00486BD1">
        <w:t>,</w:t>
      </w:r>
      <w:r w:rsidRPr="000E7B8B">
        <w:t xml:space="preserve"> with 3 being high priority, 2 medium priority and 1 low priority:</w:t>
      </w:r>
    </w:p>
    <w:p w:rsidR="000E7B8B" w:rsidRDefault="000E7B8B" w:rsidP="000E7B8B">
      <w:pPr>
        <w:pStyle w:val="TOC10"/>
        <w:jc w:val="left"/>
      </w:pPr>
    </w:p>
    <w:tbl>
      <w:tblPr>
        <w:tblStyle w:val="TableGrid"/>
        <w:tblW w:w="5545" w:type="pct"/>
        <w:tblInd w:w="-522" w:type="dxa"/>
        <w:tblLook w:val="04A0" w:firstRow="1" w:lastRow="0" w:firstColumn="1" w:lastColumn="0" w:noHBand="0" w:noVBand="1"/>
      </w:tblPr>
      <w:tblGrid>
        <w:gridCol w:w="2249"/>
        <w:gridCol w:w="7445"/>
        <w:gridCol w:w="926"/>
      </w:tblGrid>
      <w:tr w:rsidR="00A5248C" w:rsidTr="00A5248C">
        <w:tc>
          <w:tcPr>
            <w:tcW w:w="1059" w:type="pct"/>
          </w:tcPr>
          <w:p w:rsidR="00B01423" w:rsidRPr="00C630BD" w:rsidRDefault="00B01423" w:rsidP="00C630BD">
            <w:pPr>
              <w:rPr>
                <w:sz w:val="20"/>
                <w:szCs w:val="20"/>
              </w:rPr>
            </w:pPr>
            <w:r w:rsidRPr="00C630BD">
              <w:rPr>
                <w:sz w:val="20"/>
                <w:szCs w:val="20"/>
              </w:rPr>
              <w:t>Strategy</w:t>
            </w:r>
          </w:p>
        </w:tc>
        <w:tc>
          <w:tcPr>
            <w:tcW w:w="3504" w:type="pct"/>
          </w:tcPr>
          <w:p w:rsidR="00B01423" w:rsidRPr="00C630BD" w:rsidRDefault="00B01423" w:rsidP="00C630BD">
            <w:pPr>
              <w:rPr>
                <w:sz w:val="20"/>
                <w:szCs w:val="20"/>
              </w:rPr>
            </w:pPr>
            <w:r w:rsidRPr="00C630BD">
              <w:rPr>
                <w:sz w:val="20"/>
                <w:szCs w:val="20"/>
              </w:rPr>
              <w:t>Action Step</w:t>
            </w:r>
          </w:p>
        </w:tc>
        <w:tc>
          <w:tcPr>
            <w:tcW w:w="436" w:type="pct"/>
          </w:tcPr>
          <w:p w:rsidR="00B01423" w:rsidRPr="00C630BD" w:rsidRDefault="00B01423" w:rsidP="00C630BD">
            <w:pPr>
              <w:rPr>
                <w:sz w:val="20"/>
                <w:szCs w:val="20"/>
              </w:rPr>
            </w:pPr>
            <w:r w:rsidRPr="00C630BD">
              <w:rPr>
                <w:sz w:val="20"/>
                <w:szCs w:val="20"/>
              </w:rPr>
              <w:t>Average</w:t>
            </w:r>
          </w:p>
        </w:tc>
      </w:tr>
      <w:tr w:rsidR="00A5248C" w:rsidTr="00A5248C">
        <w:trPr>
          <w:trHeight w:val="117"/>
        </w:trPr>
        <w:tc>
          <w:tcPr>
            <w:tcW w:w="1059" w:type="pct"/>
            <w:vMerge w:val="restart"/>
            <w:vAlign w:val="center"/>
          </w:tcPr>
          <w:p w:rsidR="00B01423" w:rsidRPr="00C630BD" w:rsidRDefault="00B01423" w:rsidP="00C630BD">
            <w:pPr>
              <w:rPr>
                <w:sz w:val="20"/>
                <w:szCs w:val="20"/>
              </w:rPr>
            </w:pPr>
            <w:r w:rsidRPr="00C630BD">
              <w:rPr>
                <w:sz w:val="20"/>
                <w:szCs w:val="20"/>
              </w:rPr>
              <w:t>Determine Optimal Mix of Housing Types</w:t>
            </w:r>
          </w:p>
        </w:tc>
        <w:tc>
          <w:tcPr>
            <w:tcW w:w="3504" w:type="pct"/>
            <w:vAlign w:val="center"/>
          </w:tcPr>
          <w:p w:rsidR="00B01423" w:rsidRPr="00C630BD" w:rsidRDefault="00256383" w:rsidP="00C630BD">
            <w:pPr>
              <w:rPr>
                <w:color w:val="000000"/>
                <w:sz w:val="20"/>
                <w:szCs w:val="20"/>
              </w:rPr>
            </w:pPr>
            <w:r w:rsidRPr="00C630BD">
              <w:rPr>
                <w:color w:val="000000"/>
                <w:sz w:val="20"/>
                <w:szCs w:val="20"/>
              </w:rPr>
              <w:t>#1: Encourage Affordable Housing Site Selection Near Transit and Employment Centers</w:t>
            </w:r>
          </w:p>
        </w:tc>
        <w:tc>
          <w:tcPr>
            <w:tcW w:w="436" w:type="pct"/>
            <w:vAlign w:val="center"/>
          </w:tcPr>
          <w:p w:rsidR="00B01423" w:rsidRPr="00C630BD" w:rsidRDefault="00256383" w:rsidP="00C630BD">
            <w:pPr>
              <w:rPr>
                <w:sz w:val="20"/>
                <w:szCs w:val="20"/>
              </w:rPr>
            </w:pPr>
            <w:r w:rsidRPr="00C630BD">
              <w:rPr>
                <w:sz w:val="20"/>
                <w:szCs w:val="20"/>
              </w:rPr>
              <w:t>2.5</w:t>
            </w:r>
          </w:p>
        </w:tc>
      </w:tr>
      <w:tr w:rsidR="00A5248C" w:rsidTr="00A5248C">
        <w:trPr>
          <w:trHeight w:val="116"/>
        </w:trPr>
        <w:tc>
          <w:tcPr>
            <w:tcW w:w="1059" w:type="pct"/>
            <w:vMerge/>
          </w:tcPr>
          <w:p w:rsidR="00B01423" w:rsidRPr="00C630BD" w:rsidRDefault="00B01423" w:rsidP="00C630BD">
            <w:pPr>
              <w:rPr>
                <w:sz w:val="20"/>
                <w:szCs w:val="20"/>
              </w:rPr>
            </w:pPr>
          </w:p>
        </w:tc>
        <w:tc>
          <w:tcPr>
            <w:tcW w:w="3504" w:type="pct"/>
            <w:vAlign w:val="center"/>
          </w:tcPr>
          <w:p w:rsidR="00B01423" w:rsidRPr="00C630BD" w:rsidRDefault="00256383" w:rsidP="00E023FF">
            <w:pPr>
              <w:rPr>
                <w:color w:val="000000"/>
                <w:sz w:val="20"/>
                <w:szCs w:val="20"/>
              </w:rPr>
            </w:pPr>
            <w:r w:rsidRPr="00C630BD">
              <w:rPr>
                <w:color w:val="000000"/>
                <w:sz w:val="20"/>
                <w:szCs w:val="20"/>
              </w:rPr>
              <w:t xml:space="preserve">#2: Direct Resources so that </w:t>
            </w:r>
            <w:r w:rsidR="00E023FF">
              <w:rPr>
                <w:color w:val="000000"/>
                <w:sz w:val="20"/>
                <w:szCs w:val="20"/>
              </w:rPr>
              <w:t xml:space="preserve">predominate type of </w:t>
            </w:r>
            <w:r w:rsidRPr="00C630BD">
              <w:rPr>
                <w:color w:val="000000"/>
                <w:sz w:val="20"/>
                <w:szCs w:val="20"/>
              </w:rPr>
              <w:t>Assisted Units are Rental Housing</w:t>
            </w:r>
          </w:p>
        </w:tc>
        <w:tc>
          <w:tcPr>
            <w:tcW w:w="436" w:type="pct"/>
            <w:vAlign w:val="center"/>
          </w:tcPr>
          <w:p w:rsidR="00B01423" w:rsidRPr="00C630BD" w:rsidRDefault="00F863CD" w:rsidP="00C630BD">
            <w:pPr>
              <w:rPr>
                <w:sz w:val="20"/>
                <w:szCs w:val="20"/>
              </w:rPr>
            </w:pPr>
            <w:r w:rsidRPr="00C630BD">
              <w:rPr>
                <w:sz w:val="20"/>
                <w:szCs w:val="20"/>
              </w:rPr>
              <w:t>2.44</w:t>
            </w:r>
          </w:p>
        </w:tc>
      </w:tr>
      <w:tr w:rsidR="00A5248C" w:rsidTr="00A5248C">
        <w:trPr>
          <w:trHeight w:val="116"/>
        </w:trPr>
        <w:tc>
          <w:tcPr>
            <w:tcW w:w="1059" w:type="pct"/>
            <w:vMerge/>
          </w:tcPr>
          <w:p w:rsidR="00B01423" w:rsidRPr="00C630BD" w:rsidRDefault="00B01423" w:rsidP="00C630BD">
            <w:pPr>
              <w:rPr>
                <w:sz w:val="20"/>
                <w:szCs w:val="20"/>
              </w:rPr>
            </w:pPr>
          </w:p>
        </w:tc>
        <w:tc>
          <w:tcPr>
            <w:tcW w:w="3504" w:type="pct"/>
            <w:vAlign w:val="center"/>
          </w:tcPr>
          <w:p w:rsidR="00B01423" w:rsidRPr="00C630BD" w:rsidRDefault="00256383" w:rsidP="00E023FF">
            <w:pPr>
              <w:rPr>
                <w:color w:val="000000"/>
                <w:sz w:val="20"/>
                <w:szCs w:val="20"/>
              </w:rPr>
            </w:pPr>
            <w:r w:rsidRPr="00C630BD">
              <w:rPr>
                <w:color w:val="000000"/>
                <w:sz w:val="20"/>
                <w:szCs w:val="20"/>
              </w:rPr>
              <w:t xml:space="preserve">#3: Direct Resources so that  Assisted Units </w:t>
            </w:r>
            <w:r w:rsidR="00E023FF">
              <w:rPr>
                <w:color w:val="000000"/>
                <w:sz w:val="20"/>
                <w:szCs w:val="20"/>
              </w:rPr>
              <w:t>include</w:t>
            </w:r>
            <w:r w:rsidRPr="00C630BD">
              <w:rPr>
                <w:color w:val="000000"/>
                <w:sz w:val="20"/>
                <w:szCs w:val="20"/>
              </w:rPr>
              <w:t xml:space="preserve"> Home Ownership</w:t>
            </w:r>
          </w:p>
        </w:tc>
        <w:tc>
          <w:tcPr>
            <w:tcW w:w="436" w:type="pct"/>
            <w:vAlign w:val="center"/>
          </w:tcPr>
          <w:p w:rsidR="00B01423" w:rsidRPr="00C630BD" w:rsidRDefault="00F863CD" w:rsidP="00C630BD">
            <w:pPr>
              <w:rPr>
                <w:sz w:val="20"/>
                <w:szCs w:val="20"/>
              </w:rPr>
            </w:pPr>
            <w:r w:rsidRPr="00C630BD">
              <w:rPr>
                <w:sz w:val="20"/>
                <w:szCs w:val="20"/>
              </w:rPr>
              <w:t>2.07</w:t>
            </w:r>
          </w:p>
        </w:tc>
      </w:tr>
      <w:tr w:rsidR="00A5248C" w:rsidTr="00A5248C">
        <w:trPr>
          <w:trHeight w:val="116"/>
        </w:trPr>
        <w:tc>
          <w:tcPr>
            <w:tcW w:w="1059" w:type="pct"/>
            <w:vMerge/>
          </w:tcPr>
          <w:p w:rsidR="00B01423" w:rsidRPr="00C630BD" w:rsidRDefault="00B01423" w:rsidP="00C630BD">
            <w:pPr>
              <w:rPr>
                <w:sz w:val="20"/>
                <w:szCs w:val="20"/>
              </w:rPr>
            </w:pPr>
          </w:p>
        </w:tc>
        <w:tc>
          <w:tcPr>
            <w:tcW w:w="3504" w:type="pct"/>
            <w:vAlign w:val="center"/>
          </w:tcPr>
          <w:p w:rsidR="00B01423" w:rsidRPr="00C630BD" w:rsidRDefault="00256383" w:rsidP="00C630BD">
            <w:pPr>
              <w:rPr>
                <w:color w:val="000000"/>
                <w:sz w:val="20"/>
                <w:szCs w:val="20"/>
              </w:rPr>
            </w:pPr>
            <w:r w:rsidRPr="00C630BD">
              <w:rPr>
                <w:color w:val="000000"/>
                <w:sz w:val="20"/>
                <w:szCs w:val="20"/>
              </w:rPr>
              <w:t>#4: Target a Mix of Households</w:t>
            </w:r>
          </w:p>
        </w:tc>
        <w:tc>
          <w:tcPr>
            <w:tcW w:w="436" w:type="pct"/>
            <w:vAlign w:val="center"/>
          </w:tcPr>
          <w:p w:rsidR="00B01423" w:rsidRPr="00C630BD" w:rsidRDefault="00F863CD" w:rsidP="00C630BD">
            <w:pPr>
              <w:rPr>
                <w:sz w:val="20"/>
                <w:szCs w:val="20"/>
              </w:rPr>
            </w:pPr>
            <w:r w:rsidRPr="00C630BD">
              <w:rPr>
                <w:sz w:val="20"/>
                <w:szCs w:val="20"/>
              </w:rPr>
              <w:t>n/a</w:t>
            </w:r>
          </w:p>
        </w:tc>
      </w:tr>
      <w:tr w:rsidR="00A5248C" w:rsidTr="00DB3496">
        <w:trPr>
          <w:trHeight w:val="45"/>
        </w:trPr>
        <w:tc>
          <w:tcPr>
            <w:tcW w:w="1059" w:type="pct"/>
            <w:vMerge w:val="restart"/>
            <w:vAlign w:val="center"/>
          </w:tcPr>
          <w:p w:rsidR="00B01423" w:rsidRPr="00C630BD" w:rsidRDefault="00F863CD" w:rsidP="00C630BD">
            <w:pPr>
              <w:rPr>
                <w:sz w:val="20"/>
                <w:szCs w:val="20"/>
              </w:rPr>
            </w:pPr>
            <w:r w:rsidRPr="00C630BD">
              <w:rPr>
                <w:sz w:val="20"/>
                <w:szCs w:val="20"/>
              </w:rPr>
              <w:t>Maximize Financing Resources</w:t>
            </w:r>
          </w:p>
        </w:tc>
        <w:tc>
          <w:tcPr>
            <w:tcW w:w="3504" w:type="pct"/>
            <w:vAlign w:val="center"/>
          </w:tcPr>
          <w:p w:rsidR="00B01423" w:rsidRPr="00C630BD" w:rsidRDefault="00256383" w:rsidP="00C630BD">
            <w:pPr>
              <w:rPr>
                <w:color w:val="000000"/>
                <w:sz w:val="20"/>
                <w:szCs w:val="20"/>
              </w:rPr>
            </w:pPr>
            <w:r w:rsidRPr="00C630BD">
              <w:rPr>
                <w:color w:val="000000"/>
                <w:sz w:val="20"/>
                <w:szCs w:val="20"/>
              </w:rPr>
              <w:t>#1: Pursue Consistent Development Impact Fees Throughout the County</w:t>
            </w:r>
          </w:p>
        </w:tc>
        <w:tc>
          <w:tcPr>
            <w:tcW w:w="436" w:type="pct"/>
            <w:vAlign w:val="center"/>
          </w:tcPr>
          <w:p w:rsidR="00B01423" w:rsidRPr="00C630BD" w:rsidRDefault="00F863CD" w:rsidP="00C630BD">
            <w:pPr>
              <w:rPr>
                <w:sz w:val="20"/>
                <w:szCs w:val="20"/>
              </w:rPr>
            </w:pPr>
            <w:r w:rsidRPr="00C630BD">
              <w:rPr>
                <w:sz w:val="20"/>
                <w:szCs w:val="20"/>
              </w:rPr>
              <w:t>2.47</w:t>
            </w:r>
          </w:p>
        </w:tc>
      </w:tr>
      <w:tr w:rsidR="00A5248C" w:rsidTr="00A5248C">
        <w:trPr>
          <w:trHeight w:val="45"/>
        </w:trPr>
        <w:tc>
          <w:tcPr>
            <w:tcW w:w="1059" w:type="pct"/>
            <w:vMerge/>
          </w:tcPr>
          <w:p w:rsidR="00B01423" w:rsidRPr="00C630BD" w:rsidRDefault="00B01423" w:rsidP="00C630BD">
            <w:pPr>
              <w:rPr>
                <w:sz w:val="20"/>
                <w:szCs w:val="20"/>
              </w:rPr>
            </w:pPr>
          </w:p>
        </w:tc>
        <w:tc>
          <w:tcPr>
            <w:tcW w:w="3504" w:type="pct"/>
            <w:vAlign w:val="center"/>
          </w:tcPr>
          <w:p w:rsidR="00B01423" w:rsidRPr="00C630BD" w:rsidRDefault="00256383" w:rsidP="00C630BD">
            <w:pPr>
              <w:rPr>
                <w:color w:val="000000"/>
                <w:sz w:val="20"/>
                <w:szCs w:val="20"/>
              </w:rPr>
            </w:pPr>
            <w:r w:rsidRPr="00C630BD">
              <w:rPr>
                <w:color w:val="000000"/>
                <w:sz w:val="20"/>
                <w:szCs w:val="20"/>
              </w:rPr>
              <w:t>#2: Increase CSA 4 Assessment</w:t>
            </w:r>
          </w:p>
        </w:tc>
        <w:tc>
          <w:tcPr>
            <w:tcW w:w="436" w:type="pct"/>
            <w:vAlign w:val="center"/>
          </w:tcPr>
          <w:p w:rsidR="00B01423" w:rsidRPr="00C630BD" w:rsidRDefault="00F863CD" w:rsidP="00C630BD">
            <w:pPr>
              <w:rPr>
                <w:sz w:val="20"/>
                <w:szCs w:val="20"/>
              </w:rPr>
            </w:pPr>
            <w:r w:rsidRPr="00C630BD">
              <w:rPr>
                <w:sz w:val="20"/>
                <w:szCs w:val="20"/>
              </w:rPr>
              <w:t>2.37</w:t>
            </w:r>
          </w:p>
        </w:tc>
      </w:tr>
      <w:tr w:rsidR="00A5248C" w:rsidTr="00A5248C">
        <w:trPr>
          <w:trHeight w:val="45"/>
        </w:trPr>
        <w:tc>
          <w:tcPr>
            <w:tcW w:w="1059" w:type="pct"/>
            <w:vMerge/>
          </w:tcPr>
          <w:p w:rsidR="00B01423" w:rsidRPr="00C630BD" w:rsidRDefault="00B01423" w:rsidP="00C630BD">
            <w:pPr>
              <w:rPr>
                <w:sz w:val="20"/>
                <w:szCs w:val="20"/>
              </w:rPr>
            </w:pPr>
          </w:p>
        </w:tc>
        <w:tc>
          <w:tcPr>
            <w:tcW w:w="3504" w:type="pct"/>
            <w:vAlign w:val="center"/>
          </w:tcPr>
          <w:p w:rsidR="00B01423" w:rsidRPr="00C630BD" w:rsidRDefault="00256383" w:rsidP="00C630BD">
            <w:pPr>
              <w:rPr>
                <w:color w:val="000000"/>
                <w:sz w:val="20"/>
                <w:szCs w:val="20"/>
              </w:rPr>
            </w:pPr>
            <w:r w:rsidRPr="00C630BD">
              <w:rPr>
                <w:color w:val="000000"/>
                <w:sz w:val="20"/>
                <w:szCs w:val="20"/>
              </w:rPr>
              <w:t>#3: Direct Tax Increment and Business License Revenues to a Countywide Pool</w:t>
            </w:r>
          </w:p>
        </w:tc>
        <w:tc>
          <w:tcPr>
            <w:tcW w:w="436" w:type="pct"/>
            <w:vAlign w:val="center"/>
          </w:tcPr>
          <w:p w:rsidR="00B01423" w:rsidRPr="00C630BD" w:rsidRDefault="00F863CD" w:rsidP="00C630BD">
            <w:pPr>
              <w:rPr>
                <w:sz w:val="20"/>
                <w:szCs w:val="20"/>
              </w:rPr>
            </w:pPr>
            <w:r w:rsidRPr="00C630BD">
              <w:rPr>
                <w:sz w:val="20"/>
                <w:szCs w:val="20"/>
              </w:rPr>
              <w:t>2.27</w:t>
            </w:r>
          </w:p>
        </w:tc>
      </w:tr>
      <w:tr w:rsidR="00A5248C" w:rsidTr="00A5248C">
        <w:trPr>
          <w:trHeight w:val="45"/>
        </w:trPr>
        <w:tc>
          <w:tcPr>
            <w:tcW w:w="1059" w:type="pct"/>
            <w:vMerge/>
          </w:tcPr>
          <w:p w:rsidR="00B01423" w:rsidRPr="00C630BD" w:rsidRDefault="00B01423" w:rsidP="00C630BD">
            <w:pPr>
              <w:rPr>
                <w:sz w:val="20"/>
                <w:szCs w:val="20"/>
              </w:rPr>
            </w:pPr>
          </w:p>
        </w:tc>
        <w:tc>
          <w:tcPr>
            <w:tcW w:w="3504" w:type="pct"/>
            <w:vAlign w:val="center"/>
          </w:tcPr>
          <w:p w:rsidR="00B01423" w:rsidRPr="00C630BD" w:rsidRDefault="00256383" w:rsidP="00C630BD">
            <w:pPr>
              <w:rPr>
                <w:color w:val="000000"/>
                <w:sz w:val="20"/>
                <w:szCs w:val="20"/>
              </w:rPr>
            </w:pPr>
            <w:r w:rsidRPr="00C630BD">
              <w:rPr>
                <w:color w:val="000000"/>
                <w:sz w:val="20"/>
                <w:szCs w:val="20"/>
              </w:rPr>
              <w:t>#4: Increase Transient Occupancy Tax (TOT)</w:t>
            </w:r>
          </w:p>
        </w:tc>
        <w:tc>
          <w:tcPr>
            <w:tcW w:w="436" w:type="pct"/>
            <w:vAlign w:val="center"/>
          </w:tcPr>
          <w:p w:rsidR="00B01423" w:rsidRPr="00C630BD" w:rsidRDefault="00F863CD" w:rsidP="00C630BD">
            <w:pPr>
              <w:rPr>
                <w:sz w:val="20"/>
                <w:szCs w:val="20"/>
              </w:rPr>
            </w:pPr>
            <w:r w:rsidRPr="00C630BD">
              <w:rPr>
                <w:sz w:val="20"/>
                <w:szCs w:val="20"/>
              </w:rPr>
              <w:t>2.27</w:t>
            </w:r>
          </w:p>
        </w:tc>
      </w:tr>
      <w:tr w:rsidR="00A5248C" w:rsidTr="00A5248C">
        <w:trPr>
          <w:trHeight w:val="45"/>
        </w:trPr>
        <w:tc>
          <w:tcPr>
            <w:tcW w:w="1059" w:type="pct"/>
            <w:vMerge/>
          </w:tcPr>
          <w:p w:rsidR="00B01423" w:rsidRPr="00C630BD" w:rsidRDefault="00B01423" w:rsidP="00C630BD">
            <w:pPr>
              <w:rPr>
                <w:sz w:val="20"/>
                <w:szCs w:val="20"/>
              </w:rPr>
            </w:pPr>
          </w:p>
        </w:tc>
        <w:tc>
          <w:tcPr>
            <w:tcW w:w="3504" w:type="pct"/>
            <w:vAlign w:val="center"/>
          </w:tcPr>
          <w:p w:rsidR="00B01423" w:rsidRPr="00C630BD" w:rsidRDefault="00256383" w:rsidP="00C630BD">
            <w:pPr>
              <w:rPr>
                <w:color w:val="000000"/>
                <w:sz w:val="20"/>
                <w:szCs w:val="20"/>
              </w:rPr>
            </w:pPr>
            <w:r w:rsidRPr="00C630BD">
              <w:rPr>
                <w:color w:val="000000"/>
                <w:sz w:val="20"/>
                <w:szCs w:val="20"/>
              </w:rPr>
              <w:t>#5: Increase Real Estate Transfer Tax</w:t>
            </w:r>
          </w:p>
        </w:tc>
        <w:tc>
          <w:tcPr>
            <w:tcW w:w="436" w:type="pct"/>
            <w:vAlign w:val="center"/>
          </w:tcPr>
          <w:p w:rsidR="00B01423" w:rsidRPr="00C630BD" w:rsidRDefault="00F863CD" w:rsidP="00C630BD">
            <w:pPr>
              <w:rPr>
                <w:sz w:val="20"/>
                <w:szCs w:val="20"/>
              </w:rPr>
            </w:pPr>
            <w:r w:rsidRPr="00C630BD">
              <w:rPr>
                <w:sz w:val="20"/>
                <w:szCs w:val="20"/>
              </w:rPr>
              <w:t>n/a</w:t>
            </w:r>
          </w:p>
        </w:tc>
      </w:tr>
      <w:tr w:rsidR="00A5248C" w:rsidTr="00A5248C">
        <w:trPr>
          <w:trHeight w:val="45"/>
        </w:trPr>
        <w:tc>
          <w:tcPr>
            <w:tcW w:w="1059" w:type="pct"/>
            <w:vMerge w:val="restart"/>
            <w:vAlign w:val="center"/>
          </w:tcPr>
          <w:p w:rsidR="00B01423" w:rsidRPr="00C630BD" w:rsidRDefault="00F863CD" w:rsidP="00C630BD">
            <w:pPr>
              <w:rPr>
                <w:sz w:val="20"/>
                <w:szCs w:val="20"/>
              </w:rPr>
            </w:pPr>
            <w:r w:rsidRPr="00C630BD">
              <w:rPr>
                <w:sz w:val="20"/>
                <w:szCs w:val="20"/>
              </w:rPr>
              <w:t>Promote Cost Efficiencies</w:t>
            </w:r>
          </w:p>
        </w:tc>
        <w:tc>
          <w:tcPr>
            <w:tcW w:w="3504" w:type="pct"/>
            <w:vAlign w:val="center"/>
          </w:tcPr>
          <w:p w:rsidR="00B01423" w:rsidRPr="00C630BD" w:rsidRDefault="00256383" w:rsidP="00C630BD">
            <w:pPr>
              <w:rPr>
                <w:color w:val="000000"/>
                <w:sz w:val="20"/>
                <w:szCs w:val="20"/>
              </w:rPr>
            </w:pPr>
            <w:r w:rsidRPr="00C630BD">
              <w:rPr>
                <w:color w:val="000000"/>
                <w:sz w:val="20"/>
                <w:szCs w:val="20"/>
              </w:rPr>
              <w:t>#1: Study Alternate Ways to Lower Costs</w:t>
            </w:r>
          </w:p>
        </w:tc>
        <w:tc>
          <w:tcPr>
            <w:tcW w:w="436" w:type="pct"/>
            <w:vAlign w:val="center"/>
          </w:tcPr>
          <w:p w:rsidR="00B01423" w:rsidRPr="00C630BD" w:rsidRDefault="00F863CD" w:rsidP="00C630BD">
            <w:pPr>
              <w:rPr>
                <w:sz w:val="20"/>
                <w:szCs w:val="20"/>
              </w:rPr>
            </w:pPr>
            <w:r w:rsidRPr="00C630BD">
              <w:rPr>
                <w:sz w:val="20"/>
                <w:szCs w:val="20"/>
              </w:rPr>
              <w:t>2.54</w:t>
            </w:r>
          </w:p>
        </w:tc>
      </w:tr>
      <w:tr w:rsidR="00A5248C" w:rsidTr="00A5248C">
        <w:trPr>
          <w:trHeight w:val="45"/>
        </w:trPr>
        <w:tc>
          <w:tcPr>
            <w:tcW w:w="1059" w:type="pct"/>
            <w:vMerge/>
          </w:tcPr>
          <w:p w:rsidR="00B01423" w:rsidRPr="00C630BD" w:rsidRDefault="00B01423" w:rsidP="00C630BD">
            <w:pPr>
              <w:rPr>
                <w:sz w:val="20"/>
                <w:szCs w:val="20"/>
              </w:rPr>
            </w:pPr>
          </w:p>
        </w:tc>
        <w:tc>
          <w:tcPr>
            <w:tcW w:w="3504" w:type="pct"/>
            <w:vAlign w:val="center"/>
          </w:tcPr>
          <w:p w:rsidR="00B01423" w:rsidRPr="00C630BD" w:rsidRDefault="00256383" w:rsidP="00C630BD">
            <w:pPr>
              <w:rPr>
                <w:color w:val="000000"/>
                <w:sz w:val="20"/>
                <w:szCs w:val="20"/>
              </w:rPr>
            </w:pPr>
            <w:r w:rsidRPr="00C630BD">
              <w:rPr>
                <w:color w:val="000000"/>
                <w:sz w:val="20"/>
                <w:szCs w:val="20"/>
              </w:rPr>
              <w:t>#2: Tie Fees to Actual Costs for Affordable Units</w:t>
            </w:r>
          </w:p>
        </w:tc>
        <w:tc>
          <w:tcPr>
            <w:tcW w:w="436" w:type="pct"/>
            <w:vAlign w:val="center"/>
          </w:tcPr>
          <w:p w:rsidR="00B01423" w:rsidRPr="00C630BD" w:rsidRDefault="00F863CD" w:rsidP="00C630BD">
            <w:pPr>
              <w:rPr>
                <w:sz w:val="20"/>
                <w:szCs w:val="20"/>
              </w:rPr>
            </w:pPr>
            <w:r w:rsidRPr="00C630BD">
              <w:rPr>
                <w:sz w:val="20"/>
                <w:szCs w:val="20"/>
              </w:rPr>
              <w:t>2.53</w:t>
            </w:r>
          </w:p>
        </w:tc>
      </w:tr>
      <w:tr w:rsidR="00A5248C" w:rsidTr="00A5248C">
        <w:trPr>
          <w:trHeight w:val="45"/>
        </w:trPr>
        <w:tc>
          <w:tcPr>
            <w:tcW w:w="1059" w:type="pct"/>
            <w:vMerge/>
          </w:tcPr>
          <w:p w:rsidR="00B01423" w:rsidRPr="00C630BD" w:rsidRDefault="00B01423" w:rsidP="00C630BD">
            <w:pPr>
              <w:rPr>
                <w:sz w:val="20"/>
                <w:szCs w:val="20"/>
              </w:rPr>
            </w:pPr>
          </w:p>
        </w:tc>
        <w:tc>
          <w:tcPr>
            <w:tcW w:w="3504" w:type="pct"/>
            <w:vAlign w:val="center"/>
          </w:tcPr>
          <w:p w:rsidR="00B01423" w:rsidRPr="00C630BD" w:rsidRDefault="00256383" w:rsidP="00C630BD">
            <w:pPr>
              <w:rPr>
                <w:color w:val="000000"/>
                <w:sz w:val="20"/>
                <w:szCs w:val="20"/>
              </w:rPr>
            </w:pPr>
            <w:r w:rsidRPr="00C630BD">
              <w:rPr>
                <w:color w:val="000000"/>
                <w:sz w:val="20"/>
                <w:szCs w:val="20"/>
              </w:rPr>
              <w:t>#3: Facilitate Legalization of 2nd Units</w:t>
            </w:r>
          </w:p>
        </w:tc>
        <w:tc>
          <w:tcPr>
            <w:tcW w:w="436" w:type="pct"/>
            <w:vAlign w:val="center"/>
          </w:tcPr>
          <w:p w:rsidR="00B01423" w:rsidRPr="00C630BD" w:rsidRDefault="00F863CD" w:rsidP="00C630BD">
            <w:pPr>
              <w:rPr>
                <w:sz w:val="20"/>
                <w:szCs w:val="20"/>
              </w:rPr>
            </w:pPr>
            <w:r w:rsidRPr="00C630BD">
              <w:rPr>
                <w:sz w:val="20"/>
                <w:szCs w:val="20"/>
              </w:rPr>
              <w:t>2.33</w:t>
            </w:r>
          </w:p>
        </w:tc>
      </w:tr>
      <w:tr w:rsidR="00A5248C" w:rsidTr="00A5248C">
        <w:trPr>
          <w:trHeight w:val="45"/>
        </w:trPr>
        <w:tc>
          <w:tcPr>
            <w:tcW w:w="1059" w:type="pct"/>
            <w:vMerge/>
          </w:tcPr>
          <w:p w:rsidR="00B01423" w:rsidRPr="00C630BD" w:rsidRDefault="00B01423" w:rsidP="00C630BD">
            <w:pPr>
              <w:rPr>
                <w:sz w:val="20"/>
                <w:szCs w:val="20"/>
              </w:rPr>
            </w:pPr>
          </w:p>
        </w:tc>
        <w:tc>
          <w:tcPr>
            <w:tcW w:w="3504" w:type="pct"/>
            <w:vAlign w:val="center"/>
          </w:tcPr>
          <w:p w:rsidR="00B01423" w:rsidRPr="00C630BD" w:rsidRDefault="00256383" w:rsidP="00C630BD">
            <w:pPr>
              <w:rPr>
                <w:color w:val="000000"/>
                <w:sz w:val="20"/>
                <w:szCs w:val="20"/>
              </w:rPr>
            </w:pPr>
            <w:r w:rsidRPr="00C630BD">
              <w:rPr>
                <w:color w:val="000000"/>
                <w:sz w:val="20"/>
                <w:szCs w:val="20"/>
              </w:rPr>
              <w:t>#4: Establish Countywide Green Ordinance</w:t>
            </w:r>
          </w:p>
        </w:tc>
        <w:tc>
          <w:tcPr>
            <w:tcW w:w="436" w:type="pct"/>
            <w:vAlign w:val="center"/>
          </w:tcPr>
          <w:p w:rsidR="00B01423" w:rsidRPr="00C630BD" w:rsidRDefault="00F863CD" w:rsidP="00C630BD">
            <w:pPr>
              <w:rPr>
                <w:sz w:val="20"/>
                <w:szCs w:val="20"/>
              </w:rPr>
            </w:pPr>
            <w:r w:rsidRPr="00C630BD">
              <w:rPr>
                <w:sz w:val="20"/>
                <w:szCs w:val="20"/>
              </w:rPr>
              <w:t>2.27</w:t>
            </w:r>
          </w:p>
        </w:tc>
      </w:tr>
      <w:tr w:rsidR="00A5248C" w:rsidTr="00A5248C">
        <w:trPr>
          <w:trHeight w:val="45"/>
        </w:trPr>
        <w:tc>
          <w:tcPr>
            <w:tcW w:w="1059" w:type="pct"/>
            <w:vMerge/>
          </w:tcPr>
          <w:p w:rsidR="00B01423" w:rsidRPr="00C630BD" w:rsidRDefault="00B01423" w:rsidP="00C630BD">
            <w:pPr>
              <w:rPr>
                <w:sz w:val="20"/>
                <w:szCs w:val="20"/>
              </w:rPr>
            </w:pPr>
          </w:p>
        </w:tc>
        <w:tc>
          <w:tcPr>
            <w:tcW w:w="3504" w:type="pct"/>
            <w:vAlign w:val="center"/>
          </w:tcPr>
          <w:p w:rsidR="00B01423" w:rsidRPr="00C630BD" w:rsidRDefault="00256383" w:rsidP="00C630BD">
            <w:pPr>
              <w:rPr>
                <w:color w:val="000000"/>
                <w:sz w:val="20"/>
                <w:szCs w:val="20"/>
              </w:rPr>
            </w:pPr>
            <w:r w:rsidRPr="00C630BD">
              <w:rPr>
                <w:color w:val="000000"/>
                <w:sz w:val="20"/>
                <w:szCs w:val="20"/>
              </w:rPr>
              <w:t>#5: Promote Unit Size Appropriateness</w:t>
            </w:r>
          </w:p>
        </w:tc>
        <w:tc>
          <w:tcPr>
            <w:tcW w:w="436" w:type="pct"/>
            <w:vAlign w:val="center"/>
          </w:tcPr>
          <w:p w:rsidR="00B01423" w:rsidRPr="00C630BD" w:rsidRDefault="00F863CD" w:rsidP="00C630BD">
            <w:pPr>
              <w:rPr>
                <w:sz w:val="20"/>
                <w:szCs w:val="20"/>
              </w:rPr>
            </w:pPr>
            <w:r w:rsidRPr="00C630BD">
              <w:rPr>
                <w:sz w:val="20"/>
                <w:szCs w:val="20"/>
              </w:rPr>
              <w:t>2.13</w:t>
            </w:r>
          </w:p>
        </w:tc>
      </w:tr>
      <w:tr w:rsidR="00A5248C" w:rsidTr="00A5248C">
        <w:trPr>
          <w:trHeight w:val="40"/>
        </w:trPr>
        <w:tc>
          <w:tcPr>
            <w:tcW w:w="1059" w:type="pct"/>
            <w:vMerge w:val="restart"/>
            <w:vAlign w:val="center"/>
          </w:tcPr>
          <w:p w:rsidR="00B01423" w:rsidRPr="00C630BD" w:rsidRDefault="00F863CD" w:rsidP="00C630BD">
            <w:pPr>
              <w:rPr>
                <w:sz w:val="20"/>
                <w:szCs w:val="20"/>
              </w:rPr>
            </w:pPr>
            <w:r w:rsidRPr="00C630BD">
              <w:rPr>
                <w:sz w:val="20"/>
                <w:szCs w:val="20"/>
              </w:rPr>
              <w:t>Implement Non-Monetary Production Opportunities</w:t>
            </w:r>
          </w:p>
        </w:tc>
        <w:tc>
          <w:tcPr>
            <w:tcW w:w="3504" w:type="pct"/>
            <w:vAlign w:val="center"/>
          </w:tcPr>
          <w:p w:rsidR="00B01423" w:rsidRPr="00C630BD" w:rsidRDefault="00256383" w:rsidP="00C630BD">
            <w:pPr>
              <w:rPr>
                <w:color w:val="000000"/>
                <w:sz w:val="20"/>
                <w:szCs w:val="20"/>
              </w:rPr>
            </w:pPr>
            <w:r w:rsidRPr="00C630BD">
              <w:rPr>
                <w:color w:val="000000"/>
                <w:sz w:val="20"/>
                <w:szCs w:val="20"/>
              </w:rPr>
              <w:t>#1: Allow By-Right Affordable Housing in Residential Zones</w:t>
            </w:r>
          </w:p>
        </w:tc>
        <w:tc>
          <w:tcPr>
            <w:tcW w:w="436" w:type="pct"/>
            <w:vAlign w:val="center"/>
          </w:tcPr>
          <w:p w:rsidR="00B01423" w:rsidRPr="00C630BD" w:rsidRDefault="00F863CD" w:rsidP="00C630BD">
            <w:pPr>
              <w:rPr>
                <w:sz w:val="20"/>
                <w:szCs w:val="20"/>
              </w:rPr>
            </w:pPr>
            <w:r w:rsidRPr="00C630BD">
              <w:rPr>
                <w:sz w:val="20"/>
                <w:szCs w:val="20"/>
              </w:rPr>
              <w:t>2.66</w:t>
            </w:r>
          </w:p>
        </w:tc>
      </w:tr>
      <w:tr w:rsidR="00A5248C" w:rsidTr="00A5248C">
        <w:trPr>
          <w:trHeight w:val="37"/>
        </w:trPr>
        <w:tc>
          <w:tcPr>
            <w:tcW w:w="1059" w:type="pct"/>
            <w:vMerge/>
          </w:tcPr>
          <w:p w:rsidR="00B01423" w:rsidRPr="00C630BD" w:rsidRDefault="00B01423" w:rsidP="00C630BD">
            <w:pPr>
              <w:rPr>
                <w:sz w:val="20"/>
                <w:szCs w:val="20"/>
              </w:rPr>
            </w:pPr>
          </w:p>
        </w:tc>
        <w:tc>
          <w:tcPr>
            <w:tcW w:w="3504" w:type="pct"/>
            <w:vAlign w:val="center"/>
          </w:tcPr>
          <w:p w:rsidR="00B01423" w:rsidRPr="00C630BD" w:rsidRDefault="00256383" w:rsidP="00C630BD">
            <w:pPr>
              <w:rPr>
                <w:color w:val="000000"/>
                <w:sz w:val="20"/>
                <w:szCs w:val="20"/>
              </w:rPr>
            </w:pPr>
            <w:r w:rsidRPr="00C630BD">
              <w:rPr>
                <w:color w:val="000000"/>
                <w:sz w:val="20"/>
                <w:szCs w:val="20"/>
              </w:rPr>
              <w:t>#2: Pursue Greater Density</w:t>
            </w:r>
          </w:p>
        </w:tc>
        <w:tc>
          <w:tcPr>
            <w:tcW w:w="436" w:type="pct"/>
            <w:vAlign w:val="center"/>
          </w:tcPr>
          <w:p w:rsidR="00B01423" w:rsidRPr="00C630BD" w:rsidRDefault="00F863CD" w:rsidP="00C630BD">
            <w:pPr>
              <w:rPr>
                <w:sz w:val="20"/>
                <w:szCs w:val="20"/>
              </w:rPr>
            </w:pPr>
            <w:r w:rsidRPr="00C630BD">
              <w:rPr>
                <w:sz w:val="20"/>
                <w:szCs w:val="20"/>
              </w:rPr>
              <w:t>2.64</w:t>
            </w:r>
          </w:p>
        </w:tc>
      </w:tr>
      <w:tr w:rsidR="00A5248C" w:rsidTr="00A5248C">
        <w:trPr>
          <w:trHeight w:val="37"/>
        </w:trPr>
        <w:tc>
          <w:tcPr>
            <w:tcW w:w="1059" w:type="pct"/>
            <w:vMerge/>
          </w:tcPr>
          <w:p w:rsidR="00B01423" w:rsidRPr="00C630BD" w:rsidRDefault="00B01423" w:rsidP="00C630BD">
            <w:pPr>
              <w:rPr>
                <w:sz w:val="20"/>
                <w:szCs w:val="20"/>
              </w:rPr>
            </w:pPr>
          </w:p>
        </w:tc>
        <w:tc>
          <w:tcPr>
            <w:tcW w:w="3504" w:type="pct"/>
            <w:vAlign w:val="center"/>
          </w:tcPr>
          <w:p w:rsidR="00B01423" w:rsidRPr="00C630BD" w:rsidRDefault="00256383" w:rsidP="00C630BD">
            <w:pPr>
              <w:rPr>
                <w:color w:val="000000"/>
                <w:sz w:val="20"/>
                <w:szCs w:val="20"/>
              </w:rPr>
            </w:pPr>
            <w:r w:rsidRPr="00C630BD">
              <w:rPr>
                <w:color w:val="000000"/>
                <w:sz w:val="20"/>
                <w:szCs w:val="20"/>
              </w:rPr>
              <w:t>#3: Prioritize Methods to Fast Track Development Processes</w:t>
            </w:r>
          </w:p>
        </w:tc>
        <w:tc>
          <w:tcPr>
            <w:tcW w:w="436" w:type="pct"/>
            <w:vAlign w:val="center"/>
          </w:tcPr>
          <w:p w:rsidR="00B01423" w:rsidRPr="00C630BD" w:rsidRDefault="00F863CD" w:rsidP="00C630BD">
            <w:pPr>
              <w:rPr>
                <w:sz w:val="20"/>
                <w:szCs w:val="20"/>
              </w:rPr>
            </w:pPr>
            <w:r w:rsidRPr="00C630BD">
              <w:rPr>
                <w:sz w:val="20"/>
                <w:szCs w:val="20"/>
              </w:rPr>
              <w:t>2.4</w:t>
            </w:r>
          </w:p>
        </w:tc>
      </w:tr>
      <w:tr w:rsidR="00A5248C" w:rsidTr="00A5248C">
        <w:trPr>
          <w:trHeight w:val="37"/>
        </w:trPr>
        <w:tc>
          <w:tcPr>
            <w:tcW w:w="1059" w:type="pct"/>
            <w:vMerge/>
          </w:tcPr>
          <w:p w:rsidR="00B01423" w:rsidRPr="00C630BD" w:rsidRDefault="00B01423" w:rsidP="00C630BD">
            <w:pPr>
              <w:rPr>
                <w:sz w:val="20"/>
                <w:szCs w:val="20"/>
              </w:rPr>
            </w:pPr>
          </w:p>
        </w:tc>
        <w:tc>
          <w:tcPr>
            <w:tcW w:w="3504" w:type="pct"/>
            <w:vAlign w:val="center"/>
          </w:tcPr>
          <w:p w:rsidR="00B01423" w:rsidRPr="00C630BD" w:rsidRDefault="00256383" w:rsidP="00C630BD">
            <w:pPr>
              <w:rPr>
                <w:color w:val="000000"/>
                <w:sz w:val="20"/>
                <w:szCs w:val="20"/>
              </w:rPr>
            </w:pPr>
            <w:r w:rsidRPr="00C630BD">
              <w:rPr>
                <w:color w:val="000000"/>
                <w:sz w:val="20"/>
                <w:szCs w:val="20"/>
              </w:rPr>
              <w:t>#4: Hold Article 34 Election</w:t>
            </w:r>
          </w:p>
        </w:tc>
        <w:tc>
          <w:tcPr>
            <w:tcW w:w="436" w:type="pct"/>
            <w:vAlign w:val="center"/>
          </w:tcPr>
          <w:p w:rsidR="00B01423" w:rsidRPr="00C630BD" w:rsidRDefault="00F863CD" w:rsidP="00C630BD">
            <w:pPr>
              <w:rPr>
                <w:sz w:val="20"/>
                <w:szCs w:val="20"/>
              </w:rPr>
            </w:pPr>
            <w:r w:rsidRPr="00C630BD">
              <w:rPr>
                <w:sz w:val="20"/>
                <w:szCs w:val="20"/>
              </w:rPr>
              <w:t>2.33</w:t>
            </w:r>
          </w:p>
        </w:tc>
      </w:tr>
      <w:tr w:rsidR="00A5248C" w:rsidTr="00A5248C">
        <w:trPr>
          <w:trHeight w:val="37"/>
        </w:trPr>
        <w:tc>
          <w:tcPr>
            <w:tcW w:w="1059" w:type="pct"/>
            <w:vMerge/>
          </w:tcPr>
          <w:p w:rsidR="00B01423" w:rsidRPr="00C630BD" w:rsidRDefault="00B01423" w:rsidP="00C630BD">
            <w:pPr>
              <w:rPr>
                <w:sz w:val="20"/>
                <w:szCs w:val="20"/>
              </w:rPr>
            </w:pPr>
          </w:p>
        </w:tc>
        <w:tc>
          <w:tcPr>
            <w:tcW w:w="3504" w:type="pct"/>
            <w:vAlign w:val="center"/>
          </w:tcPr>
          <w:p w:rsidR="00B01423" w:rsidRPr="00C630BD" w:rsidRDefault="00256383" w:rsidP="00C630BD">
            <w:pPr>
              <w:rPr>
                <w:color w:val="000000"/>
                <w:sz w:val="20"/>
                <w:szCs w:val="20"/>
              </w:rPr>
            </w:pPr>
            <w:r w:rsidRPr="00C630BD">
              <w:rPr>
                <w:color w:val="000000"/>
                <w:sz w:val="20"/>
                <w:szCs w:val="20"/>
              </w:rPr>
              <w:t>#5: Promote Employee Housing</w:t>
            </w:r>
          </w:p>
        </w:tc>
        <w:tc>
          <w:tcPr>
            <w:tcW w:w="436" w:type="pct"/>
            <w:vAlign w:val="center"/>
          </w:tcPr>
          <w:p w:rsidR="00B01423" w:rsidRPr="00C630BD" w:rsidRDefault="00F863CD" w:rsidP="00C630BD">
            <w:pPr>
              <w:rPr>
                <w:sz w:val="20"/>
                <w:szCs w:val="20"/>
              </w:rPr>
            </w:pPr>
            <w:r w:rsidRPr="00C630BD">
              <w:rPr>
                <w:sz w:val="20"/>
                <w:szCs w:val="20"/>
              </w:rPr>
              <w:t>2.1</w:t>
            </w:r>
          </w:p>
        </w:tc>
      </w:tr>
      <w:tr w:rsidR="00A5248C" w:rsidTr="00A5248C">
        <w:trPr>
          <w:trHeight w:val="37"/>
        </w:trPr>
        <w:tc>
          <w:tcPr>
            <w:tcW w:w="1059" w:type="pct"/>
            <w:vMerge/>
          </w:tcPr>
          <w:p w:rsidR="00B01423" w:rsidRPr="00C630BD" w:rsidRDefault="00B01423" w:rsidP="00C630BD">
            <w:pPr>
              <w:rPr>
                <w:sz w:val="20"/>
                <w:szCs w:val="20"/>
              </w:rPr>
            </w:pPr>
          </w:p>
        </w:tc>
        <w:tc>
          <w:tcPr>
            <w:tcW w:w="3504" w:type="pct"/>
            <w:vAlign w:val="center"/>
          </w:tcPr>
          <w:p w:rsidR="00B01423" w:rsidRPr="00C630BD" w:rsidRDefault="00256383" w:rsidP="00C630BD">
            <w:pPr>
              <w:rPr>
                <w:color w:val="000000"/>
                <w:sz w:val="20"/>
                <w:szCs w:val="20"/>
              </w:rPr>
            </w:pPr>
            <w:r w:rsidRPr="00C630BD">
              <w:rPr>
                <w:color w:val="000000"/>
                <w:sz w:val="20"/>
                <w:szCs w:val="20"/>
              </w:rPr>
              <w:t>#6: Generate Proximity Housing Incentives and Policies</w:t>
            </w:r>
          </w:p>
        </w:tc>
        <w:tc>
          <w:tcPr>
            <w:tcW w:w="436" w:type="pct"/>
            <w:vAlign w:val="center"/>
          </w:tcPr>
          <w:p w:rsidR="00B01423" w:rsidRPr="00C630BD" w:rsidRDefault="00F863CD" w:rsidP="00C630BD">
            <w:pPr>
              <w:rPr>
                <w:sz w:val="20"/>
                <w:szCs w:val="20"/>
              </w:rPr>
            </w:pPr>
            <w:r w:rsidRPr="00C630BD">
              <w:rPr>
                <w:sz w:val="20"/>
                <w:szCs w:val="20"/>
              </w:rPr>
              <w:t>2.04</w:t>
            </w:r>
          </w:p>
        </w:tc>
      </w:tr>
      <w:tr w:rsidR="00A5248C" w:rsidTr="00A5248C">
        <w:trPr>
          <w:trHeight w:val="503"/>
        </w:trPr>
        <w:tc>
          <w:tcPr>
            <w:tcW w:w="1059" w:type="pct"/>
            <w:vMerge w:val="restart"/>
            <w:vAlign w:val="center"/>
          </w:tcPr>
          <w:p w:rsidR="00B01423" w:rsidRPr="00C630BD" w:rsidRDefault="00F863CD" w:rsidP="00C630BD">
            <w:pPr>
              <w:rPr>
                <w:sz w:val="20"/>
                <w:szCs w:val="20"/>
              </w:rPr>
            </w:pPr>
            <w:r w:rsidRPr="00C630BD">
              <w:rPr>
                <w:sz w:val="20"/>
                <w:szCs w:val="20"/>
              </w:rPr>
              <w:t>Provide Adequate Oversight and Collect Data to Inform Practice and Measure Success</w:t>
            </w:r>
          </w:p>
        </w:tc>
        <w:tc>
          <w:tcPr>
            <w:tcW w:w="3504" w:type="pct"/>
            <w:vAlign w:val="center"/>
          </w:tcPr>
          <w:p w:rsidR="00B01423" w:rsidRPr="00C630BD" w:rsidRDefault="00256383" w:rsidP="00C630BD">
            <w:pPr>
              <w:rPr>
                <w:color w:val="000000"/>
                <w:sz w:val="20"/>
                <w:szCs w:val="20"/>
              </w:rPr>
            </w:pPr>
            <w:r w:rsidRPr="00C630BD">
              <w:rPr>
                <w:color w:val="000000"/>
                <w:sz w:val="20"/>
                <w:szCs w:val="20"/>
              </w:rPr>
              <w:t>#1: Provide Internal Monitoring System that will Produce Ongoing Feedback</w:t>
            </w:r>
          </w:p>
        </w:tc>
        <w:tc>
          <w:tcPr>
            <w:tcW w:w="436" w:type="pct"/>
            <w:vAlign w:val="center"/>
          </w:tcPr>
          <w:p w:rsidR="00B01423" w:rsidRPr="00C630BD" w:rsidRDefault="00F863CD" w:rsidP="00C630BD">
            <w:pPr>
              <w:rPr>
                <w:sz w:val="20"/>
                <w:szCs w:val="20"/>
              </w:rPr>
            </w:pPr>
            <w:r w:rsidRPr="00C630BD">
              <w:rPr>
                <w:sz w:val="20"/>
                <w:szCs w:val="20"/>
              </w:rPr>
              <w:t>2.8</w:t>
            </w:r>
          </w:p>
        </w:tc>
      </w:tr>
      <w:tr w:rsidR="00A5248C" w:rsidTr="00A5248C">
        <w:trPr>
          <w:trHeight w:val="530"/>
        </w:trPr>
        <w:tc>
          <w:tcPr>
            <w:tcW w:w="1059" w:type="pct"/>
            <w:vMerge/>
          </w:tcPr>
          <w:p w:rsidR="00B01423" w:rsidRPr="00C630BD" w:rsidRDefault="00B01423" w:rsidP="00C630BD">
            <w:pPr>
              <w:rPr>
                <w:sz w:val="20"/>
                <w:szCs w:val="20"/>
              </w:rPr>
            </w:pPr>
          </w:p>
        </w:tc>
        <w:tc>
          <w:tcPr>
            <w:tcW w:w="3504" w:type="pct"/>
            <w:vAlign w:val="center"/>
          </w:tcPr>
          <w:p w:rsidR="00B01423" w:rsidRPr="00C630BD" w:rsidRDefault="00256383" w:rsidP="00C630BD">
            <w:pPr>
              <w:rPr>
                <w:color w:val="000000"/>
                <w:sz w:val="20"/>
                <w:szCs w:val="20"/>
              </w:rPr>
            </w:pPr>
            <w:r w:rsidRPr="00C630BD">
              <w:rPr>
                <w:color w:val="000000"/>
                <w:sz w:val="20"/>
                <w:szCs w:val="20"/>
              </w:rPr>
              <w:t>#2: Provide Adequate Oversight for Plan Implementation</w:t>
            </w:r>
          </w:p>
        </w:tc>
        <w:tc>
          <w:tcPr>
            <w:tcW w:w="436" w:type="pct"/>
            <w:vAlign w:val="center"/>
          </w:tcPr>
          <w:p w:rsidR="00B01423" w:rsidRPr="00C630BD" w:rsidRDefault="00F863CD" w:rsidP="00C630BD">
            <w:pPr>
              <w:rPr>
                <w:sz w:val="20"/>
                <w:szCs w:val="20"/>
              </w:rPr>
            </w:pPr>
            <w:r w:rsidRPr="00C630BD">
              <w:rPr>
                <w:sz w:val="20"/>
                <w:szCs w:val="20"/>
              </w:rPr>
              <w:t>2.6</w:t>
            </w:r>
          </w:p>
        </w:tc>
      </w:tr>
    </w:tbl>
    <w:p w:rsidR="00554937" w:rsidRDefault="00554937" w:rsidP="00C630BD"/>
    <w:p w:rsidR="00554937" w:rsidRDefault="00554937" w:rsidP="00DE4F01">
      <w:pPr>
        <w:pStyle w:val="TODHeading2"/>
      </w:pPr>
    </w:p>
    <w:p w:rsidR="00554937" w:rsidRDefault="00554937" w:rsidP="00DE4F01">
      <w:pPr>
        <w:pStyle w:val="TODHeading2"/>
      </w:pPr>
    </w:p>
    <w:p w:rsidR="00554937" w:rsidRDefault="00554937" w:rsidP="00DE4F01">
      <w:pPr>
        <w:pStyle w:val="TODHeading2"/>
      </w:pPr>
    </w:p>
    <w:p w:rsidR="00554937" w:rsidRDefault="00554937" w:rsidP="00DE4F01">
      <w:pPr>
        <w:pStyle w:val="TODHeading2"/>
      </w:pPr>
    </w:p>
    <w:p w:rsidR="00554937" w:rsidRDefault="00554937" w:rsidP="00DE4F01">
      <w:pPr>
        <w:pStyle w:val="TODHeading2"/>
      </w:pPr>
    </w:p>
    <w:p w:rsidR="00FB7EFC" w:rsidRDefault="00FB7EFC" w:rsidP="00DE4F01">
      <w:pPr>
        <w:pStyle w:val="TODHeading2"/>
      </w:pPr>
    </w:p>
    <w:p w:rsidR="00FB7EFC" w:rsidRDefault="00FB7EFC" w:rsidP="00DE4F01">
      <w:pPr>
        <w:pStyle w:val="TODHeading2"/>
      </w:pPr>
    </w:p>
    <w:p w:rsidR="00FB7EFC" w:rsidRDefault="00FB7EFC" w:rsidP="00DE4F01">
      <w:pPr>
        <w:pStyle w:val="TODHeading2"/>
      </w:pPr>
    </w:p>
    <w:p w:rsidR="00FB7EFC" w:rsidRDefault="00FB7EFC" w:rsidP="00DE4F01">
      <w:pPr>
        <w:pStyle w:val="TODHeading2"/>
      </w:pPr>
    </w:p>
    <w:p w:rsidR="00FB7EFC" w:rsidRDefault="00FB7EFC" w:rsidP="00DE4F01">
      <w:pPr>
        <w:pStyle w:val="TODHeading2"/>
      </w:pPr>
    </w:p>
    <w:p w:rsidR="00FB7EFC" w:rsidRDefault="00FB7EFC" w:rsidP="00DE4F01">
      <w:pPr>
        <w:pStyle w:val="TODHeading2"/>
      </w:pPr>
    </w:p>
    <w:p w:rsidR="00FB7EFC" w:rsidRDefault="00FB7EFC" w:rsidP="00DE4F01">
      <w:pPr>
        <w:pStyle w:val="TODHeading2"/>
      </w:pPr>
    </w:p>
    <w:p w:rsidR="00FB7EFC" w:rsidRDefault="00FB7EFC" w:rsidP="00DE4F01">
      <w:pPr>
        <w:pStyle w:val="TODHeading2"/>
      </w:pPr>
    </w:p>
    <w:p w:rsidR="00FB7EFC" w:rsidRDefault="00FB7EFC" w:rsidP="00DE4F01">
      <w:pPr>
        <w:pStyle w:val="TODHeading2"/>
      </w:pPr>
    </w:p>
    <w:p w:rsidR="00FB7EFC" w:rsidRDefault="00FB7EFC" w:rsidP="00DE4F01">
      <w:pPr>
        <w:pStyle w:val="TODHeading2"/>
      </w:pPr>
    </w:p>
    <w:p w:rsidR="00FB7EFC" w:rsidRDefault="00FB7EFC" w:rsidP="00DE4F01">
      <w:pPr>
        <w:pStyle w:val="TODHeading2"/>
      </w:pPr>
    </w:p>
    <w:p w:rsidR="00FB7EFC" w:rsidRDefault="00FB7EFC" w:rsidP="00DE4F01">
      <w:pPr>
        <w:pStyle w:val="TODHeading2"/>
      </w:pPr>
    </w:p>
    <w:p w:rsidR="00FB7EFC" w:rsidRDefault="00FB7EFC" w:rsidP="00DE4F01">
      <w:pPr>
        <w:pStyle w:val="TODHeading2"/>
      </w:pPr>
    </w:p>
    <w:p w:rsidR="00FB7EFC" w:rsidRDefault="00FB7EFC" w:rsidP="00DE4F01">
      <w:pPr>
        <w:pStyle w:val="TODHeading2"/>
      </w:pPr>
    </w:p>
    <w:p w:rsidR="00FB7EFC" w:rsidRDefault="00FB7EFC" w:rsidP="00DE4F01">
      <w:pPr>
        <w:pStyle w:val="TODHeading2"/>
      </w:pPr>
    </w:p>
    <w:p w:rsidR="00FB7EFC" w:rsidRDefault="00FB7EFC" w:rsidP="00DE4F01">
      <w:pPr>
        <w:pStyle w:val="TODHeading2"/>
      </w:pPr>
    </w:p>
    <w:p w:rsidR="001769D3" w:rsidRPr="001212E4" w:rsidRDefault="006B3681" w:rsidP="001769D3">
      <w:pPr>
        <w:pStyle w:val="TOC10"/>
      </w:pPr>
      <w:bookmarkStart w:id="87" w:name="_Toc352584391"/>
      <w:bookmarkStart w:id="88" w:name="_Toc359933725"/>
      <w:r>
        <w:t>APPENDIX E</w:t>
      </w:r>
      <w:r w:rsidR="001769D3" w:rsidRPr="006B3681">
        <w:br/>
      </w:r>
      <w:r>
        <w:t>POTENTIAL NEW REVENUE</w:t>
      </w:r>
      <w:bookmarkEnd w:id="87"/>
      <w:bookmarkEnd w:id="88"/>
    </w:p>
    <w:p w:rsidR="001769D3" w:rsidRPr="001212E4" w:rsidRDefault="001769D3" w:rsidP="001769D3">
      <w:pPr>
        <w:pStyle w:val="TOC10"/>
      </w:pPr>
    </w:p>
    <w:p w:rsidR="000D3D59" w:rsidRPr="000D3D59" w:rsidRDefault="000D3D59" w:rsidP="000D3D59"/>
    <w:p w:rsidR="00766DAD" w:rsidRPr="00A8168E" w:rsidRDefault="00766DAD" w:rsidP="00766DAD">
      <w:pPr>
        <w:ind w:hanging="180"/>
        <w:jc w:val="center"/>
        <w:rPr>
          <w:b/>
          <w:sz w:val="32"/>
          <w:szCs w:val="32"/>
        </w:rPr>
      </w:pPr>
      <w:r w:rsidRPr="00A8168E">
        <w:rPr>
          <w:b/>
          <w:sz w:val="32"/>
          <w:szCs w:val="32"/>
        </w:rPr>
        <w:t>JOINT CITY/COUNTY AFFORDABLE HOUSING TASK FORCE</w:t>
      </w:r>
    </w:p>
    <w:tbl>
      <w:tblPr>
        <w:tblW w:w="0" w:type="auto"/>
        <w:tblLook w:val="04A0" w:firstRow="1" w:lastRow="0" w:firstColumn="1" w:lastColumn="0" w:noHBand="0" w:noVBand="1"/>
      </w:tblPr>
      <w:tblGrid>
        <w:gridCol w:w="3096"/>
        <w:gridCol w:w="3104"/>
        <w:gridCol w:w="3376"/>
      </w:tblGrid>
      <w:tr w:rsidR="00766DAD" w:rsidRPr="00A7032F" w:rsidTr="0046529D">
        <w:tc>
          <w:tcPr>
            <w:tcW w:w="3096" w:type="dxa"/>
          </w:tcPr>
          <w:p w:rsidR="00766DAD" w:rsidRPr="00A7032F" w:rsidRDefault="00766DAD" w:rsidP="0046529D">
            <w:pPr>
              <w:jc w:val="center"/>
              <w:rPr>
                <w:sz w:val="16"/>
                <w:szCs w:val="16"/>
              </w:rPr>
            </w:pPr>
            <w:r>
              <w:rPr>
                <w:rFonts w:ascii="Arial" w:hAnsi="Arial" w:cs="Arial"/>
                <w:noProof/>
                <w:sz w:val="18"/>
                <w:szCs w:val="18"/>
              </w:rPr>
              <w:drawing>
                <wp:inline distT="0" distB="0" distL="0" distR="0">
                  <wp:extent cx="762000" cy="781050"/>
                  <wp:effectExtent l="19050" t="0" r="0" b="0"/>
                  <wp:docPr id="1" name="Picture 1" descr="2 color Logo-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 color Logo-Small"/>
                          <pic:cNvPicPr>
                            <a:picLocks noChangeAspect="1" noChangeArrowheads="1"/>
                          </pic:cNvPicPr>
                        </pic:nvPicPr>
                        <pic:blipFill>
                          <a:blip r:embed="rId44" cstate="print"/>
                          <a:srcRect/>
                          <a:stretch>
                            <a:fillRect/>
                          </a:stretch>
                        </pic:blipFill>
                        <pic:spPr bwMode="auto">
                          <a:xfrm>
                            <a:off x="0" y="0"/>
                            <a:ext cx="762000" cy="781050"/>
                          </a:xfrm>
                          <a:prstGeom prst="rect">
                            <a:avLst/>
                          </a:prstGeom>
                          <a:noFill/>
                          <a:ln w="9525">
                            <a:noFill/>
                            <a:miter lim="800000"/>
                            <a:headEnd/>
                            <a:tailEnd/>
                          </a:ln>
                        </pic:spPr>
                      </pic:pic>
                    </a:graphicData>
                  </a:graphic>
                </wp:inline>
              </w:drawing>
            </w:r>
          </w:p>
        </w:tc>
        <w:tc>
          <w:tcPr>
            <w:tcW w:w="3104" w:type="dxa"/>
          </w:tcPr>
          <w:p w:rsidR="00766DAD" w:rsidRPr="00A7032F" w:rsidRDefault="00766DAD" w:rsidP="0046529D">
            <w:pPr>
              <w:rPr>
                <w:sz w:val="16"/>
                <w:szCs w:val="16"/>
              </w:rPr>
            </w:pPr>
            <w:r>
              <w:rPr>
                <w:rFonts w:ascii="Verdana" w:hAnsi="Verdana"/>
                <w:color w:val="000000"/>
                <w:sz w:val="16"/>
                <w:szCs w:val="16"/>
              </w:rPr>
              <w:t xml:space="preserve">                  </w:t>
            </w:r>
            <w:r>
              <w:rPr>
                <w:rFonts w:ascii="Verdana" w:hAnsi="Verdana"/>
                <w:noProof/>
                <w:color w:val="000000"/>
                <w:sz w:val="16"/>
                <w:szCs w:val="16"/>
              </w:rPr>
              <w:drawing>
                <wp:inline distT="0" distB="0" distL="0" distR="0">
                  <wp:extent cx="781050" cy="1028700"/>
                  <wp:effectExtent l="19050" t="0" r="0" b="0"/>
                  <wp:docPr id="4" name="Picture 2" descr="SealDetai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alDetailed"/>
                          <pic:cNvPicPr>
                            <a:picLocks noChangeAspect="1" noChangeArrowheads="1"/>
                          </pic:cNvPicPr>
                        </pic:nvPicPr>
                        <pic:blipFill>
                          <a:blip r:embed="rId45" cstate="print"/>
                          <a:srcRect/>
                          <a:stretch>
                            <a:fillRect/>
                          </a:stretch>
                        </pic:blipFill>
                        <pic:spPr bwMode="auto">
                          <a:xfrm>
                            <a:off x="0" y="0"/>
                            <a:ext cx="781050" cy="1028700"/>
                          </a:xfrm>
                          <a:prstGeom prst="rect">
                            <a:avLst/>
                          </a:prstGeom>
                          <a:noFill/>
                          <a:ln w="9525">
                            <a:noFill/>
                            <a:miter lim="800000"/>
                            <a:headEnd/>
                            <a:tailEnd/>
                          </a:ln>
                        </pic:spPr>
                      </pic:pic>
                    </a:graphicData>
                  </a:graphic>
                </wp:inline>
              </w:drawing>
            </w:r>
          </w:p>
        </w:tc>
        <w:tc>
          <w:tcPr>
            <w:tcW w:w="3376" w:type="dxa"/>
          </w:tcPr>
          <w:p w:rsidR="00766DAD" w:rsidRPr="00A7032F" w:rsidRDefault="00766DAD" w:rsidP="0046529D">
            <w:pPr>
              <w:rPr>
                <w:sz w:val="16"/>
                <w:szCs w:val="16"/>
              </w:rPr>
            </w:pPr>
            <w:r>
              <w:t xml:space="preserve">     </w:t>
            </w:r>
            <w:r>
              <w:rPr>
                <w:noProof/>
                <w:color w:val="0000FF"/>
                <w:sz w:val="18"/>
                <w:szCs w:val="18"/>
              </w:rPr>
              <w:drawing>
                <wp:inline distT="0" distB="0" distL="0" distR="0">
                  <wp:extent cx="1438275" cy="714375"/>
                  <wp:effectExtent l="19050" t="0" r="9525" b="0"/>
                  <wp:docPr id="5" name="Picture 1" descr="City of Napa logo">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ty of Napa logo"/>
                          <pic:cNvPicPr>
                            <a:picLocks noChangeAspect="1" noChangeArrowheads="1"/>
                          </pic:cNvPicPr>
                        </pic:nvPicPr>
                        <pic:blipFill>
                          <a:blip r:embed="rId47" cstate="print"/>
                          <a:srcRect/>
                          <a:stretch>
                            <a:fillRect/>
                          </a:stretch>
                        </pic:blipFill>
                        <pic:spPr bwMode="auto">
                          <a:xfrm>
                            <a:off x="0" y="0"/>
                            <a:ext cx="1438275" cy="714375"/>
                          </a:xfrm>
                          <a:prstGeom prst="rect">
                            <a:avLst/>
                          </a:prstGeom>
                          <a:noFill/>
                          <a:ln w="9525">
                            <a:noFill/>
                            <a:miter lim="800000"/>
                            <a:headEnd/>
                            <a:tailEnd/>
                          </a:ln>
                        </pic:spPr>
                      </pic:pic>
                    </a:graphicData>
                  </a:graphic>
                </wp:inline>
              </w:drawing>
            </w:r>
          </w:p>
        </w:tc>
      </w:tr>
    </w:tbl>
    <w:p w:rsidR="00766DAD" w:rsidRPr="001801F2" w:rsidRDefault="00766DAD" w:rsidP="00766DAD">
      <w:pPr>
        <w:pBdr>
          <w:bottom w:val="single" w:sz="12" w:space="1" w:color="auto"/>
        </w:pBdr>
        <w:rPr>
          <w:sz w:val="16"/>
          <w:szCs w:val="16"/>
        </w:rPr>
      </w:pPr>
    </w:p>
    <w:p w:rsidR="00766DAD" w:rsidRPr="002B624A" w:rsidRDefault="00766DAD" w:rsidP="00766DAD">
      <w:pPr>
        <w:rPr>
          <w:rFonts w:ascii="Arial" w:hAnsi="Arial" w:cs="Arial"/>
          <w:sz w:val="18"/>
          <w:szCs w:val="18"/>
        </w:rPr>
      </w:pPr>
      <w:r>
        <w:rPr>
          <w:rFonts w:ascii="Arial" w:hAnsi="Arial" w:cs="Arial"/>
        </w:rPr>
        <w:t xml:space="preserve">    </w:t>
      </w:r>
      <w:r w:rsidRPr="002B624A">
        <w:rPr>
          <w:rFonts w:ascii="Arial" w:hAnsi="Arial" w:cs="Arial"/>
          <w:sz w:val="18"/>
          <w:szCs w:val="18"/>
        </w:rPr>
        <w:t>Councilmember Mark Joseph</w:t>
      </w:r>
      <w:r w:rsidRPr="002B624A">
        <w:rPr>
          <w:rFonts w:ascii="Arial" w:hAnsi="Arial" w:cs="Arial"/>
          <w:sz w:val="18"/>
          <w:szCs w:val="18"/>
        </w:rPr>
        <w:tab/>
      </w:r>
      <w:r w:rsidRPr="002B624A">
        <w:rPr>
          <w:rFonts w:ascii="Arial" w:hAnsi="Arial" w:cs="Arial"/>
          <w:sz w:val="18"/>
          <w:szCs w:val="18"/>
        </w:rPr>
        <w:tab/>
      </w:r>
      <w:r>
        <w:rPr>
          <w:rFonts w:ascii="Arial" w:hAnsi="Arial" w:cs="Arial"/>
          <w:sz w:val="18"/>
          <w:szCs w:val="18"/>
        </w:rPr>
        <w:t xml:space="preserve">      </w:t>
      </w:r>
      <w:r w:rsidRPr="002B624A">
        <w:rPr>
          <w:rFonts w:ascii="Arial" w:hAnsi="Arial" w:cs="Arial"/>
          <w:sz w:val="18"/>
          <w:szCs w:val="18"/>
        </w:rPr>
        <w:t>Supervisor Mark Luce</w:t>
      </w:r>
      <w:r w:rsidRPr="002B624A">
        <w:rPr>
          <w:rFonts w:ascii="Arial" w:hAnsi="Arial" w:cs="Arial"/>
          <w:sz w:val="18"/>
          <w:szCs w:val="18"/>
        </w:rPr>
        <w:tab/>
      </w:r>
      <w:r w:rsidRPr="002B624A">
        <w:rPr>
          <w:rFonts w:ascii="Arial" w:hAnsi="Arial" w:cs="Arial"/>
          <w:sz w:val="18"/>
          <w:szCs w:val="18"/>
        </w:rPr>
        <w:tab/>
      </w:r>
      <w:r>
        <w:rPr>
          <w:rFonts w:ascii="Arial" w:hAnsi="Arial" w:cs="Arial"/>
          <w:sz w:val="18"/>
          <w:szCs w:val="18"/>
        </w:rPr>
        <w:t xml:space="preserve">Vice Mayor </w:t>
      </w:r>
      <w:r w:rsidRPr="002B624A">
        <w:rPr>
          <w:rFonts w:ascii="Arial" w:hAnsi="Arial" w:cs="Arial"/>
          <w:sz w:val="18"/>
          <w:szCs w:val="18"/>
        </w:rPr>
        <w:t>Pete Mott</w:t>
      </w:r>
    </w:p>
    <w:p w:rsidR="00766DAD" w:rsidRDefault="00766DAD" w:rsidP="00766DAD">
      <w:pPr>
        <w:jc w:val="center"/>
        <w:rPr>
          <w:b/>
          <w:sz w:val="32"/>
          <w:szCs w:val="32"/>
        </w:rPr>
      </w:pPr>
    </w:p>
    <w:p w:rsidR="00766DAD" w:rsidRDefault="00766DAD" w:rsidP="00766DAD">
      <w:pPr>
        <w:jc w:val="center"/>
        <w:rPr>
          <w:b/>
          <w:sz w:val="32"/>
          <w:szCs w:val="32"/>
        </w:rPr>
      </w:pPr>
    </w:p>
    <w:p w:rsidR="00766DAD" w:rsidRPr="00145FB9" w:rsidRDefault="00766DAD" w:rsidP="00766DAD">
      <w:pPr>
        <w:jc w:val="center"/>
        <w:rPr>
          <w:b/>
          <w:sz w:val="32"/>
          <w:szCs w:val="32"/>
        </w:rPr>
      </w:pPr>
      <w:r w:rsidRPr="00145FB9">
        <w:rPr>
          <w:b/>
          <w:sz w:val="32"/>
          <w:szCs w:val="32"/>
        </w:rPr>
        <w:t>REVENUE ANALYSIS FOR THE AFFORDABLE HOUSING TASK FORCE</w:t>
      </w:r>
    </w:p>
    <w:p w:rsidR="00766DAD" w:rsidRDefault="00766DAD" w:rsidP="00766DAD">
      <w:pPr>
        <w:jc w:val="center"/>
        <w:rPr>
          <w:b/>
          <w:sz w:val="32"/>
          <w:szCs w:val="32"/>
        </w:rPr>
      </w:pPr>
    </w:p>
    <w:p w:rsidR="00766DAD" w:rsidRDefault="00766DAD" w:rsidP="00766DAD">
      <w:pPr>
        <w:jc w:val="center"/>
        <w:rPr>
          <w:b/>
          <w:sz w:val="32"/>
          <w:szCs w:val="32"/>
        </w:rPr>
      </w:pPr>
    </w:p>
    <w:p w:rsidR="00766DAD" w:rsidRDefault="00766DAD" w:rsidP="00766DAD">
      <w:pPr>
        <w:jc w:val="center"/>
        <w:rPr>
          <w:b/>
          <w:sz w:val="32"/>
          <w:szCs w:val="32"/>
        </w:rPr>
      </w:pPr>
    </w:p>
    <w:p w:rsidR="00766DAD" w:rsidRDefault="00766DAD" w:rsidP="00766DAD">
      <w:pPr>
        <w:jc w:val="center"/>
        <w:rPr>
          <w:b/>
          <w:sz w:val="32"/>
          <w:szCs w:val="32"/>
        </w:rPr>
      </w:pPr>
    </w:p>
    <w:p w:rsidR="00766DAD" w:rsidRDefault="00766DAD" w:rsidP="00766DAD">
      <w:pPr>
        <w:jc w:val="center"/>
        <w:rPr>
          <w:b/>
          <w:sz w:val="32"/>
          <w:szCs w:val="32"/>
        </w:rPr>
      </w:pPr>
    </w:p>
    <w:p w:rsidR="00766DAD" w:rsidRPr="00145FB9" w:rsidRDefault="00766DAD" w:rsidP="00766DAD">
      <w:pPr>
        <w:jc w:val="center"/>
        <w:rPr>
          <w:b/>
          <w:sz w:val="20"/>
          <w:szCs w:val="20"/>
        </w:rPr>
      </w:pPr>
      <w:r w:rsidRPr="00145FB9">
        <w:rPr>
          <w:b/>
          <w:sz w:val="20"/>
          <w:szCs w:val="20"/>
        </w:rPr>
        <w:t>TO: AFFORDABLE HOUSING TASK FORCE</w:t>
      </w:r>
    </w:p>
    <w:p w:rsidR="00766DAD" w:rsidRPr="00145FB9" w:rsidRDefault="00766DAD" w:rsidP="00766DAD">
      <w:pPr>
        <w:jc w:val="center"/>
        <w:rPr>
          <w:b/>
          <w:sz w:val="20"/>
          <w:szCs w:val="20"/>
        </w:rPr>
      </w:pPr>
    </w:p>
    <w:p w:rsidR="00766DAD" w:rsidRPr="00145FB9" w:rsidRDefault="00766DAD" w:rsidP="00766DAD">
      <w:pPr>
        <w:jc w:val="center"/>
        <w:rPr>
          <w:b/>
          <w:sz w:val="20"/>
          <w:szCs w:val="20"/>
        </w:rPr>
      </w:pPr>
      <w:r w:rsidRPr="00145FB9">
        <w:rPr>
          <w:b/>
          <w:sz w:val="20"/>
          <w:szCs w:val="20"/>
        </w:rPr>
        <w:t>FROM: LARRY FLORIN, DIRECTOR OF HOUSING AND INTERGOVERNMENTAL AFFAIRS</w:t>
      </w:r>
    </w:p>
    <w:p w:rsidR="00766DAD" w:rsidRPr="00145FB9" w:rsidRDefault="00766DAD" w:rsidP="00766DAD">
      <w:pPr>
        <w:jc w:val="center"/>
        <w:rPr>
          <w:b/>
          <w:sz w:val="20"/>
          <w:szCs w:val="20"/>
        </w:rPr>
      </w:pPr>
    </w:p>
    <w:p w:rsidR="00766DAD" w:rsidRPr="00145FB9" w:rsidRDefault="00766DAD" w:rsidP="00766DAD">
      <w:pPr>
        <w:jc w:val="center"/>
        <w:rPr>
          <w:b/>
          <w:sz w:val="20"/>
          <w:szCs w:val="20"/>
        </w:rPr>
      </w:pPr>
      <w:r w:rsidRPr="00145FB9">
        <w:rPr>
          <w:b/>
          <w:sz w:val="20"/>
          <w:szCs w:val="20"/>
        </w:rPr>
        <w:t>PREPARED BY: NANCY MCDONNELL, STAFF SERVICES ANALYST</w:t>
      </w:r>
    </w:p>
    <w:p w:rsidR="00766DAD" w:rsidRDefault="00766DAD" w:rsidP="00766DAD">
      <w:pPr>
        <w:jc w:val="center"/>
        <w:rPr>
          <w:b/>
        </w:rPr>
      </w:pPr>
    </w:p>
    <w:p w:rsidR="00766DAD" w:rsidRDefault="00766DAD" w:rsidP="00766DAD">
      <w:pPr>
        <w:jc w:val="center"/>
        <w:rPr>
          <w:b/>
        </w:rPr>
      </w:pPr>
    </w:p>
    <w:p w:rsidR="00766DAD" w:rsidRDefault="00766DAD" w:rsidP="00766DAD">
      <w:pPr>
        <w:jc w:val="center"/>
        <w:rPr>
          <w:b/>
        </w:rPr>
      </w:pPr>
    </w:p>
    <w:p w:rsidR="00766DAD" w:rsidRDefault="00766DAD" w:rsidP="00766DAD">
      <w:pPr>
        <w:jc w:val="center"/>
        <w:rPr>
          <w:b/>
          <w:sz w:val="32"/>
          <w:szCs w:val="32"/>
        </w:rPr>
      </w:pPr>
    </w:p>
    <w:p w:rsidR="00766DAD" w:rsidRDefault="00766DAD" w:rsidP="00766DAD">
      <w:pPr>
        <w:jc w:val="center"/>
        <w:rPr>
          <w:b/>
          <w:sz w:val="32"/>
          <w:szCs w:val="32"/>
        </w:rPr>
      </w:pPr>
    </w:p>
    <w:p w:rsidR="00766DAD" w:rsidRPr="00145FB9" w:rsidRDefault="00766DAD" w:rsidP="00766DAD">
      <w:pPr>
        <w:jc w:val="center"/>
        <w:rPr>
          <w:b/>
          <w:sz w:val="28"/>
          <w:szCs w:val="28"/>
        </w:rPr>
      </w:pPr>
      <w:r w:rsidRPr="00145FB9">
        <w:rPr>
          <w:b/>
          <w:sz w:val="28"/>
          <w:szCs w:val="28"/>
        </w:rPr>
        <w:t>NAPA COUNTY EXECUTIVE OFFICE</w:t>
      </w:r>
    </w:p>
    <w:p w:rsidR="00766DAD" w:rsidRPr="00145FB9" w:rsidRDefault="00766DAD" w:rsidP="00766DAD">
      <w:pPr>
        <w:jc w:val="center"/>
        <w:rPr>
          <w:b/>
          <w:sz w:val="28"/>
          <w:szCs w:val="28"/>
        </w:rPr>
      </w:pPr>
    </w:p>
    <w:p w:rsidR="00766DAD" w:rsidRPr="00145FB9" w:rsidRDefault="00766DAD" w:rsidP="00766DAD">
      <w:pPr>
        <w:jc w:val="center"/>
        <w:rPr>
          <w:b/>
          <w:sz w:val="28"/>
          <w:szCs w:val="28"/>
        </w:rPr>
      </w:pPr>
      <w:r w:rsidRPr="00145FB9">
        <w:rPr>
          <w:b/>
          <w:sz w:val="28"/>
          <w:szCs w:val="28"/>
        </w:rPr>
        <w:t>HOUSING AND INTERGOVERNMENTAL AFFAIRS DIVISION</w:t>
      </w:r>
    </w:p>
    <w:p w:rsidR="00766DAD" w:rsidRPr="002A4A75" w:rsidRDefault="00766DAD" w:rsidP="00766DAD">
      <w:pPr>
        <w:rPr>
          <w:rFonts w:cs="Arial"/>
          <w:b/>
          <w:sz w:val="28"/>
          <w:szCs w:val="28"/>
        </w:rPr>
      </w:pPr>
      <w:r>
        <w:rPr>
          <w:b/>
          <w:sz w:val="32"/>
          <w:szCs w:val="32"/>
        </w:rPr>
        <w:br w:type="page"/>
      </w:r>
      <w:r w:rsidRPr="002A4A75">
        <w:rPr>
          <w:rFonts w:cs="Arial"/>
          <w:b/>
          <w:sz w:val="28"/>
          <w:szCs w:val="28"/>
        </w:rPr>
        <w:t>INTRODUCTION:</w:t>
      </w:r>
    </w:p>
    <w:p w:rsidR="00766DAD" w:rsidRPr="002A4A75" w:rsidRDefault="00766DAD" w:rsidP="00766DAD">
      <w:pPr>
        <w:ind w:firstLine="2880"/>
        <w:jc w:val="both"/>
        <w:rPr>
          <w:rFonts w:cs="Arial"/>
          <w:b/>
        </w:rPr>
      </w:pPr>
    </w:p>
    <w:p w:rsidR="00766DAD" w:rsidRPr="002A4A75" w:rsidRDefault="00766DAD" w:rsidP="00766DAD">
      <w:pPr>
        <w:jc w:val="both"/>
        <w:rPr>
          <w:rFonts w:cs="Arial"/>
        </w:rPr>
      </w:pPr>
      <w:r w:rsidRPr="002A4A75">
        <w:rPr>
          <w:rFonts w:cs="Arial"/>
        </w:rPr>
        <w:t>Staff, directed by the Joint Countywide Affordable Housing Task Force, has comprised the following list of revenue options for additional funding to create a reliable and dedicated revenue source for Countywide Affordable Housing construction.</w:t>
      </w:r>
    </w:p>
    <w:p w:rsidR="00766DAD" w:rsidRPr="002A4A75" w:rsidRDefault="00766DAD" w:rsidP="00766DAD">
      <w:pPr>
        <w:jc w:val="both"/>
        <w:rPr>
          <w:rFonts w:cs="Arial"/>
        </w:rPr>
      </w:pPr>
    </w:p>
    <w:p w:rsidR="00766DAD" w:rsidRPr="002A4A75" w:rsidRDefault="00766DAD" w:rsidP="00766DAD">
      <w:pPr>
        <w:jc w:val="both"/>
        <w:rPr>
          <w:rFonts w:cs="Arial"/>
        </w:rPr>
      </w:pPr>
    </w:p>
    <w:p w:rsidR="00766DAD" w:rsidRPr="006609C5" w:rsidRDefault="00766DAD" w:rsidP="00766DAD">
      <w:pPr>
        <w:ind w:firstLine="2160"/>
        <w:jc w:val="both"/>
        <w:rPr>
          <w:rFonts w:cs="Arial"/>
          <w:b/>
          <w:u w:val="single"/>
        </w:rPr>
      </w:pPr>
      <w:r w:rsidRPr="006609C5">
        <w:rPr>
          <w:rFonts w:cs="Arial"/>
          <w:b/>
          <w:u w:val="single"/>
        </w:rPr>
        <w:t>POTENTIAL REVENUE SOURCES</w:t>
      </w:r>
    </w:p>
    <w:p w:rsidR="00766DAD" w:rsidRPr="002A4A75" w:rsidRDefault="00766DAD" w:rsidP="00766DAD">
      <w:pPr>
        <w:ind w:firstLine="2160"/>
        <w:jc w:val="both"/>
        <w:rPr>
          <w:rFonts w:cs="Arial"/>
          <w:b/>
        </w:rPr>
      </w:pPr>
      <w:r>
        <w:rPr>
          <w:rFonts w:cs="Arial"/>
          <w:b/>
        </w:rPr>
        <w:t xml:space="preserve">MITIGATION FEE </w:t>
      </w:r>
    </w:p>
    <w:p w:rsidR="00766DAD" w:rsidRPr="002A4A75" w:rsidRDefault="00766DAD" w:rsidP="00766DAD">
      <w:pPr>
        <w:ind w:firstLine="2160"/>
        <w:jc w:val="both"/>
        <w:rPr>
          <w:rFonts w:cs="Arial"/>
          <w:b/>
        </w:rPr>
      </w:pPr>
      <w:r w:rsidRPr="002A4A75">
        <w:rPr>
          <w:rFonts w:cs="Arial"/>
          <w:b/>
        </w:rPr>
        <w:t xml:space="preserve">CSA 4 INCREASE </w:t>
      </w:r>
    </w:p>
    <w:p w:rsidR="00766DAD" w:rsidRDefault="00766DAD" w:rsidP="00766DAD">
      <w:pPr>
        <w:ind w:firstLine="2160"/>
        <w:jc w:val="both"/>
        <w:rPr>
          <w:rFonts w:cs="Arial"/>
          <w:b/>
        </w:rPr>
      </w:pPr>
      <w:r w:rsidRPr="002A4A75">
        <w:rPr>
          <w:rFonts w:cs="Arial"/>
          <w:b/>
        </w:rPr>
        <w:t>BUSINESS LICENSE FEE</w:t>
      </w:r>
    </w:p>
    <w:p w:rsidR="00766DAD" w:rsidRPr="002A4A75" w:rsidRDefault="00766DAD" w:rsidP="00766DAD">
      <w:pPr>
        <w:ind w:firstLine="2160"/>
        <w:jc w:val="both"/>
        <w:rPr>
          <w:rFonts w:cs="Arial"/>
          <w:b/>
        </w:rPr>
      </w:pPr>
      <w:r>
        <w:rPr>
          <w:rFonts w:cs="Arial"/>
          <w:b/>
        </w:rPr>
        <w:t>TOT INCREASE</w:t>
      </w:r>
    </w:p>
    <w:p w:rsidR="00766DAD" w:rsidRPr="002A4A75" w:rsidRDefault="00766DAD" w:rsidP="00766DAD">
      <w:pPr>
        <w:ind w:firstLine="2160"/>
        <w:jc w:val="both"/>
        <w:rPr>
          <w:rFonts w:cs="Arial"/>
          <w:b/>
        </w:rPr>
      </w:pPr>
      <w:r w:rsidRPr="002A4A75">
        <w:rPr>
          <w:rFonts w:cs="Arial"/>
          <w:b/>
        </w:rPr>
        <w:t>REAL ESTATE TRANSFER TAX</w:t>
      </w:r>
    </w:p>
    <w:p w:rsidR="00766DAD" w:rsidRPr="002A4A75" w:rsidRDefault="00766DAD" w:rsidP="00766DAD">
      <w:pPr>
        <w:ind w:firstLine="2160"/>
        <w:jc w:val="both"/>
        <w:rPr>
          <w:rFonts w:cs="Arial"/>
          <w:b/>
        </w:rPr>
      </w:pPr>
      <w:r w:rsidRPr="002A4A75">
        <w:rPr>
          <w:rFonts w:cs="Arial"/>
          <w:b/>
        </w:rPr>
        <w:t>RECORDING FEE</w:t>
      </w:r>
    </w:p>
    <w:p w:rsidR="00766DAD" w:rsidRPr="002A4A75" w:rsidRDefault="00766DAD" w:rsidP="00766DAD">
      <w:pPr>
        <w:ind w:firstLine="2160"/>
        <w:jc w:val="both"/>
        <w:rPr>
          <w:rFonts w:cs="Arial"/>
          <w:b/>
        </w:rPr>
      </w:pPr>
    </w:p>
    <w:p w:rsidR="00766DAD" w:rsidRPr="002A4A75" w:rsidRDefault="00766DAD" w:rsidP="00766DAD">
      <w:pPr>
        <w:jc w:val="both"/>
        <w:rPr>
          <w:rFonts w:cs="Arial"/>
        </w:rPr>
      </w:pPr>
    </w:p>
    <w:p w:rsidR="00766DAD" w:rsidRPr="002A4A75" w:rsidRDefault="00766DAD" w:rsidP="00766DAD">
      <w:pPr>
        <w:jc w:val="both"/>
        <w:rPr>
          <w:rFonts w:cs="Arial"/>
        </w:rPr>
      </w:pPr>
      <w:r w:rsidRPr="002A4A75">
        <w:rPr>
          <w:rFonts w:cs="Arial"/>
        </w:rPr>
        <w:t>The following report includes a breakdown of each revenue source, including a brief description of what the source is, how i</w:t>
      </w:r>
      <w:r>
        <w:rPr>
          <w:rFonts w:cs="Arial"/>
        </w:rPr>
        <w:t>t</w:t>
      </w:r>
      <w:r w:rsidRPr="002A4A75">
        <w:rPr>
          <w:rFonts w:cs="Arial"/>
        </w:rPr>
        <w:t xml:space="preserve"> works, the process for creating or increasing existing fees and taxes, as well as a staff recommendation on the feasibility of implementing the tax or fee.</w:t>
      </w:r>
    </w:p>
    <w:p w:rsidR="00766DAD" w:rsidRPr="002A4A75" w:rsidRDefault="00766DAD" w:rsidP="00766DAD"/>
    <w:p w:rsidR="00766DAD" w:rsidRPr="002A4A75" w:rsidRDefault="00766DAD" w:rsidP="00766DAD">
      <w:r w:rsidRPr="002A4A75">
        <w:br w:type="page"/>
      </w:r>
    </w:p>
    <w:p w:rsidR="00766DAD" w:rsidRPr="009F12C9" w:rsidRDefault="00766DAD" w:rsidP="00766DAD">
      <w:pPr>
        <w:jc w:val="center"/>
        <w:rPr>
          <w:b/>
          <w:sz w:val="28"/>
          <w:szCs w:val="28"/>
        </w:rPr>
      </w:pPr>
      <w:r w:rsidRPr="009F12C9">
        <w:rPr>
          <w:b/>
          <w:sz w:val="28"/>
          <w:szCs w:val="28"/>
        </w:rPr>
        <w:t>MITIGATION FEE</w:t>
      </w:r>
    </w:p>
    <w:p w:rsidR="00766DAD" w:rsidRDefault="00766DAD" w:rsidP="00766DAD">
      <w:pPr>
        <w:jc w:val="center"/>
        <w:rPr>
          <w:b/>
          <w:sz w:val="28"/>
          <w:szCs w:val="28"/>
        </w:rPr>
      </w:pPr>
      <w:r w:rsidRPr="009F12C9">
        <w:rPr>
          <w:b/>
          <w:sz w:val="28"/>
          <w:szCs w:val="28"/>
        </w:rPr>
        <w:t>(COMMERCIAL AND RESIDENTIAL)</w:t>
      </w:r>
    </w:p>
    <w:p w:rsidR="00766DAD" w:rsidRDefault="00766DAD" w:rsidP="00766DAD">
      <w:pPr>
        <w:jc w:val="both"/>
        <w:rPr>
          <w:b/>
        </w:rPr>
      </w:pPr>
    </w:p>
    <w:p w:rsidR="00766DAD" w:rsidRPr="00AC775A" w:rsidRDefault="00766DAD" w:rsidP="00766DAD">
      <w:pPr>
        <w:jc w:val="both"/>
        <w:rPr>
          <w:b/>
        </w:rPr>
      </w:pPr>
    </w:p>
    <w:p w:rsidR="00766DAD" w:rsidRPr="0076218C" w:rsidRDefault="00766DAD" w:rsidP="00766DAD">
      <w:pPr>
        <w:jc w:val="both"/>
      </w:pPr>
      <w:r w:rsidRPr="002A4A75">
        <w:rPr>
          <w:b/>
        </w:rPr>
        <w:t xml:space="preserve">DESCRIPTION: </w:t>
      </w:r>
      <w:r w:rsidRPr="0076218C">
        <w:t xml:space="preserve">Napa County currently charges both a residential and commercial mitigation fee for affordable housing.  The County maintains an Affordable Housing Fund where all affordable housing fees required by the Affordable Housing Ordinance are to be deposited. The Affordable Housing Fund monies are to be administered by the Housing Director under the direction of the Board of Supervisors. Affordable Housing Fund monies must be used to increase, improve, or preserve affordable housing in the County. On an annual basis, the Housing Director is required to prepare a report for the Board of Supervisors that lists all monies in the fund, describes the source of such monies, and details any activities undertaken with the Affordable Housing Fund during the reporting period.  </w:t>
      </w:r>
    </w:p>
    <w:p w:rsidR="00766DAD" w:rsidRPr="0076218C" w:rsidRDefault="00766DAD" w:rsidP="00766DAD">
      <w:pPr>
        <w:spacing w:before="100" w:beforeAutospacing="1" w:after="100" w:afterAutospacing="1"/>
        <w:jc w:val="both"/>
      </w:pPr>
      <w:r w:rsidRPr="0076218C">
        <w:t xml:space="preserve">Housing fees for commercial development are assessed per gross square foot of new nonresidential space and are charged to help mitigate the need for affordable housing in the County caused by new jobs created from the development. Fees are set by resolution of the Board of Supervisors based on the following land use categories: office, retail, warehouse, industrial and hotel. Fees for affordable housing related to nonresidential development were last amended in 2004 with the previous Housing Element adoption. </w:t>
      </w:r>
    </w:p>
    <w:p w:rsidR="00766DAD" w:rsidRPr="0076218C" w:rsidRDefault="00766DAD" w:rsidP="00766DAD">
      <w:pPr>
        <w:spacing w:before="100" w:beforeAutospacing="1" w:after="100" w:afterAutospacing="1"/>
        <w:jc w:val="both"/>
      </w:pPr>
      <w:r w:rsidRPr="0076218C">
        <w:rPr>
          <w:bCs/>
        </w:rPr>
        <w:t>Residential Development</w:t>
      </w:r>
      <w:r w:rsidRPr="0076218C">
        <w:rPr>
          <w:b/>
          <w:bCs/>
        </w:rPr>
        <w:t xml:space="preserve"> </w:t>
      </w:r>
      <w:r w:rsidRPr="0076218C">
        <w:t>requires that 20 percent of all single family detached dwelling units and 17 percent of all single family attached and common interest dwelling units in an ownership project must be affordable to moderate income households. (The County retains the ability to negotiate for units affordable to low and very-low income households in the context of a development agreement.)  Projects of four units or less may pay housing fees, but projects of five units or more must provide affordable housing on site. Housing fees, paid in lieu of this requirement, with respect to residential projects will be set by resolution of the Board of Supervisors. These fees will be based on gross square footage of residential floor area.</w:t>
      </w:r>
    </w:p>
    <w:p w:rsidR="00766DAD" w:rsidRPr="0076218C" w:rsidRDefault="00766DAD" w:rsidP="00766DAD">
      <w:pPr>
        <w:spacing w:before="100" w:beforeAutospacing="1" w:after="100" w:afterAutospacing="1"/>
        <w:jc w:val="both"/>
      </w:pPr>
      <w:r w:rsidRPr="0076218C">
        <w:rPr>
          <w:bCs/>
        </w:rPr>
        <w:t>Rental Residential Projects m</w:t>
      </w:r>
      <w:r w:rsidRPr="0076218C">
        <w:t>ust pay housing fees based on the floor area of each rental dwelling unit. Alternatively, and only if proposed by the developer, a residential project may:</w:t>
      </w:r>
    </w:p>
    <w:p w:rsidR="00766DAD" w:rsidRPr="0076218C" w:rsidRDefault="00766DAD" w:rsidP="004C794B">
      <w:pPr>
        <w:numPr>
          <w:ilvl w:val="0"/>
          <w:numId w:val="31"/>
        </w:numPr>
        <w:spacing w:before="100" w:beforeAutospacing="1" w:after="100" w:afterAutospacing="1"/>
        <w:jc w:val="both"/>
      </w:pPr>
      <w:r w:rsidRPr="0076218C">
        <w:t xml:space="preserve">Be subject to an approved equivalency proposal to mitigate the impact of the rental project on the county's affordable housing needs. </w:t>
      </w:r>
    </w:p>
    <w:p w:rsidR="00766DAD" w:rsidRPr="0076218C" w:rsidRDefault="00766DAD" w:rsidP="004C794B">
      <w:pPr>
        <w:numPr>
          <w:ilvl w:val="0"/>
          <w:numId w:val="31"/>
        </w:numPr>
        <w:spacing w:before="100" w:beforeAutospacing="1" w:after="100" w:afterAutospacing="1"/>
        <w:jc w:val="both"/>
      </w:pPr>
      <w:r w:rsidRPr="0076218C">
        <w:t>Make 12 percent of all rental units in the project affordable to low income households by entering into a rental regulatory agreement with the county as required by state law.</w:t>
      </w:r>
    </w:p>
    <w:p w:rsidR="00766DAD" w:rsidRPr="0076218C" w:rsidRDefault="00766DAD" w:rsidP="00766DAD">
      <w:pPr>
        <w:spacing w:before="100" w:beforeAutospacing="1" w:after="100" w:afterAutospacing="1"/>
        <w:jc w:val="both"/>
      </w:pPr>
      <w:r w:rsidRPr="0076218C">
        <w:t xml:space="preserve">Certain projects, by ordinance, are exempt from the residential inclusionary requirement, such as: farm worker housing units totaling 1200 square feet or less; and deed-restricted affordable housing units.  Residential projects of four or fewer development units may either build one or more affordable units or pay housing fees based on the floor area of each market rate unit in the project. As an alternative to on-site construction of affordable units or payment of housing fees, an applicant for a residential project may suggest an alternative means of compliance so long as such alternative will supply as much or more affordable housing.  Residential projects that include the actual construction of affordable units are entitled to submit a request for the waiver of application fees, expedited permit processing and certain other incentives. </w:t>
      </w:r>
    </w:p>
    <w:p w:rsidR="00766DAD" w:rsidRPr="0076218C" w:rsidRDefault="00766DAD" w:rsidP="00766DAD">
      <w:pPr>
        <w:jc w:val="both"/>
        <w:rPr>
          <w:b/>
        </w:rPr>
      </w:pPr>
      <w:r w:rsidRPr="0076218C">
        <w:rPr>
          <w:b/>
        </w:rPr>
        <w:t xml:space="preserve">PROCESS:  </w:t>
      </w:r>
      <w:r w:rsidRPr="0076218C">
        <w:t xml:space="preserve">The process to increase this fee would require a vote of the Napa County Board of Supervisors, and would amend the current fees assessed to the unincorporated County.  The Cities of Napa and American Canyon would have to go through their own separate process, as would other jurisdictions.  The formation of a Joint Powers Authority, which could be formed to create a countywide authority, would require that all jurisdictions in the County approve the formation, as well as participate in funding a countywide nexus study.  </w:t>
      </w:r>
    </w:p>
    <w:p w:rsidR="00766DAD" w:rsidRPr="0076218C" w:rsidRDefault="00766DAD" w:rsidP="00766DAD">
      <w:pPr>
        <w:jc w:val="both"/>
        <w:rPr>
          <w:b/>
        </w:rPr>
      </w:pPr>
    </w:p>
    <w:p w:rsidR="00766DAD" w:rsidRPr="0076218C" w:rsidRDefault="00766DAD" w:rsidP="00766DAD">
      <w:pPr>
        <w:jc w:val="both"/>
      </w:pPr>
      <w:r w:rsidRPr="0076218C">
        <w:rPr>
          <w:b/>
        </w:rPr>
        <w:t xml:space="preserve">STAFF ANALYSIS AND RECOMMENDATION:  </w:t>
      </w:r>
      <w:r w:rsidRPr="0076218C">
        <w:t>The current fee</w:t>
      </w:r>
      <w:r>
        <w:t>s set in Napa County</w:t>
      </w:r>
      <w:r w:rsidRPr="0076218C">
        <w:t xml:space="preserve"> for residential projects </w:t>
      </w:r>
      <w:r>
        <w:t>were</w:t>
      </w:r>
      <w:r w:rsidRPr="0076218C">
        <w:t xml:space="preserve"> </w:t>
      </w:r>
      <w:r>
        <w:t xml:space="preserve">increased in 2010, while the </w:t>
      </w:r>
      <w:r w:rsidRPr="0076218C">
        <w:t>commercial fee</w:t>
      </w:r>
      <w:r>
        <w:t>s have remained static for approximately ten years</w:t>
      </w:r>
      <w:r w:rsidRPr="0076218C">
        <w:t xml:space="preserve">.  </w:t>
      </w:r>
      <w:r>
        <w:t>A study conducted by</w:t>
      </w:r>
      <w:r w:rsidRPr="0076218C">
        <w:t xml:space="preserve"> Keyser-Marston justifies much higher fees in the commercial development category, which is demonstrated in the Maximum Commercial Fee Schedule table listed below.   </w:t>
      </w:r>
    </w:p>
    <w:p w:rsidR="00766DAD" w:rsidRPr="0076218C" w:rsidRDefault="00766DAD" w:rsidP="00766DAD">
      <w:pPr>
        <w:jc w:val="both"/>
      </w:pPr>
    </w:p>
    <w:p w:rsidR="00766DAD" w:rsidRDefault="00766DAD" w:rsidP="00766DAD">
      <w:pPr>
        <w:jc w:val="both"/>
      </w:pPr>
      <w:r w:rsidRPr="0076218C">
        <w:t xml:space="preserve">Regarding a Countywide mitigation fee, staff recommends </w:t>
      </w:r>
      <w:r>
        <w:t>the following three options:</w:t>
      </w:r>
    </w:p>
    <w:p w:rsidR="00766DAD" w:rsidRDefault="00766DAD" w:rsidP="00766DAD">
      <w:pPr>
        <w:jc w:val="both"/>
      </w:pPr>
    </w:p>
    <w:p w:rsidR="00766DAD" w:rsidRDefault="00766DAD" w:rsidP="00766DAD">
      <w:pPr>
        <w:jc w:val="both"/>
      </w:pPr>
      <w:r>
        <w:t>1) Each jurisdiction maintain their own program</w:t>
      </w:r>
    </w:p>
    <w:p w:rsidR="00766DAD" w:rsidRDefault="00766DAD" w:rsidP="00766DAD">
      <w:pPr>
        <w:jc w:val="both"/>
      </w:pPr>
    </w:p>
    <w:p w:rsidR="00766DAD" w:rsidRPr="0076218C" w:rsidRDefault="00766DAD" w:rsidP="00766DAD">
      <w:pPr>
        <w:jc w:val="both"/>
      </w:pPr>
      <w:r>
        <w:t>2) Each jurisdiction</w:t>
      </w:r>
      <w:r w:rsidRPr="0076218C">
        <w:t xml:space="preserve"> individually adopt a uniform fee, which would require the completion of individual nexus studies.  Staff recommends the formation of an advisory board which would make recommendations to each jurisdiction</w:t>
      </w:r>
      <w:r>
        <w:t xml:space="preserve"> on which projects to fund</w:t>
      </w:r>
      <w:r w:rsidRPr="0076218C">
        <w:t xml:space="preserve">.  </w:t>
      </w:r>
      <w:r w:rsidRPr="001016B0">
        <w:t xml:space="preserve">An advisory board would make recommendations to member jurisdictions, and would not have direct authority over the spending of affordable housing dollars.  </w:t>
      </w:r>
      <w:r w:rsidRPr="0076218C">
        <w:t xml:space="preserve">   </w:t>
      </w:r>
    </w:p>
    <w:p w:rsidR="00766DAD" w:rsidRDefault="00766DAD" w:rsidP="00766DAD">
      <w:pPr>
        <w:jc w:val="both"/>
      </w:pPr>
    </w:p>
    <w:p w:rsidR="00766DAD" w:rsidRDefault="00766DAD" w:rsidP="00766DAD">
      <w:pPr>
        <w:jc w:val="both"/>
      </w:pPr>
      <w:r>
        <w:t>3) F</w:t>
      </w:r>
      <w:r w:rsidRPr="0076218C">
        <w:t>orm</w:t>
      </w:r>
      <w:r>
        <w:t>ation of</w:t>
      </w:r>
      <w:r w:rsidRPr="0076218C">
        <w:t xml:space="preserve"> a Joint Powers Authority, which would grant authority to collect revenues into one countywide pool.  This would require the completion of a countywide nexus study.</w:t>
      </w:r>
      <w:r>
        <w:t xml:space="preserve">  </w:t>
      </w:r>
      <w:r w:rsidRPr="0076218C">
        <w:t>In years past, this type of structure existed in the form of th</w:t>
      </w:r>
      <w:r>
        <w:t xml:space="preserve">e Napa Valley Housing Authority.  </w:t>
      </w:r>
      <w:r w:rsidRPr="0076218C">
        <w:t xml:space="preserve"> </w:t>
      </w:r>
      <w:r w:rsidRPr="001016B0">
        <w:t xml:space="preserve">This entity would be authorized to make decisions </w:t>
      </w:r>
      <w:r>
        <w:t xml:space="preserve">regarding the spending of affordable housing dollars </w:t>
      </w:r>
      <w:r w:rsidRPr="001016B0">
        <w:t xml:space="preserve">as they would be funded directly from this countywide revenue source.  </w:t>
      </w:r>
    </w:p>
    <w:p w:rsidR="00766DAD" w:rsidRPr="0076218C" w:rsidRDefault="00766DAD" w:rsidP="00766DAD">
      <w:pPr>
        <w:jc w:val="both"/>
      </w:pPr>
    </w:p>
    <w:p w:rsidR="00766DAD" w:rsidRDefault="00766DAD" w:rsidP="00766DAD">
      <w:pPr>
        <w:jc w:val="center"/>
        <w:rPr>
          <w:b/>
        </w:rPr>
      </w:pPr>
    </w:p>
    <w:p w:rsidR="00766DAD" w:rsidRDefault="00766DAD" w:rsidP="00766DAD">
      <w:pPr>
        <w:jc w:val="center"/>
        <w:rPr>
          <w:b/>
        </w:rPr>
      </w:pPr>
    </w:p>
    <w:p w:rsidR="00766DAD" w:rsidRDefault="00766DAD" w:rsidP="00766DAD">
      <w:pPr>
        <w:jc w:val="center"/>
        <w:rPr>
          <w:b/>
        </w:rPr>
      </w:pPr>
    </w:p>
    <w:p w:rsidR="00766DAD" w:rsidRDefault="00766DAD" w:rsidP="00766DAD">
      <w:pPr>
        <w:jc w:val="center"/>
        <w:rPr>
          <w:b/>
        </w:rPr>
      </w:pPr>
    </w:p>
    <w:p w:rsidR="00766DAD" w:rsidRDefault="00766DAD" w:rsidP="00766DAD">
      <w:pPr>
        <w:jc w:val="center"/>
        <w:rPr>
          <w:b/>
        </w:rPr>
      </w:pPr>
    </w:p>
    <w:p w:rsidR="00766DAD" w:rsidRDefault="00766DAD" w:rsidP="00766DAD">
      <w:pPr>
        <w:jc w:val="center"/>
        <w:rPr>
          <w:b/>
        </w:rPr>
      </w:pPr>
    </w:p>
    <w:p w:rsidR="00766DAD" w:rsidRDefault="00766DAD" w:rsidP="00766DAD">
      <w:pPr>
        <w:jc w:val="center"/>
        <w:rPr>
          <w:b/>
        </w:rPr>
      </w:pPr>
    </w:p>
    <w:p w:rsidR="00766DAD" w:rsidRDefault="00766DAD" w:rsidP="00766DAD">
      <w:pPr>
        <w:jc w:val="center"/>
        <w:rPr>
          <w:b/>
        </w:rPr>
      </w:pPr>
    </w:p>
    <w:p w:rsidR="00766DAD" w:rsidRDefault="00766DAD" w:rsidP="00766DAD">
      <w:pPr>
        <w:jc w:val="center"/>
        <w:rPr>
          <w:b/>
        </w:rPr>
      </w:pPr>
    </w:p>
    <w:p w:rsidR="00766DAD" w:rsidRDefault="00766DAD" w:rsidP="00766DAD">
      <w:pPr>
        <w:jc w:val="center"/>
        <w:rPr>
          <w:b/>
        </w:rPr>
      </w:pPr>
    </w:p>
    <w:p w:rsidR="00766DAD" w:rsidRDefault="00766DAD" w:rsidP="00766DAD">
      <w:pPr>
        <w:jc w:val="center"/>
        <w:rPr>
          <w:b/>
        </w:rPr>
      </w:pPr>
    </w:p>
    <w:p w:rsidR="00766DAD" w:rsidRDefault="00766DAD" w:rsidP="00766DAD">
      <w:pPr>
        <w:jc w:val="center"/>
        <w:rPr>
          <w:b/>
        </w:rPr>
      </w:pPr>
    </w:p>
    <w:p w:rsidR="00766DAD" w:rsidRDefault="00766DAD" w:rsidP="00766DAD">
      <w:pPr>
        <w:jc w:val="center"/>
        <w:rPr>
          <w:b/>
        </w:rPr>
      </w:pPr>
    </w:p>
    <w:p w:rsidR="00766DAD" w:rsidRDefault="00766DAD" w:rsidP="00766DAD">
      <w:pPr>
        <w:jc w:val="center"/>
        <w:rPr>
          <w:b/>
        </w:rPr>
      </w:pPr>
    </w:p>
    <w:p w:rsidR="0046529D" w:rsidRDefault="0046529D" w:rsidP="00766DAD">
      <w:pPr>
        <w:jc w:val="center"/>
        <w:rPr>
          <w:b/>
        </w:rPr>
      </w:pPr>
    </w:p>
    <w:p w:rsidR="0046529D" w:rsidRDefault="0046529D" w:rsidP="00766DAD">
      <w:pPr>
        <w:jc w:val="center"/>
        <w:rPr>
          <w:b/>
        </w:rPr>
      </w:pPr>
    </w:p>
    <w:p w:rsidR="0046529D" w:rsidRDefault="0046529D" w:rsidP="00766DAD">
      <w:pPr>
        <w:jc w:val="center"/>
        <w:rPr>
          <w:b/>
        </w:rPr>
      </w:pPr>
    </w:p>
    <w:p w:rsidR="0046529D" w:rsidRDefault="0046529D" w:rsidP="00766DAD">
      <w:pPr>
        <w:jc w:val="center"/>
        <w:rPr>
          <w:b/>
        </w:rPr>
      </w:pPr>
    </w:p>
    <w:p w:rsidR="0046529D" w:rsidRDefault="0046529D" w:rsidP="00766DAD">
      <w:pPr>
        <w:jc w:val="center"/>
        <w:rPr>
          <w:b/>
        </w:rPr>
      </w:pPr>
    </w:p>
    <w:p w:rsidR="0046529D" w:rsidRDefault="0046529D" w:rsidP="00766DAD">
      <w:pPr>
        <w:jc w:val="center"/>
        <w:rPr>
          <w:b/>
        </w:rPr>
      </w:pPr>
    </w:p>
    <w:p w:rsidR="00766DAD" w:rsidRPr="0076218C" w:rsidRDefault="00766DAD" w:rsidP="00766DAD">
      <w:pPr>
        <w:jc w:val="center"/>
        <w:rPr>
          <w:b/>
        </w:rPr>
      </w:pPr>
      <w:r w:rsidRPr="0076218C">
        <w:rPr>
          <w:b/>
        </w:rPr>
        <w:t>CURRENT COMMERCIAL FEE SCHEDULE</w:t>
      </w:r>
    </w:p>
    <w:p w:rsidR="00766DAD" w:rsidRPr="0076218C" w:rsidRDefault="00766DAD" w:rsidP="00766DAD">
      <w:pPr>
        <w:pStyle w:val="BodyText"/>
        <w:jc w:val="center"/>
        <w:rPr>
          <w:rFonts w:asciiTheme="minorHAnsi" w:hAnsiTheme="minorHAnsi"/>
          <w:sz w:val="24"/>
          <w:szCs w:val="24"/>
          <w:u w:val="single"/>
        </w:rPr>
      </w:pPr>
      <w:r w:rsidRPr="0076218C">
        <w:rPr>
          <w:rFonts w:asciiTheme="minorHAnsi" w:hAnsiTheme="minorHAnsi"/>
          <w:b/>
          <w:sz w:val="24"/>
          <w:szCs w:val="24"/>
          <w:u w:val="single"/>
        </w:rPr>
        <w:t>Housing Fees for Nonresidential Development Projects</w:t>
      </w:r>
    </w:p>
    <w:p w:rsidR="00766DAD" w:rsidRPr="0076218C" w:rsidRDefault="00766DAD" w:rsidP="00766DAD">
      <w:pPr>
        <w:tabs>
          <w:tab w:val="left" w:pos="-90"/>
        </w:tabs>
        <w:suppressAutoHyphens/>
        <w:jc w:val="center"/>
        <w:rPr>
          <w:rFonts w:eastAsia="Calibri"/>
          <w:spacing w:val="-2"/>
        </w:rPr>
      </w:pPr>
      <w:r w:rsidRPr="0076218C">
        <w:rPr>
          <w:rFonts w:eastAsia="Calibri"/>
          <w:spacing w:val="-2"/>
        </w:rPr>
        <w:t>(Napa County Code Sections 18.107.050 and 18.107.060)</w:t>
      </w:r>
    </w:p>
    <w:p w:rsidR="00766DAD" w:rsidRPr="0076218C" w:rsidRDefault="00766DAD" w:rsidP="00766DAD">
      <w:pPr>
        <w:tabs>
          <w:tab w:val="left" w:pos="-90"/>
        </w:tabs>
        <w:suppressAutoHyphens/>
        <w:rPr>
          <w:rFonts w:eastAsia="Calibri"/>
          <w:spacing w:val="-2"/>
        </w:rPr>
      </w:pPr>
      <w:r w:rsidRPr="0076218C">
        <w:rPr>
          <w:rFonts w:eastAsia="Calibri"/>
          <w:spacing w:val="-2"/>
          <w:u w:val="single"/>
        </w:rPr>
        <w:t>Type of Use</w:t>
      </w:r>
      <w:r w:rsidRPr="0076218C">
        <w:rPr>
          <w:rFonts w:eastAsia="Calibri"/>
          <w:spacing w:val="-2"/>
        </w:rPr>
        <w:tab/>
      </w:r>
      <w:r w:rsidRPr="0076218C">
        <w:rPr>
          <w:rFonts w:eastAsia="Calibri"/>
          <w:spacing w:val="-2"/>
        </w:rPr>
        <w:tab/>
      </w:r>
      <w:r w:rsidRPr="0076218C">
        <w:rPr>
          <w:rFonts w:eastAsia="Calibri"/>
          <w:spacing w:val="-2"/>
        </w:rPr>
        <w:tab/>
      </w:r>
      <w:r w:rsidRPr="0076218C">
        <w:rPr>
          <w:rFonts w:eastAsia="Calibri"/>
          <w:spacing w:val="-2"/>
        </w:rPr>
        <w:tab/>
      </w:r>
      <w:r w:rsidRPr="0076218C">
        <w:rPr>
          <w:rFonts w:eastAsia="Calibri"/>
          <w:spacing w:val="-2"/>
        </w:rPr>
        <w:tab/>
      </w:r>
      <w:r w:rsidRPr="0076218C">
        <w:rPr>
          <w:rFonts w:eastAsia="Calibri"/>
          <w:spacing w:val="-2"/>
          <w:u w:val="single"/>
        </w:rPr>
        <w:t>Housing Fee Per Square Foot</w:t>
      </w:r>
      <w:r w:rsidRPr="0076218C">
        <w:rPr>
          <w:rFonts w:eastAsia="Calibri"/>
          <w:spacing w:val="-2"/>
        </w:rPr>
        <w:t>*</w:t>
      </w:r>
    </w:p>
    <w:p w:rsidR="00766DAD" w:rsidRPr="0076218C" w:rsidRDefault="00766DAD" w:rsidP="00766DAD">
      <w:pPr>
        <w:tabs>
          <w:tab w:val="left" w:pos="-90"/>
        </w:tabs>
        <w:suppressAutoHyphens/>
        <w:rPr>
          <w:rFonts w:eastAsia="Calibri"/>
          <w:b/>
          <w:spacing w:val="-2"/>
        </w:rPr>
      </w:pPr>
      <w:r w:rsidRPr="0076218C">
        <w:rPr>
          <w:rFonts w:eastAsia="Calibri"/>
          <w:b/>
          <w:spacing w:val="-2"/>
        </w:rPr>
        <w:t>Office</w:t>
      </w:r>
      <w:r w:rsidRPr="0076218C">
        <w:rPr>
          <w:rFonts w:eastAsia="Calibri"/>
          <w:b/>
          <w:spacing w:val="-2"/>
        </w:rPr>
        <w:tab/>
      </w:r>
      <w:r w:rsidRPr="0076218C">
        <w:rPr>
          <w:rFonts w:eastAsia="Calibri"/>
          <w:b/>
          <w:spacing w:val="-2"/>
        </w:rPr>
        <w:tab/>
      </w:r>
      <w:r w:rsidRPr="0076218C">
        <w:rPr>
          <w:rFonts w:eastAsia="Calibri"/>
          <w:b/>
          <w:spacing w:val="-2"/>
        </w:rPr>
        <w:tab/>
      </w:r>
      <w:r w:rsidRPr="0076218C">
        <w:rPr>
          <w:rFonts w:eastAsia="Calibri"/>
          <w:b/>
          <w:spacing w:val="-2"/>
        </w:rPr>
        <w:tab/>
      </w:r>
      <w:r w:rsidRPr="0076218C">
        <w:rPr>
          <w:rFonts w:eastAsia="Calibri"/>
          <w:b/>
          <w:spacing w:val="-2"/>
        </w:rPr>
        <w:tab/>
      </w:r>
      <w:r w:rsidRPr="0076218C">
        <w:rPr>
          <w:rFonts w:eastAsia="Calibri"/>
          <w:b/>
          <w:spacing w:val="-2"/>
        </w:rPr>
        <w:tab/>
      </w:r>
      <w:r w:rsidRPr="0076218C">
        <w:rPr>
          <w:rFonts w:eastAsia="Calibri"/>
          <w:b/>
          <w:spacing w:val="-2"/>
        </w:rPr>
        <w:tab/>
        <w:t>$2.00</w:t>
      </w:r>
    </w:p>
    <w:p w:rsidR="00766DAD" w:rsidRPr="0076218C" w:rsidRDefault="00766DAD" w:rsidP="00766DAD">
      <w:pPr>
        <w:tabs>
          <w:tab w:val="left" w:pos="-90"/>
        </w:tabs>
        <w:suppressAutoHyphens/>
        <w:rPr>
          <w:rFonts w:eastAsia="Calibri"/>
          <w:b/>
          <w:spacing w:val="-2"/>
        </w:rPr>
      </w:pPr>
      <w:r w:rsidRPr="0076218C">
        <w:rPr>
          <w:rFonts w:eastAsia="Calibri"/>
          <w:b/>
          <w:spacing w:val="-2"/>
        </w:rPr>
        <w:t>Hotel</w:t>
      </w:r>
      <w:r w:rsidRPr="0076218C">
        <w:rPr>
          <w:rFonts w:eastAsia="Calibri"/>
          <w:b/>
          <w:spacing w:val="-2"/>
        </w:rPr>
        <w:tab/>
      </w:r>
      <w:r w:rsidRPr="0076218C">
        <w:rPr>
          <w:rFonts w:eastAsia="Calibri"/>
          <w:b/>
          <w:spacing w:val="-2"/>
        </w:rPr>
        <w:tab/>
      </w:r>
      <w:r w:rsidRPr="0076218C">
        <w:rPr>
          <w:rFonts w:eastAsia="Calibri"/>
          <w:b/>
          <w:spacing w:val="-2"/>
        </w:rPr>
        <w:tab/>
      </w:r>
      <w:r w:rsidRPr="0076218C">
        <w:rPr>
          <w:rFonts w:eastAsia="Calibri"/>
          <w:b/>
          <w:spacing w:val="-2"/>
        </w:rPr>
        <w:tab/>
      </w:r>
      <w:r w:rsidRPr="0076218C">
        <w:rPr>
          <w:rFonts w:eastAsia="Calibri"/>
          <w:b/>
          <w:spacing w:val="-2"/>
        </w:rPr>
        <w:tab/>
      </w:r>
      <w:r w:rsidRPr="0076218C">
        <w:rPr>
          <w:rFonts w:eastAsia="Calibri"/>
          <w:b/>
          <w:spacing w:val="-2"/>
        </w:rPr>
        <w:tab/>
      </w:r>
      <w:r w:rsidRPr="0076218C">
        <w:rPr>
          <w:rFonts w:eastAsia="Calibri"/>
          <w:b/>
          <w:spacing w:val="-2"/>
        </w:rPr>
        <w:tab/>
        <w:t>$3.00</w:t>
      </w:r>
    </w:p>
    <w:p w:rsidR="00766DAD" w:rsidRPr="0076218C" w:rsidRDefault="00766DAD" w:rsidP="00766DAD">
      <w:pPr>
        <w:tabs>
          <w:tab w:val="left" w:pos="-90"/>
        </w:tabs>
        <w:suppressAutoHyphens/>
        <w:rPr>
          <w:rFonts w:eastAsia="Calibri"/>
          <w:b/>
          <w:spacing w:val="-2"/>
        </w:rPr>
      </w:pPr>
      <w:r w:rsidRPr="0076218C">
        <w:rPr>
          <w:rFonts w:eastAsia="Calibri"/>
          <w:b/>
          <w:spacing w:val="-2"/>
        </w:rPr>
        <w:t>Retail</w:t>
      </w:r>
      <w:r w:rsidRPr="0076218C">
        <w:rPr>
          <w:rFonts w:eastAsia="Calibri"/>
          <w:b/>
          <w:spacing w:val="-2"/>
        </w:rPr>
        <w:tab/>
      </w:r>
      <w:r w:rsidRPr="0076218C">
        <w:rPr>
          <w:rFonts w:eastAsia="Calibri"/>
          <w:b/>
          <w:spacing w:val="-2"/>
        </w:rPr>
        <w:tab/>
      </w:r>
      <w:r w:rsidRPr="0076218C">
        <w:rPr>
          <w:rFonts w:eastAsia="Calibri"/>
          <w:b/>
          <w:spacing w:val="-2"/>
        </w:rPr>
        <w:tab/>
      </w:r>
      <w:r w:rsidRPr="0076218C">
        <w:rPr>
          <w:rFonts w:eastAsia="Calibri"/>
          <w:b/>
          <w:spacing w:val="-2"/>
        </w:rPr>
        <w:tab/>
      </w:r>
      <w:r w:rsidRPr="0076218C">
        <w:rPr>
          <w:rFonts w:eastAsia="Calibri"/>
          <w:b/>
          <w:spacing w:val="-2"/>
        </w:rPr>
        <w:tab/>
      </w:r>
      <w:r w:rsidRPr="0076218C">
        <w:rPr>
          <w:rFonts w:eastAsia="Calibri"/>
          <w:b/>
          <w:spacing w:val="-2"/>
        </w:rPr>
        <w:tab/>
      </w:r>
      <w:r w:rsidRPr="0076218C">
        <w:rPr>
          <w:rFonts w:eastAsia="Calibri"/>
          <w:b/>
          <w:spacing w:val="-2"/>
        </w:rPr>
        <w:tab/>
        <w:t>$2.00</w:t>
      </w:r>
    </w:p>
    <w:p w:rsidR="00766DAD" w:rsidRPr="0076218C" w:rsidRDefault="00766DAD" w:rsidP="00766DAD">
      <w:pPr>
        <w:tabs>
          <w:tab w:val="left" w:pos="-90"/>
        </w:tabs>
        <w:suppressAutoHyphens/>
        <w:rPr>
          <w:rFonts w:eastAsia="Calibri"/>
          <w:b/>
          <w:spacing w:val="-2"/>
        </w:rPr>
      </w:pPr>
      <w:r w:rsidRPr="0076218C">
        <w:rPr>
          <w:rFonts w:eastAsia="Calibri"/>
          <w:b/>
          <w:spacing w:val="-2"/>
        </w:rPr>
        <w:t>Industrial</w:t>
      </w:r>
      <w:r w:rsidRPr="0076218C">
        <w:rPr>
          <w:rFonts w:eastAsia="Calibri"/>
          <w:b/>
          <w:spacing w:val="-2"/>
        </w:rPr>
        <w:tab/>
      </w:r>
      <w:r w:rsidRPr="0076218C">
        <w:rPr>
          <w:rFonts w:eastAsia="Calibri"/>
          <w:b/>
          <w:spacing w:val="-2"/>
        </w:rPr>
        <w:tab/>
      </w:r>
      <w:r w:rsidRPr="0076218C">
        <w:rPr>
          <w:rFonts w:eastAsia="Calibri"/>
          <w:b/>
          <w:spacing w:val="-2"/>
        </w:rPr>
        <w:tab/>
      </w:r>
      <w:r w:rsidRPr="0076218C">
        <w:rPr>
          <w:rFonts w:eastAsia="Calibri"/>
          <w:b/>
          <w:spacing w:val="-2"/>
        </w:rPr>
        <w:tab/>
      </w:r>
      <w:r w:rsidRPr="0076218C">
        <w:rPr>
          <w:rFonts w:eastAsia="Calibri"/>
          <w:b/>
          <w:spacing w:val="-2"/>
        </w:rPr>
        <w:tab/>
      </w:r>
      <w:r w:rsidRPr="0076218C">
        <w:rPr>
          <w:rFonts w:eastAsia="Calibri"/>
          <w:b/>
          <w:spacing w:val="-2"/>
        </w:rPr>
        <w:tab/>
        <w:t>$1.00</w:t>
      </w:r>
    </w:p>
    <w:p w:rsidR="00766DAD" w:rsidRPr="0076218C" w:rsidRDefault="00766DAD" w:rsidP="00766DAD">
      <w:pPr>
        <w:tabs>
          <w:tab w:val="left" w:pos="-90"/>
        </w:tabs>
        <w:suppressAutoHyphens/>
        <w:rPr>
          <w:rFonts w:eastAsia="Calibri"/>
          <w:b/>
          <w:spacing w:val="-2"/>
        </w:rPr>
      </w:pPr>
      <w:r w:rsidRPr="0076218C">
        <w:rPr>
          <w:rFonts w:eastAsia="Calibri"/>
          <w:b/>
          <w:spacing w:val="-2"/>
        </w:rPr>
        <w:t>Warehouse**</w:t>
      </w:r>
      <w:r w:rsidRPr="0076218C">
        <w:rPr>
          <w:rFonts w:eastAsia="Calibri"/>
          <w:b/>
          <w:spacing w:val="-2"/>
        </w:rPr>
        <w:tab/>
      </w:r>
      <w:r w:rsidRPr="0076218C">
        <w:rPr>
          <w:rFonts w:eastAsia="Calibri"/>
          <w:b/>
          <w:spacing w:val="-2"/>
        </w:rPr>
        <w:tab/>
      </w:r>
      <w:r w:rsidRPr="0076218C">
        <w:rPr>
          <w:rFonts w:eastAsia="Calibri"/>
          <w:b/>
          <w:spacing w:val="-2"/>
        </w:rPr>
        <w:tab/>
      </w:r>
      <w:r w:rsidRPr="0076218C">
        <w:rPr>
          <w:rFonts w:eastAsia="Calibri"/>
          <w:b/>
          <w:spacing w:val="-2"/>
        </w:rPr>
        <w:tab/>
      </w:r>
      <w:r w:rsidRPr="0076218C">
        <w:rPr>
          <w:rFonts w:eastAsia="Calibri"/>
          <w:b/>
          <w:spacing w:val="-2"/>
        </w:rPr>
        <w:tab/>
      </w:r>
      <w:r w:rsidRPr="0076218C">
        <w:rPr>
          <w:rFonts w:eastAsia="Calibri"/>
          <w:b/>
          <w:spacing w:val="-2"/>
        </w:rPr>
        <w:tab/>
        <w:t>$0.80</w:t>
      </w:r>
    </w:p>
    <w:p w:rsidR="00766DAD" w:rsidRPr="0076218C" w:rsidRDefault="00766DAD" w:rsidP="00766DAD">
      <w:pPr>
        <w:tabs>
          <w:tab w:val="left" w:pos="-90"/>
        </w:tabs>
        <w:suppressAutoHyphens/>
        <w:rPr>
          <w:rFonts w:eastAsia="Calibri"/>
          <w:b/>
          <w:spacing w:val="-2"/>
        </w:rPr>
      </w:pPr>
    </w:p>
    <w:p w:rsidR="00766DAD" w:rsidRPr="0076218C" w:rsidRDefault="00766DAD" w:rsidP="00766DAD">
      <w:pPr>
        <w:tabs>
          <w:tab w:val="left" w:pos="-90"/>
        </w:tabs>
        <w:suppressAutoHyphens/>
        <w:rPr>
          <w:rFonts w:eastAsia="Calibri"/>
          <w:spacing w:val="-2"/>
        </w:rPr>
      </w:pPr>
      <w:r w:rsidRPr="0076218C">
        <w:rPr>
          <w:rFonts w:eastAsia="Calibri"/>
          <w:spacing w:val="-2"/>
        </w:rPr>
        <w:t>*All housing fees for nonresidential projects shall be calculated using the gross square footage of nonresidential space (see Napa County Code Section 18.107.230), subject to the exceptions in Napa County Code Section 18.107.050 and pursuant to the procedures for calculation included in Napa County Code Section 18.107.060.</w:t>
      </w:r>
    </w:p>
    <w:p w:rsidR="00766DAD" w:rsidRDefault="00766DAD" w:rsidP="00766DAD">
      <w:pPr>
        <w:tabs>
          <w:tab w:val="left" w:pos="-90"/>
        </w:tabs>
        <w:suppressAutoHyphens/>
        <w:rPr>
          <w:rFonts w:eastAsia="Calibri"/>
          <w:spacing w:val="-2"/>
        </w:rPr>
      </w:pPr>
      <w:r w:rsidRPr="0076218C">
        <w:rPr>
          <w:rFonts w:eastAsia="Calibri"/>
          <w:spacing w:val="-2"/>
        </w:rPr>
        <w:t>**Warehouse uses of under 30,000 square feet shall be treated as industrial uses</w:t>
      </w:r>
      <w:r w:rsidRPr="00C63001">
        <w:rPr>
          <w:rFonts w:eastAsia="Calibri"/>
          <w:spacing w:val="-2"/>
        </w:rPr>
        <w:t>.</w:t>
      </w:r>
    </w:p>
    <w:p w:rsidR="0046529D" w:rsidRDefault="0046529D" w:rsidP="00766DAD">
      <w:pPr>
        <w:tabs>
          <w:tab w:val="left" w:pos="-90"/>
        </w:tabs>
        <w:suppressAutoHyphens/>
        <w:rPr>
          <w:rFonts w:eastAsia="Calibri"/>
          <w:spacing w:val="-2"/>
        </w:rPr>
      </w:pPr>
    </w:p>
    <w:p w:rsidR="00766DAD" w:rsidRPr="0076218C" w:rsidRDefault="00766DAD" w:rsidP="00766DAD">
      <w:pPr>
        <w:tabs>
          <w:tab w:val="left" w:pos="-90"/>
        </w:tabs>
        <w:suppressAutoHyphens/>
        <w:jc w:val="center"/>
        <w:rPr>
          <w:rFonts w:eastAsia="Calibri"/>
          <w:b/>
          <w:spacing w:val="-2"/>
        </w:rPr>
      </w:pPr>
      <w:r w:rsidRPr="0076218C">
        <w:rPr>
          <w:rFonts w:eastAsia="Calibri"/>
          <w:b/>
          <w:spacing w:val="-2"/>
        </w:rPr>
        <w:t>MAXIMUM COMMERCIAL FEE SCHEDULE</w:t>
      </w:r>
    </w:p>
    <w:tbl>
      <w:tblPr>
        <w:tblW w:w="5219" w:type="dxa"/>
        <w:tblInd w:w="2107" w:type="dxa"/>
        <w:tblLook w:val="04A0" w:firstRow="1" w:lastRow="0" w:firstColumn="1" w:lastColumn="0" w:noHBand="0" w:noVBand="1"/>
      </w:tblPr>
      <w:tblGrid>
        <w:gridCol w:w="3282"/>
        <w:gridCol w:w="1937"/>
      </w:tblGrid>
      <w:tr w:rsidR="00766DAD" w:rsidRPr="0076218C" w:rsidTr="0046529D">
        <w:trPr>
          <w:trHeight w:val="315"/>
        </w:trPr>
        <w:tc>
          <w:tcPr>
            <w:tcW w:w="3282" w:type="dxa"/>
            <w:tcBorders>
              <w:top w:val="single" w:sz="4" w:space="0" w:color="auto"/>
              <w:left w:val="single" w:sz="4" w:space="0" w:color="auto"/>
              <w:bottom w:val="double" w:sz="6" w:space="0" w:color="auto"/>
              <w:right w:val="nil"/>
            </w:tcBorders>
            <w:shd w:val="clear" w:color="auto" w:fill="auto"/>
            <w:noWrap/>
            <w:vAlign w:val="bottom"/>
            <w:hideMark/>
          </w:tcPr>
          <w:p w:rsidR="00766DAD" w:rsidRPr="0076218C" w:rsidRDefault="00766DAD" w:rsidP="0046529D">
            <w:pPr>
              <w:jc w:val="center"/>
              <w:rPr>
                <w:rFonts w:ascii="Calibri" w:hAnsi="Calibri"/>
                <w:b/>
                <w:bCs/>
                <w:color w:val="000000"/>
              </w:rPr>
            </w:pPr>
            <w:r w:rsidRPr="0076218C">
              <w:rPr>
                <w:rFonts w:ascii="Calibri" w:hAnsi="Calibri"/>
                <w:b/>
                <w:bCs/>
                <w:color w:val="000000"/>
              </w:rPr>
              <w:t>BUILDING TYPE</w:t>
            </w:r>
          </w:p>
        </w:tc>
        <w:tc>
          <w:tcPr>
            <w:tcW w:w="1937" w:type="dxa"/>
            <w:tcBorders>
              <w:top w:val="single" w:sz="4" w:space="0" w:color="auto"/>
              <w:left w:val="nil"/>
              <w:bottom w:val="double" w:sz="6" w:space="0" w:color="auto"/>
              <w:right w:val="single" w:sz="4" w:space="0" w:color="auto"/>
            </w:tcBorders>
            <w:shd w:val="clear" w:color="auto" w:fill="auto"/>
            <w:noWrap/>
            <w:vAlign w:val="bottom"/>
            <w:hideMark/>
          </w:tcPr>
          <w:p w:rsidR="00766DAD" w:rsidRPr="0076218C" w:rsidRDefault="00766DAD" w:rsidP="0046529D">
            <w:pPr>
              <w:jc w:val="center"/>
              <w:rPr>
                <w:rFonts w:ascii="Calibri" w:hAnsi="Calibri"/>
                <w:b/>
                <w:bCs/>
                <w:color w:val="000000"/>
              </w:rPr>
            </w:pPr>
            <w:r w:rsidRPr="0076218C">
              <w:rPr>
                <w:rFonts w:ascii="Calibri" w:hAnsi="Calibri"/>
                <w:b/>
                <w:bCs/>
                <w:color w:val="000000"/>
              </w:rPr>
              <w:t>NEXUS COST</w:t>
            </w:r>
          </w:p>
        </w:tc>
      </w:tr>
      <w:tr w:rsidR="00766DAD" w:rsidRPr="0076218C" w:rsidTr="0046529D">
        <w:trPr>
          <w:trHeight w:val="315"/>
        </w:trPr>
        <w:tc>
          <w:tcPr>
            <w:tcW w:w="3282" w:type="dxa"/>
            <w:tcBorders>
              <w:top w:val="nil"/>
              <w:left w:val="single" w:sz="4" w:space="0" w:color="auto"/>
              <w:bottom w:val="nil"/>
              <w:right w:val="nil"/>
            </w:tcBorders>
            <w:shd w:val="clear" w:color="auto" w:fill="auto"/>
            <w:noWrap/>
            <w:vAlign w:val="bottom"/>
            <w:hideMark/>
          </w:tcPr>
          <w:p w:rsidR="00766DAD" w:rsidRPr="0076218C" w:rsidRDefault="00766DAD" w:rsidP="0046529D">
            <w:pPr>
              <w:rPr>
                <w:rFonts w:ascii="Calibri" w:hAnsi="Calibri"/>
                <w:color w:val="000000"/>
              </w:rPr>
            </w:pPr>
            <w:r w:rsidRPr="0076218C">
              <w:rPr>
                <w:rFonts w:ascii="Calibri" w:hAnsi="Calibri"/>
                <w:color w:val="000000"/>
              </w:rPr>
              <w:t xml:space="preserve">OFFICE </w:t>
            </w:r>
          </w:p>
        </w:tc>
        <w:tc>
          <w:tcPr>
            <w:tcW w:w="1937" w:type="dxa"/>
            <w:tcBorders>
              <w:top w:val="nil"/>
              <w:left w:val="nil"/>
              <w:bottom w:val="nil"/>
              <w:right w:val="single" w:sz="4" w:space="0" w:color="auto"/>
            </w:tcBorders>
            <w:shd w:val="clear" w:color="auto" w:fill="auto"/>
            <w:noWrap/>
            <w:vAlign w:val="bottom"/>
            <w:hideMark/>
          </w:tcPr>
          <w:p w:rsidR="00766DAD" w:rsidRPr="0076218C" w:rsidRDefault="00766DAD" w:rsidP="0046529D">
            <w:pPr>
              <w:rPr>
                <w:rFonts w:ascii="Calibri" w:hAnsi="Calibri"/>
                <w:color w:val="000000"/>
              </w:rPr>
            </w:pPr>
            <w:r w:rsidRPr="0076218C">
              <w:rPr>
                <w:rFonts w:ascii="Calibri" w:hAnsi="Calibri"/>
                <w:color w:val="000000"/>
              </w:rPr>
              <w:t xml:space="preserve"> $   51.68 </w:t>
            </w:r>
          </w:p>
        </w:tc>
      </w:tr>
      <w:tr w:rsidR="00766DAD" w:rsidRPr="0076218C" w:rsidTr="0046529D">
        <w:trPr>
          <w:trHeight w:val="300"/>
        </w:trPr>
        <w:tc>
          <w:tcPr>
            <w:tcW w:w="3282" w:type="dxa"/>
            <w:tcBorders>
              <w:top w:val="nil"/>
              <w:left w:val="single" w:sz="4" w:space="0" w:color="auto"/>
              <w:bottom w:val="nil"/>
              <w:right w:val="nil"/>
            </w:tcBorders>
            <w:shd w:val="clear" w:color="auto" w:fill="auto"/>
            <w:noWrap/>
            <w:vAlign w:val="bottom"/>
            <w:hideMark/>
          </w:tcPr>
          <w:p w:rsidR="00766DAD" w:rsidRPr="0076218C" w:rsidRDefault="00766DAD" w:rsidP="0046529D">
            <w:pPr>
              <w:rPr>
                <w:rFonts w:ascii="Calibri" w:hAnsi="Calibri"/>
                <w:color w:val="000000"/>
              </w:rPr>
            </w:pPr>
            <w:r w:rsidRPr="0076218C">
              <w:rPr>
                <w:rFonts w:ascii="Calibri" w:hAnsi="Calibri"/>
                <w:color w:val="000000"/>
              </w:rPr>
              <w:t>HOTEL</w:t>
            </w:r>
          </w:p>
        </w:tc>
        <w:tc>
          <w:tcPr>
            <w:tcW w:w="1937" w:type="dxa"/>
            <w:tcBorders>
              <w:top w:val="nil"/>
              <w:left w:val="nil"/>
              <w:bottom w:val="nil"/>
              <w:right w:val="single" w:sz="4" w:space="0" w:color="auto"/>
            </w:tcBorders>
            <w:shd w:val="clear" w:color="auto" w:fill="auto"/>
            <w:noWrap/>
            <w:vAlign w:val="bottom"/>
            <w:hideMark/>
          </w:tcPr>
          <w:p w:rsidR="00766DAD" w:rsidRPr="0076218C" w:rsidRDefault="00766DAD" w:rsidP="0046529D">
            <w:pPr>
              <w:rPr>
                <w:rFonts w:ascii="Calibri" w:hAnsi="Calibri"/>
                <w:color w:val="000000"/>
              </w:rPr>
            </w:pPr>
            <w:r w:rsidRPr="0076218C">
              <w:rPr>
                <w:rFonts w:ascii="Calibri" w:hAnsi="Calibri"/>
                <w:color w:val="000000"/>
              </w:rPr>
              <w:t xml:space="preserve"> $   88.56 </w:t>
            </w:r>
          </w:p>
        </w:tc>
      </w:tr>
      <w:tr w:rsidR="00766DAD" w:rsidRPr="0076218C" w:rsidTr="0046529D">
        <w:trPr>
          <w:trHeight w:val="300"/>
        </w:trPr>
        <w:tc>
          <w:tcPr>
            <w:tcW w:w="3282" w:type="dxa"/>
            <w:tcBorders>
              <w:top w:val="nil"/>
              <w:left w:val="single" w:sz="4" w:space="0" w:color="auto"/>
              <w:bottom w:val="nil"/>
              <w:right w:val="nil"/>
            </w:tcBorders>
            <w:shd w:val="clear" w:color="auto" w:fill="auto"/>
            <w:noWrap/>
            <w:vAlign w:val="bottom"/>
            <w:hideMark/>
          </w:tcPr>
          <w:p w:rsidR="00766DAD" w:rsidRPr="0076218C" w:rsidRDefault="00766DAD" w:rsidP="0046529D">
            <w:pPr>
              <w:rPr>
                <w:rFonts w:ascii="Calibri" w:hAnsi="Calibri"/>
                <w:color w:val="000000"/>
              </w:rPr>
            </w:pPr>
            <w:r w:rsidRPr="0076218C">
              <w:rPr>
                <w:rFonts w:ascii="Calibri" w:hAnsi="Calibri"/>
                <w:color w:val="000000"/>
              </w:rPr>
              <w:t>RETAIL/ENTERTAINMENT</w:t>
            </w:r>
          </w:p>
        </w:tc>
        <w:tc>
          <w:tcPr>
            <w:tcW w:w="1937" w:type="dxa"/>
            <w:tcBorders>
              <w:top w:val="nil"/>
              <w:left w:val="nil"/>
              <w:bottom w:val="nil"/>
              <w:right w:val="single" w:sz="4" w:space="0" w:color="auto"/>
            </w:tcBorders>
            <w:shd w:val="clear" w:color="auto" w:fill="auto"/>
            <w:noWrap/>
            <w:vAlign w:val="bottom"/>
            <w:hideMark/>
          </w:tcPr>
          <w:p w:rsidR="00766DAD" w:rsidRPr="0076218C" w:rsidRDefault="00766DAD" w:rsidP="0046529D">
            <w:pPr>
              <w:rPr>
                <w:rFonts w:ascii="Calibri" w:hAnsi="Calibri"/>
                <w:color w:val="000000"/>
              </w:rPr>
            </w:pPr>
            <w:r w:rsidRPr="0076218C">
              <w:rPr>
                <w:rFonts w:ascii="Calibri" w:hAnsi="Calibri"/>
                <w:color w:val="000000"/>
              </w:rPr>
              <w:t xml:space="preserve"> $ 108.15 </w:t>
            </w:r>
          </w:p>
        </w:tc>
      </w:tr>
      <w:tr w:rsidR="00766DAD" w:rsidRPr="0076218C" w:rsidTr="0046529D">
        <w:trPr>
          <w:trHeight w:val="300"/>
        </w:trPr>
        <w:tc>
          <w:tcPr>
            <w:tcW w:w="3282" w:type="dxa"/>
            <w:tcBorders>
              <w:top w:val="nil"/>
              <w:left w:val="single" w:sz="4" w:space="0" w:color="auto"/>
              <w:bottom w:val="nil"/>
              <w:right w:val="nil"/>
            </w:tcBorders>
            <w:shd w:val="clear" w:color="auto" w:fill="auto"/>
            <w:noWrap/>
            <w:vAlign w:val="bottom"/>
            <w:hideMark/>
          </w:tcPr>
          <w:p w:rsidR="00766DAD" w:rsidRPr="0076218C" w:rsidRDefault="00766DAD" w:rsidP="0046529D">
            <w:pPr>
              <w:rPr>
                <w:rFonts w:ascii="Calibri" w:hAnsi="Calibri"/>
                <w:color w:val="000000"/>
              </w:rPr>
            </w:pPr>
            <w:r w:rsidRPr="0076218C">
              <w:rPr>
                <w:rFonts w:ascii="Calibri" w:hAnsi="Calibri"/>
                <w:color w:val="000000"/>
              </w:rPr>
              <w:t>WINERY</w:t>
            </w:r>
          </w:p>
        </w:tc>
        <w:tc>
          <w:tcPr>
            <w:tcW w:w="1937" w:type="dxa"/>
            <w:tcBorders>
              <w:top w:val="nil"/>
              <w:left w:val="nil"/>
              <w:bottom w:val="nil"/>
              <w:right w:val="single" w:sz="4" w:space="0" w:color="auto"/>
            </w:tcBorders>
            <w:shd w:val="clear" w:color="auto" w:fill="auto"/>
            <w:noWrap/>
            <w:vAlign w:val="bottom"/>
            <w:hideMark/>
          </w:tcPr>
          <w:p w:rsidR="00766DAD" w:rsidRPr="0076218C" w:rsidRDefault="00766DAD" w:rsidP="0046529D">
            <w:pPr>
              <w:rPr>
                <w:rFonts w:ascii="Calibri" w:hAnsi="Calibri"/>
                <w:color w:val="000000"/>
              </w:rPr>
            </w:pPr>
            <w:r w:rsidRPr="0076218C">
              <w:rPr>
                <w:rFonts w:ascii="Calibri" w:hAnsi="Calibri"/>
                <w:color w:val="000000"/>
              </w:rPr>
              <w:t xml:space="preserve"> $   11.86 </w:t>
            </w:r>
          </w:p>
        </w:tc>
      </w:tr>
      <w:tr w:rsidR="00766DAD" w:rsidRPr="0076218C" w:rsidTr="0046529D">
        <w:trPr>
          <w:trHeight w:val="300"/>
        </w:trPr>
        <w:tc>
          <w:tcPr>
            <w:tcW w:w="3282" w:type="dxa"/>
            <w:tcBorders>
              <w:top w:val="nil"/>
              <w:left w:val="single" w:sz="4" w:space="0" w:color="auto"/>
              <w:bottom w:val="nil"/>
              <w:right w:val="nil"/>
            </w:tcBorders>
            <w:shd w:val="clear" w:color="auto" w:fill="auto"/>
            <w:noWrap/>
            <w:vAlign w:val="bottom"/>
            <w:hideMark/>
          </w:tcPr>
          <w:p w:rsidR="00766DAD" w:rsidRPr="0076218C" w:rsidRDefault="00766DAD" w:rsidP="0046529D">
            <w:pPr>
              <w:rPr>
                <w:rFonts w:ascii="Calibri" w:hAnsi="Calibri"/>
                <w:color w:val="000000"/>
              </w:rPr>
            </w:pPr>
            <w:r w:rsidRPr="0076218C">
              <w:rPr>
                <w:rFonts w:ascii="Calibri" w:hAnsi="Calibri"/>
                <w:color w:val="000000"/>
              </w:rPr>
              <w:t>MANUFACTURING/INDUSTRIAL</w:t>
            </w:r>
          </w:p>
        </w:tc>
        <w:tc>
          <w:tcPr>
            <w:tcW w:w="1937" w:type="dxa"/>
            <w:tcBorders>
              <w:top w:val="nil"/>
              <w:left w:val="nil"/>
              <w:bottom w:val="nil"/>
              <w:right w:val="single" w:sz="4" w:space="0" w:color="auto"/>
            </w:tcBorders>
            <w:shd w:val="clear" w:color="auto" w:fill="auto"/>
            <w:noWrap/>
            <w:vAlign w:val="bottom"/>
            <w:hideMark/>
          </w:tcPr>
          <w:p w:rsidR="00766DAD" w:rsidRPr="0076218C" w:rsidRDefault="00766DAD" w:rsidP="0046529D">
            <w:pPr>
              <w:rPr>
                <w:rFonts w:ascii="Calibri" w:hAnsi="Calibri"/>
                <w:color w:val="000000"/>
              </w:rPr>
            </w:pPr>
            <w:r w:rsidRPr="0076218C">
              <w:rPr>
                <w:rFonts w:ascii="Calibri" w:hAnsi="Calibri"/>
                <w:color w:val="000000"/>
              </w:rPr>
              <w:t xml:space="preserve"> $   31.85 </w:t>
            </w:r>
          </w:p>
        </w:tc>
      </w:tr>
      <w:tr w:rsidR="00766DAD" w:rsidRPr="0076218C" w:rsidTr="0046529D">
        <w:trPr>
          <w:trHeight w:val="300"/>
        </w:trPr>
        <w:tc>
          <w:tcPr>
            <w:tcW w:w="3282" w:type="dxa"/>
            <w:tcBorders>
              <w:top w:val="nil"/>
              <w:left w:val="single" w:sz="4" w:space="0" w:color="auto"/>
              <w:bottom w:val="single" w:sz="4" w:space="0" w:color="auto"/>
              <w:right w:val="nil"/>
            </w:tcBorders>
            <w:shd w:val="clear" w:color="auto" w:fill="auto"/>
            <w:noWrap/>
            <w:vAlign w:val="bottom"/>
            <w:hideMark/>
          </w:tcPr>
          <w:p w:rsidR="00766DAD" w:rsidRPr="0076218C" w:rsidRDefault="00766DAD" w:rsidP="0046529D">
            <w:pPr>
              <w:rPr>
                <w:rFonts w:ascii="Calibri" w:hAnsi="Calibri"/>
                <w:color w:val="000000"/>
              </w:rPr>
            </w:pPr>
            <w:r w:rsidRPr="0076218C">
              <w:rPr>
                <w:rFonts w:ascii="Calibri" w:hAnsi="Calibri"/>
                <w:color w:val="000000"/>
              </w:rPr>
              <w:t>WAREHOUSING/STORAGE</w:t>
            </w:r>
          </w:p>
        </w:tc>
        <w:tc>
          <w:tcPr>
            <w:tcW w:w="1937" w:type="dxa"/>
            <w:tcBorders>
              <w:top w:val="nil"/>
              <w:left w:val="nil"/>
              <w:bottom w:val="single" w:sz="4" w:space="0" w:color="auto"/>
              <w:right w:val="single" w:sz="4" w:space="0" w:color="auto"/>
            </w:tcBorders>
            <w:shd w:val="clear" w:color="auto" w:fill="auto"/>
            <w:noWrap/>
            <w:vAlign w:val="bottom"/>
            <w:hideMark/>
          </w:tcPr>
          <w:p w:rsidR="00766DAD" w:rsidRPr="0076218C" w:rsidRDefault="00766DAD" w:rsidP="0046529D">
            <w:pPr>
              <w:rPr>
                <w:rFonts w:ascii="Calibri" w:hAnsi="Calibri"/>
                <w:color w:val="000000"/>
              </w:rPr>
            </w:pPr>
            <w:r w:rsidRPr="0076218C">
              <w:rPr>
                <w:rFonts w:ascii="Calibri" w:hAnsi="Calibri"/>
                <w:color w:val="000000"/>
              </w:rPr>
              <w:t xml:space="preserve"> $     9.29 </w:t>
            </w:r>
          </w:p>
        </w:tc>
      </w:tr>
    </w:tbl>
    <w:p w:rsidR="00766DAD" w:rsidRPr="0076218C" w:rsidRDefault="00766DAD" w:rsidP="00766DAD">
      <w:pPr>
        <w:tabs>
          <w:tab w:val="left" w:pos="-90"/>
        </w:tabs>
        <w:suppressAutoHyphens/>
        <w:rPr>
          <w:rFonts w:eastAsia="Calibri"/>
          <w:spacing w:val="-2"/>
        </w:rPr>
      </w:pPr>
    </w:p>
    <w:p w:rsidR="00766DAD" w:rsidRDefault="00766DAD" w:rsidP="00766DAD">
      <w:pPr>
        <w:jc w:val="center"/>
        <w:rPr>
          <w:b/>
        </w:rPr>
      </w:pPr>
      <w:r>
        <w:rPr>
          <w:b/>
        </w:rPr>
        <w:t xml:space="preserve">EXAMPLE OF POSSIBLE </w:t>
      </w:r>
      <w:r w:rsidRPr="0076218C">
        <w:rPr>
          <w:b/>
        </w:rPr>
        <w:t>COMMERCIAL FEE SCHEDULE</w:t>
      </w:r>
    </w:p>
    <w:p w:rsidR="00766DAD" w:rsidRPr="00316E15" w:rsidRDefault="00766DAD" w:rsidP="00766DAD">
      <w:r w:rsidRPr="00316E15">
        <w:t>For example, if the fees were raised to the following, $500,000 in additional revenue would be generated</w:t>
      </w:r>
      <w:r>
        <w:t>.</w:t>
      </w:r>
    </w:p>
    <w:p w:rsidR="00766DAD" w:rsidRPr="0076218C" w:rsidRDefault="00766DAD" w:rsidP="00766DAD">
      <w:pPr>
        <w:jc w:val="center"/>
        <w:rPr>
          <w:b/>
        </w:rPr>
      </w:pPr>
    </w:p>
    <w:p w:rsidR="00766DAD" w:rsidRPr="0076218C" w:rsidRDefault="00766DAD" w:rsidP="00766DAD">
      <w:pPr>
        <w:tabs>
          <w:tab w:val="left" w:pos="-90"/>
        </w:tabs>
        <w:suppressAutoHyphens/>
        <w:rPr>
          <w:rFonts w:eastAsia="Calibri"/>
          <w:spacing w:val="-2"/>
        </w:rPr>
      </w:pPr>
      <w:r w:rsidRPr="0076218C">
        <w:rPr>
          <w:rFonts w:eastAsia="Calibri"/>
          <w:spacing w:val="-2"/>
          <w:u w:val="single"/>
        </w:rPr>
        <w:t>Type of Use</w:t>
      </w:r>
      <w:r w:rsidRPr="0076218C">
        <w:rPr>
          <w:rFonts w:eastAsia="Calibri"/>
          <w:spacing w:val="-2"/>
        </w:rPr>
        <w:tab/>
      </w:r>
      <w:r w:rsidRPr="0076218C">
        <w:rPr>
          <w:rFonts w:eastAsia="Calibri"/>
          <w:spacing w:val="-2"/>
        </w:rPr>
        <w:tab/>
      </w:r>
      <w:r w:rsidRPr="0076218C">
        <w:rPr>
          <w:rFonts w:eastAsia="Calibri"/>
          <w:spacing w:val="-2"/>
        </w:rPr>
        <w:tab/>
      </w:r>
      <w:r w:rsidRPr="0076218C">
        <w:rPr>
          <w:rFonts w:eastAsia="Calibri"/>
          <w:spacing w:val="-2"/>
        </w:rPr>
        <w:tab/>
      </w:r>
      <w:r w:rsidRPr="0076218C">
        <w:rPr>
          <w:rFonts w:eastAsia="Calibri"/>
          <w:spacing w:val="-2"/>
        </w:rPr>
        <w:tab/>
      </w:r>
      <w:r w:rsidRPr="0076218C">
        <w:rPr>
          <w:rFonts w:eastAsia="Calibri"/>
          <w:spacing w:val="-2"/>
          <w:u w:val="single"/>
        </w:rPr>
        <w:t>Housing Fee Per Square Foot</w:t>
      </w:r>
      <w:r w:rsidRPr="0076218C">
        <w:rPr>
          <w:rFonts w:eastAsia="Calibri"/>
          <w:spacing w:val="-2"/>
        </w:rPr>
        <w:t>*</w:t>
      </w:r>
    </w:p>
    <w:p w:rsidR="00766DAD" w:rsidRPr="0076218C" w:rsidRDefault="00766DAD" w:rsidP="00766DAD">
      <w:pPr>
        <w:tabs>
          <w:tab w:val="left" w:pos="-90"/>
        </w:tabs>
        <w:suppressAutoHyphens/>
        <w:rPr>
          <w:rFonts w:eastAsia="Calibri"/>
          <w:b/>
          <w:spacing w:val="-2"/>
        </w:rPr>
      </w:pPr>
      <w:r w:rsidRPr="0076218C">
        <w:rPr>
          <w:rFonts w:eastAsia="Calibri"/>
          <w:b/>
          <w:spacing w:val="-2"/>
        </w:rPr>
        <w:t>Office</w:t>
      </w:r>
      <w:r w:rsidRPr="0076218C">
        <w:rPr>
          <w:rFonts w:eastAsia="Calibri"/>
          <w:b/>
          <w:spacing w:val="-2"/>
        </w:rPr>
        <w:tab/>
      </w:r>
      <w:r w:rsidRPr="0076218C">
        <w:rPr>
          <w:rFonts w:eastAsia="Calibri"/>
          <w:b/>
          <w:spacing w:val="-2"/>
        </w:rPr>
        <w:tab/>
      </w:r>
      <w:r w:rsidRPr="0076218C">
        <w:rPr>
          <w:rFonts w:eastAsia="Calibri"/>
          <w:b/>
          <w:spacing w:val="-2"/>
        </w:rPr>
        <w:tab/>
      </w:r>
      <w:r w:rsidRPr="0076218C">
        <w:rPr>
          <w:rFonts w:eastAsia="Calibri"/>
          <w:b/>
          <w:spacing w:val="-2"/>
        </w:rPr>
        <w:tab/>
      </w:r>
      <w:r w:rsidRPr="0076218C">
        <w:rPr>
          <w:rFonts w:eastAsia="Calibri"/>
          <w:b/>
          <w:spacing w:val="-2"/>
        </w:rPr>
        <w:tab/>
      </w:r>
      <w:r w:rsidRPr="0076218C">
        <w:rPr>
          <w:rFonts w:eastAsia="Calibri"/>
          <w:b/>
          <w:spacing w:val="-2"/>
        </w:rPr>
        <w:tab/>
      </w:r>
      <w:r w:rsidRPr="0076218C">
        <w:rPr>
          <w:rFonts w:eastAsia="Calibri"/>
          <w:b/>
          <w:spacing w:val="-2"/>
        </w:rPr>
        <w:tab/>
        <w:t>$6.00</w:t>
      </w:r>
    </w:p>
    <w:p w:rsidR="00766DAD" w:rsidRPr="0076218C" w:rsidRDefault="00766DAD" w:rsidP="00766DAD">
      <w:pPr>
        <w:tabs>
          <w:tab w:val="left" w:pos="-90"/>
        </w:tabs>
        <w:suppressAutoHyphens/>
        <w:rPr>
          <w:rFonts w:eastAsia="Calibri"/>
          <w:b/>
          <w:spacing w:val="-2"/>
        </w:rPr>
      </w:pPr>
      <w:r w:rsidRPr="0076218C">
        <w:rPr>
          <w:rFonts w:eastAsia="Calibri"/>
          <w:b/>
          <w:spacing w:val="-2"/>
        </w:rPr>
        <w:t>Hotel</w:t>
      </w:r>
      <w:r w:rsidRPr="0076218C">
        <w:rPr>
          <w:rFonts w:eastAsia="Calibri"/>
          <w:b/>
          <w:spacing w:val="-2"/>
        </w:rPr>
        <w:tab/>
      </w:r>
      <w:r w:rsidRPr="0076218C">
        <w:rPr>
          <w:rFonts w:eastAsia="Calibri"/>
          <w:b/>
          <w:spacing w:val="-2"/>
        </w:rPr>
        <w:tab/>
      </w:r>
      <w:r w:rsidRPr="0076218C">
        <w:rPr>
          <w:rFonts w:eastAsia="Calibri"/>
          <w:b/>
          <w:spacing w:val="-2"/>
        </w:rPr>
        <w:tab/>
      </w:r>
      <w:r w:rsidRPr="0076218C">
        <w:rPr>
          <w:rFonts w:eastAsia="Calibri"/>
          <w:b/>
          <w:spacing w:val="-2"/>
        </w:rPr>
        <w:tab/>
      </w:r>
      <w:r w:rsidRPr="0076218C">
        <w:rPr>
          <w:rFonts w:eastAsia="Calibri"/>
          <w:b/>
          <w:spacing w:val="-2"/>
        </w:rPr>
        <w:tab/>
      </w:r>
      <w:r w:rsidRPr="0076218C">
        <w:rPr>
          <w:rFonts w:eastAsia="Calibri"/>
          <w:b/>
          <w:spacing w:val="-2"/>
        </w:rPr>
        <w:tab/>
      </w:r>
      <w:r w:rsidRPr="0076218C">
        <w:rPr>
          <w:rFonts w:eastAsia="Calibri"/>
          <w:b/>
          <w:spacing w:val="-2"/>
        </w:rPr>
        <w:tab/>
        <w:t>$9.00</w:t>
      </w:r>
    </w:p>
    <w:p w:rsidR="00766DAD" w:rsidRPr="0076218C" w:rsidRDefault="00766DAD" w:rsidP="00766DAD">
      <w:pPr>
        <w:tabs>
          <w:tab w:val="left" w:pos="-90"/>
        </w:tabs>
        <w:suppressAutoHyphens/>
        <w:rPr>
          <w:rFonts w:eastAsia="Calibri"/>
          <w:b/>
          <w:spacing w:val="-2"/>
        </w:rPr>
      </w:pPr>
      <w:r w:rsidRPr="0076218C">
        <w:rPr>
          <w:rFonts w:eastAsia="Calibri"/>
          <w:b/>
          <w:spacing w:val="-2"/>
        </w:rPr>
        <w:t>Retail</w:t>
      </w:r>
      <w:r w:rsidRPr="0076218C">
        <w:rPr>
          <w:rFonts w:eastAsia="Calibri"/>
          <w:b/>
          <w:spacing w:val="-2"/>
        </w:rPr>
        <w:tab/>
      </w:r>
      <w:r w:rsidRPr="0076218C">
        <w:rPr>
          <w:rFonts w:eastAsia="Calibri"/>
          <w:b/>
          <w:spacing w:val="-2"/>
        </w:rPr>
        <w:tab/>
      </w:r>
      <w:r w:rsidRPr="0076218C">
        <w:rPr>
          <w:rFonts w:eastAsia="Calibri"/>
          <w:b/>
          <w:spacing w:val="-2"/>
        </w:rPr>
        <w:tab/>
      </w:r>
      <w:r w:rsidRPr="0076218C">
        <w:rPr>
          <w:rFonts w:eastAsia="Calibri"/>
          <w:b/>
          <w:spacing w:val="-2"/>
        </w:rPr>
        <w:tab/>
      </w:r>
      <w:r w:rsidRPr="0076218C">
        <w:rPr>
          <w:rFonts w:eastAsia="Calibri"/>
          <w:b/>
          <w:spacing w:val="-2"/>
        </w:rPr>
        <w:tab/>
      </w:r>
      <w:r w:rsidRPr="0076218C">
        <w:rPr>
          <w:rFonts w:eastAsia="Calibri"/>
          <w:b/>
          <w:spacing w:val="-2"/>
        </w:rPr>
        <w:tab/>
      </w:r>
      <w:r w:rsidRPr="0076218C">
        <w:rPr>
          <w:rFonts w:eastAsia="Calibri"/>
          <w:b/>
          <w:spacing w:val="-2"/>
        </w:rPr>
        <w:tab/>
        <w:t>$6.00</w:t>
      </w:r>
    </w:p>
    <w:p w:rsidR="00766DAD" w:rsidRPr="0076218C" w:rsidRDefault="00766DAD" w:rsidP="00766DAD">
      <w:pPr>
        <w:tabs>
          <w:tab w:val="left" w:pos="-90"/>
        </w:tabs>
        <w:suppressAutoHyphens/>
        <w:rPr>
          <w:rFonts w:eastAsia="Calibri"/>
          <w:b/>
          <w:spacing w:val="-2"/>
        </w:rPr>
      </w:pPr>
      <w:r w:rsidRPr="0076218C">
        <w:rPr>
          <w:rFonts w:eastAsia="Calibri"/>
          <w:b/>
          <w:spacing w:val="-2"/>
        </w:rPr>
        <w:t>Industrial</w:t>
      </w:r>
      <w:r w:rsidRPr="0076218C">
        <w:rPr>
          <w:rFonts w:eastAsia="Calibri"/>
          <w:b/>
          <w:spacing w:val="-2"/>
        </w:rPr>
        <w:tab/>
      </w:r>
      <w:r w:rsidRPr="0076218C">
        <w:rPr>
          <w:rFonts w:eastAsia="Calibri"/>
          <w:b/>
          <w:spacing w:val="-2"/>
        </w:rPr>
        <w:tab/>
      </w:r>
      <w:r w:rsidRPr="0076218C">
        <w:rPr>
          <w:rFonts w:eastAsia="Calibri"/>
          <w:b/>
          <w:spacing w:val="-2"/>
        </w:rPr>
        <w:tab/>
      </w:r>
      <w:r w:rsidRPr="0076218C">
        <w:rPr>
          <w:rFonts w:eastAsia="Calibri"/>
          <w:b/>
          <w:spacing w:val="-2"/>
        </w:rPr>
        <w:tab/>
      </w:r>
      <w:r w:rsidRPr="0076218C">
        <w:rPr>
          <w:rFonts w:eastAsia="Calibri"/>
          <w:b/>
          <w:spacing w:val="-2"/>
        </w:rPr>
        <w:tab/>
      </w:r>
      <w:r w:rsidRPr="0076218C">
        <w:rPr>
          <w:rFonts w:eastAsia="Calibri"/>
          <w:b/>
          <w:spacing w:val="-2"/>
        </w:rPr>
        <w:tab/>
        <w:t>$3.00</w:t>
      </w:r>
    </w:p>
    <w:p w:rsidR="00766DAD" w:rsidRPr="0076218C" w:rsidRDefault="00766DAD" w:rsidP="00766DAD">
      <w:pPr>
        <w:tabs>
          <w:tab w:val="left" w:pos="-90"/>
        </w:tabs>
        <w:suppressAutoHyphens/>
        <w:rPr>
          <w:rFonts w:eastAsia="Calibri"/>
          <w:b/>
          <w:spacing w:val="-2"/>
        </w:rPr>
      </w:pPr>
      <w:r w:rsidRPr="0076218C">
        <w:rPr>
          <w:rFonts w:eastAsia="Calibri"/>
          <w:b/>
          <w:spacing w:val="-2"/>
        </w:rPr>
        <w:t>Warehouse**</w:t>
      </w:r>
      <w:r w:rsidRPr="0076218C">
        <w:rPr>
          <w:rFonts w:eastAsia="Calibri"/>
          <w:b/>
          <w:spacing w:val="-2"/>
        </w:rPr>
        <w:tab/>
      </w:r>
      <w:r w:rsidRPr="0076218C">
        <w:rPr>
          <w:rFonts w:eastAsia="Calibri"/>
          <w:b/>
          <w:spacing w:val="-2"/>
        </w:rPr>
        <w:tab/>
      </w:r>
      <w:r w:rsidRPr="0076218C">
        <w:rPr>
          <w:rFonts w:eastAsia="Calibri"/>
          <w:b/>
          <w:spacing w:val="-2"/>
        </w:rPr>
        <w:tab/>
      </w:r>
      <w:r w:rsidRPr="0076218C">
        <w:rPr>
          <w:rFonts w:eastAsia="Calibri"/>
          <w:b/>
          <w:spacing w:val="-2"/>
        </w:rPr>
        <w:tab/>
      </w:r>
      <w:r w:rsidRPr="0076218C">
        <w:rPr>
          <w:rFonts w:eastAsia="Calibri"/>
          <w:b/>
          <w:spacing w:val="-2"/>
        </w:rPr>
        <w:tab/>
      </w:r>
      <w:r w:rsidRPr="0076218C">
        <w:rPr>
          <w:rFonts w:eastAsia="Calibri"/>
          <w:b/>
          <w:spacing w:val="-2"/>
        </w:rPr>
        <w:tab/>
        <w:t>$2.40</w:t>
      </w:r>
    </w:p>
    <w:p w:rsidR="00766DAD" w:rsidRPr="0076218C" w:rsidRDefault="00766DAD" w:rsidP="00766DAD">
      <w:pPr>
        <w:tabs>
          <w:tab w:val="left" w:pos="-90"/>
        </w:tabs>
        <w:suppressAutoHyphens/>
        <w:rPr>
          <w:rFonts w:eastAsia="Calibri"/>
          <w:b/>
          <w:spacing w:val="-2"/>
        </w:rPr>
      </w:pPr>
    </w:p>
    <w:p w:rsidR="00766DAD" w:rsidRPr="0076218C" w:rsidRDefault="00766DAD" w:rsidP="00766DAD">
      <w:pPr>
        <w:tabs>
          <w:tab w:val="left" w:pos="-90"/>
        </w:tabs>
        <w:suppressAutoHyphens/>
        <w:rPr>
          <w:b/>
        </w:rPr>
      </w:pPr>
      <w:r w:rsidRPr="0076218C">
        <w:rPr>
          <w:b/>
        </w:rPr>
        <w:t xml:space="preserve">ESTIMATED REVENUE GENERATED UNDER CURRENT FEES: </w:t>
      </w:r>
      <w:r w:rsidRPr="0076218C">
        <w:t>$</w:t>
      </w:r>
      <w:r>
        <w:t>250</w:t>
      </w:r>
      <w:r w:rsidRPr="0076218C">
        <w:t>,000 estimated for FY2012/13</w:t>
      </w:r>
    </w:p>
    <w:p w:rsidR="00766DAD" w:rsidRPr="0076218C" w:rsidRDefault="00766DAD" w:rsidP="0046529D">
      <w:r w:rsidRPr="0076218C">
        <w:rPr>
          <w:b/>
        </w:rPr>
        <w:t>ESTIMATED REVENUE GENERATED WITH NEW FEES:</w:t>
      </w:r>
      <w:r w:rsidRPr="0076218C">
        <w:t xml:space="preserve"> $</w:t>
      </w:r>
      <w:r>
        <w:t>750</w:t>
      </w:r>
      <w:r w:rsidRPr="0076218C">
        <w:t>,000 estimated for FY2012/13</w:t>
      </w:r>
    </w:p>
    <w:p w:rsidR="00766DAD" w:rsidRPr="00AD0D14" w:rsidRDefault="00766DAD" w:rsidP="00766DAD">
      <w:pPr>
        <w:jc w:val="center"/>
        <w:rPr>
          <w:b/>
        </w:rPr>
      </w:pPr>
      <w:r w:rsidRPr="002A4A75">
        <w:rPr>
          <w:b/>
          <w:sz w:val="28"/>
          <w:szCs w:val="28"/>
        </w:rPr>
        <w:t>COUNTY SERVICE AREAS - CSA 4</w:t>
      </w:r>
    </w:p>
    <w:p w:rsidR="00766DAD" w:rsidRPr="002A4A75" w:rsidRDefault="00766DAD" w:rsidP="00766DAD">
      <w:pPr>
        <w:jc w:val="both"/>
        <w:rPr>
          <w:b/>
        </w:rPr>
      </w:pPr>
    </w:p>
    <w:p w:rsidR="00766DAD" w:rsidRPr="002A4A75" w:rsidRDefault="00766DAD" w:rsidP="00766DAD">
      <w:pPr>
        <w:autoSpaceDE w:val="0"/>
        <w:autoSpaceDN w:val="0"/>
        <w:adjustRightInd w:val="0"/>
        <w:jc w:val="both"/>
        <w:rPr>
          <w:rFonts w:cs="Arial"/>
        </w:rPr>
      </w:pPr>
      <w:r w:rsidRPr="002A4A75">
        <w:rPr>
          <w:b/>
        </w:rPr>
        <w:t xml:space="preserve">DESCRIPTION: </w:t>
      </w:r>
      <w:r w:rsidRPr="002A4A75">
        <w:t>According to californiataxdata.com, “</w:t>
      </w:r>
      <w:r w:rsidRPr="002A4A75">
        <w:rPr>
          <w:rFonts w:cs="Arial"/>
        </w:rPr>
        <w:t>In unincorporated areas, basic services like water, sewer, police and fire protection are provided by the county.  Because counties often consist of large and diverse geographical areas, providing a consistent and adequate service level across all areas can be difficult.  Residents of urban communities may want more services than those residing in rural areas.</w:t>
      </w:r>
      <w:r>
        <w:rPr>
          <w:rFonts w:cs="Arial"/>
        </w:rPr>
        <w:t xml:space="preserve">  </w:t>
      </w:r>
      <w:r w:rsidRPr="002A4A75">
        <w:rPr>
          <w:rFonts w:cs="Arial"/>
        </w:rPr>
        <w:t xml:space="preserve">The County Service Area Law (Government Code §25210.1 </w:t>
      </w:r>
      <w:r w:rsidRPr="002A4A75">
        <w:rPr>
          <w:rFonts w:cs="Arial,Italic"/>
          <w:i/>
          <w:iCs/>
        </w:rPr>
        <w:t>et seq.</w:t>
      </w:r>
      <w:r w:rsidRPr="002A4A75">
        <w:rPr>
          <w:rFonts w:cs="Arial"/>
        </w:rPr>
        <w:t>) was created in the 1950’s to provide a means of providing expanded service levels in areas where residents are willing to pay for the extra service.”</w:t>
      </w:r>
    </w:p>
    <w:p w:rsidR="00766DAD" w:rsidRPr="0046529D" w:rsidRDefault="00766DAD" w:rsidP="00766DAD">
      <w:pPr>
        <w:autoSpaceDE w:val="0"/>
        <w:autoSpaceDN w:val="0"/>
        <w:adjustRightInd w:val="0"/>
        <w:jc w:val="both"/>
        <w:rPr>
          <w:rFonts w:cs="Arial"/>
          <w:sz w:val="22"/>
          <w:szCs w:val="22"/>
        </w:rPr>
      </w:pPr>
    </w:p>
    <w:p w:rsidR="00766DAD" w:rsidRPr="002A4A75" w:rsidRDefault="00766DAD" w:rsidP="00766DAD">
      <w:pPr>
        <w:autoSpaceDE w:val="0"/>
        <w:autoSpaceDN w:val="0"/>
        <w:adjustRightInd w:val="0"/>
        <w:jc w:val="both"/>
        <w:rPr>
          <w:rFonts w:cs="Arial"/>
        </w:rPr>
      </w:pPr>
      <w:r w:rsidRPr="002A4A75">
        <w:rPr>
          <w:rFonts w:cs="Arial"/>
        </w:rPr>
        <w:t>“The law allows residents or county supervisors to initiate the formation of a County Service Area (or “CSA”).  A CSA is authorized to provide a wide variety of services, including extended police protection, fire protection, park and recreation facilities, libraries, low power television and translation facilities and services. CSAs also may provide other basic services such as water and garbage collection if they are not already performed on a countywide basis.  A CSA may span all unincorporated areas of a county or only selected portions. A CSA may issue General Obligation or Revenue Bonds, or form improvement areas for the purpose of issuing bonds that specifically benefit, and will be charged to, only part of the CSA. Any bond issuance or other long-term debt will require approval of voters residing within the CSA.”</w:t>
      </w:r>
    </w:p>
    <w:p w:rsidR="00766DAD" w:rsidRPr="0046529D" w:rsidRDefault="00766DAD" w:rsidP="00766DAD">
      <w:pPr>
        <w:autoSpaceDE w:val="0"/>
        <w:autoSpaceDN w:val="0"/>
        <w:adjustRightInd w:val="0"/>
        <w:jc w:val="both"/>
        <w:rPr>
          <w:rFonts w:cs="Arial"/>
          <w:sz w:val="22"/>
          <w:szCs w:val="22"/>
        </w:rPr>
      </w:pPr>
    </w:p>
    <w:p w:rsidR="00766DAD" w:rsidRPr="002A4A75" w:rsidRDefault="00766DAD" w:rsidP="00766DAD">
      <w:pPr>
        <w:autoSpaceDE w:val="0"/>
        <w:autoSpaceDN w:val="0"/>
        <w:adjustRightInd w:val="0"/>
        <w:jc w:val="both"/>
        <w:rPr>
          <w:rFonts w:cs="Arial"/>
        </w:rPr>
      </w:pPr>
      <w:r w:rsidRPr="002A4A75">
        <w:rPr>
          <w:rFonts w:cs="Arial"/>
        </w:rPr>
        <w:t>“A CSA is initiated by a petition of registered voters or by adoption of a resolution at the county level. Once proposed, the formation of the CSA will be subject to public notice and a public hearing. If more than 50% of registered voters or landowners protest, the CSA may need to be subject to voter approval at a special election. Once approved, the CSA is normally granted limited powers and the county board of supervisors act as the CSA board.”</w:t>
      </w:r>
    </w:p>
    <w:p w:rsidR="00766DAD" w:rsidRPr="0046529D" w:rsidRDefault="00766DAD" w:rsidP="00766DAD">
      <w:pPr>
        <w:autoSpaceDE w:val="0"/>
        <w:autoSpaceDN w:val="0"/>
        <w:adjustRightInd w:val="0"/>
        <w:jc w:val="both"/>
        <w:rPr>
          <w:rFonts w:ascii="Arial" w:hAnsi="Arial" w:cs="Arial"/>
          <w:sz w:val="22"/>
          <w:szCs w:val="22"/>
        </w:rPr>
      </w:pPr>
    </w:p>
    <w:p w:rsidR="00766DAD" w:rsidRPr="002A4A75" w:rsidRDefault="00766DAD" w:rsidP="00766DAD">
      <w:pPr>
        <w:autoSpaceDE w:val="0"/>
        <w:autoSpaceDN w:val="0"/>
        <w:adjustRightInd w:val="0"/>
        <w:jc w:val="both"/>
        <w:rPr>
          <w:b/>
        </w:rPr>
      </w:pPr>
      <w:r w:rsidRPr="002A4A75">
        <w:t xml:space="preserve">Currently, the County owns and operates three migrant farm worker centers with a total of 180 beds in dorm style accommodations.  County Service Area No. 4 funds </w:t>
      </w:r>
      <w:r>
        <w:t xml:space="preserve">migrant worker housing and is currently used for </w:t>
      </w:r>
      <w:r w:rsidRPr="002A4A75">
        <w:t xml:space="preserve">construction, maintenance and operation of the </w:t>
      </w:r>
      <w:r>
        <w:t xml:space="preserve">three </w:t>
      </w:r>
      <w:r w:rsidRPr="002A4A75">
        <w:t>farm worker centers.</w:t>
      </w:r>
    </w:p>
    <w:p w:rsidR="00766DAD" w:rsidRPr="0046529D" w:rsidRDefault="00766DAD" w:rsidP="00766DAD">
      <w:pPr>
        <w:jc w:val="both"/>
        <w:rPr>
          <w:b/>
          <w:sz w:val="22"/>
          <w:szCs w:val="22"/>
        </w:rPr>
      </w:pPr>
    </w:p>
    <w:p w:rsidR="00766DAD" w:rsidRPr="002A4A75" w:rsidRDefault="00766DAD" w:rsidP="00766DAD">
      <w:pPr>
        <w:jc w:val="both"/>
      </w:pPr>
      <w:r w:rsidRPr="002A4A75">
        <w:rPr>
          <w:b/>
        </w:rPr>
        <w:t xml:space="preserve">PROCESS:  </w:t>
      </w:r>
      <w:r w:rsidRPr="002A4A75">
        <w:t>County Service Area No. 4 was formed in 2002 under the provisions of Government Code section 25210.4h. CSA 4 provides a mechanism for owners of land containing at least one acre of planted vineyards to approve an assessment, not to exceed $10.00 per planted vineyard acre per year, which assists in the acquisition, construction, leasing and maintaining of housing accommodations to farm workers in Napa County. In 2007 assessed property owners, though the ballot procedures renewed the assessment district through fiscal year 2011-2012, and again approved a renewal of the assessment for an additional five year period in 2012. In order to increase this assessment, property owners would be required to vote with a majority in support.</w:t>
      </w:r>
    </w:p>
    <w:p w:rsidR="00766DAD" w:rsidRPr="0046529D" w:rsidRDefault="00766DAD" w:rsidP="00766DAD">
      <w:pPr>
        <w:jc w:val="both"/>
        <w:rPr>
          <w:b/>
          <w:sz w:val="22"/>
          <w:szCs w:val="22"/>
        </w:rPr>
      </w:pPr>
    </w:p>
    <w:p w:rsidR="00766DAD" w:rsidRPr="002A4A75" w:rsidRDefault="00766DAD" w:rsidP="00766DAD">
      <w:pPr>
        <w:jc w:val="both"/>
      </w:pPr>
      <w:r w:rsidRPr="002A4A75">
        <w:rPr>
          <w:b/>
        </w:rPr>
        <w:t xml:space="preserve">STAFF ANALYSIS AND RECOMMENDATION:  </w:t>
      </w:r>
      <w:r w:rsidRPr="002A4A75">
        <w:t xml:space="preserve">The CSA 4 assessment would require state legislation to increase the amount and additionally require a vote of the property owners in order to approve an increase.  There are currently 45,429 planted acres, </w:t>
      </w:r>
      <w:r>
        <w:t>providing</w:t>
      </w:r>
      <w:r w:rsidRPr="002A4A75">
        <w:t xml:space="preserve"> </w:t>
      </w:r>
      <w:r>
        <w:t>approximately $450</w:t>
      </w:r>
      <w:r w:rsidRPr="002A4A75">
        <w:t>,</w:t>
      </w:r>
      <w:r>
        <w:t>000</w:t>
      </w:r>
      <w:r w:rsidRPr="002A4A75">
        <w:t xml:space="preserve"> in revenue generated per year.  </w:t>
      </w:r>
      <w:r>
        <w:t>This amount varies due to some exemptions.</w:t>
      </w:r>
    </w:p>
    <w:p w:rsidR="00766DAD" w:rsidRPr="0046529D" w:rsidRDefault="00766DAD" w:rsidP="00766DAD">
      <w:pPr>
        <w:jc w:val="both"/>
        <w:rPr>
          <w:sz w:val="22"/>
          <w:szCs w:val="22"/>
        </w:rPr>
      </w:pPr>
    </w:p>
    <w:p w:rsidR="00766DAD" w:rsidRPr="002A4A75" w:rsidRDefault="00766DAD" w:rsidP="00766DAD">
      <w:pPr>
        <w:jc w:val="both"/>
      </w:pPr>
      <w:r w:rsidRPr="002A4A75">
        <w:t>The current FY 2012-13 operating budget for the three County owned and operated farm worker centers is $1,179,659, which includes such costs as utilities, staffing and food service.  The assessment revenue and newly increased bed rate revenues do not fully cover the cost of operations.  Last year, Auction Napa Valley funded $120,000 (and an average of $100,00</w:t>
      </w:r>
      <w:r>
        <w:t>0</w:t>
      </w:r>
      <w:r w:rsidRPr="002A4A75">
        <w:t xml:space="preserve"> per year over the last five years), but has decided to cease this contribution and focus on educational programs.  The current fiscal year budget planned on a $120,000 contribution, but only receive</w:t>
      </w:r>
      <w:r>
        <w:t>d</w:t>
      </w:r>
      <w:r w:rsidRPr="002A4A75">
        <w:t xml:space="preserve"> $90,000, leaving a $30,000 deficit.  In future years, with costs rising and revenues reduced, there will be a need to increase this revenue </w:t>
      </w:r>
      <w:r>
        <w:t>opportunity</w:t>
      </w:r>
      <w:r w:rsidRPr="002A4A75">
        <w:t>.</w:t>
      </w:r>
    </w:p>
    <w:p w:rsidR="0046529D" w:rsidRPr="0046529D" w:rsidRDefault="0046529D" w:rsidP="00766DAD">
      <w:pPr>
        <w:jc w:val="both"/>
        <w:rPr>
          <w:b/>
          <w:sz w:val="16"/>
          <w:szCs w:val="16"/>
        </w:rPr>
      </w:pPr>
    </w:p>
    <w:p w:rsidR="00766DAD" w:rsidRDefault="00766DAD" w:rsidP="00766DAD">
      <w:pPr>
        <w:jc w:val="both"/>
        <w:rPr>
          <w:b/>
        </w:rPr>
      </w:pPr>
      <w:r w:rsidRPr="002A4A75">
        <w:rPr>
          <w:b/>
        </w:rPr>
        <w:t>CURRENT REVENUE GENERATED PER YEAR AT $10 RATE: $454,290</w:t>
      </w:r>
    </w:p>
    <w:p w:rsidR="00766DAD" w:rsidRPr="002A4A75" w:rsidRDefault="00766DAD" w:rsidP="00766DAD">
      <w:pPr>
        <w:jc w:val="both"/>
        <w:rPr>
          <w:b/>
        </w:rPr>
      </w:pPr>
      <w:r>
        <w:rPr>
          <w:b/>
        </w:rPr>
        <w:t xml:space="preserve">EXAMPLE OF </w:t>
      </w:r>
      <w:r w:rsidRPr="002A4A75">
        <w:rPr>
          <w:b/>
        </w:rPr>
        <w:t>REVENUE GENERATED PER YEAR WITH AN INCREASE TO $15 RATE: $681,435</w:t>
      </w:r>
    </w:p>
    <w:p w:rsidR="00766DAD" w:rsidRPr="002A4A75" w:rsidRDefault="00766DAD" w:rsidP="00766DAD">
      <w:pPr>
        <w:jc w:val="center"/>
        <w:rPr>
          <w:b/>
          <w:sz w:val="28"/>
          <w:szCs w:val="28"/>
        </w:rPr>
      </w:pPr>
      <w:r w:rsidRPr="002A4A75">
        <w:rPr>
          <w:b/>
          <w:sz w:val="28"/>
          <w:szCs w:val="28"/>
        </w:rPr>
        <w:t>BUSINESS LICENSE FEE</w:t>
      </w:r>
    </w:p>
    <w:p w:rsidR="00766DAD" w:rsidRPr="002A4A75" w:rsidRDefault="00766DAD" w:rsidP="00766DAD">
      <w:pPr>
        <w:jc w:val="both"/>
        <w:rPr>
          <w:b/>
        </w:rPr>
      </w:pPr>
    </w:p>
    <w:p w:rsidR="00766DAD" w:rsidRPr="002A4A75" w:rsidRDefault="00766DAD" w:rsidP="00766DAD">
      <w:pPr>
        <w:jc w:val="both"/>
        <w:rPr>
          <w:rFonts w:cs="Arial"/>
          <w:b/>
        </w:rPr>
      </w:pPr>
    </w:p>
    <w:p w:rsidR="00766DAD" w:rsidRPr="002A4A75" w:rsidRDefault="00766DAD" w:rsidP="00766DAD">
      <w:pPr>
        <w:jc w:val="both"/>
        <w:rPr>
          <w:rFonts w:cs="Arial"/>
          <w:b/>
        </w:rPr>
      </w:pPr>
      <w:r w:rsidRPr="002A4A75">
        <w:rPr>
          <w:rFonts w:cs="Arial"/>
          <w:b/>
        </w:rPr>
        <w:t xml:space="preserve">DESCRIPTION: </w:t>
      </w:r>
      <w:r w:rsidRPr="002A4A75">
        <w:rPr>
          <w:rFonts w:cs="Arial"/>
        </w:rPr>
        <w:t>The State of California permits Counties and Cities to charge a business license fee to entities conducting business in their jurisdiction which make over $5,000 in gross receipts.  The amount charged can range from $.10 to $1.10</w:t>
      </w:r>
    </w:p>
    <w:p w:rsidR="00766DAD" w:rsidRPr="002A4A75" w:rsidRDefault="00766DAD" w:rsidP="00766DAD">
      <w:pPr>
        <w:jc w:val="both"/>
        <w:rPr>
          <w:rFonts w:cs="Arial"/>
          <w:b/>
        </w:rPr>
      </w:pPr>
    </w:p>
    <w:p w:rsidR="00766DAD" w:rsidRPr="002A4A75" w:rsidRDefault="00766DAD" w:rsidP="00766DAD">
      <w:pPr>
        <w:jc w:val="both"/>
        <w:rPr>
          <w:rFonts w:cs="Arial"/>
        </w:rPr>
      </w:pPr>
      <w:r w:rsidRPr="002A4A75">
        <w:rPr>
          <w:rFonts w:cs="Arial"/>
          <w:b/>
        </w:rPr>
        <w:t xml:space="preserve">PROCESS:  </w:t>
      </w:r>
      <w:r w:rsidRPr="002A4A75">
        <w:rPr>
          <w:rFonts w:cs="Arial"/>
        </w:rPr>
        <w:t xml:space="preserve">In order to implement this tax in Napa County, </w:t>
      </w:r>
      <w:r>
        <w:rPr>
          <w:rFonts w:cs="Arial"/>
        </w:rPr>
        <w:t>and earmark it for affordable housing, the ordinance would need to be p</w:t>
      </w:r>
      <w:r w:rsidRPr="002A4A75">
        <w:rPr>
          <w:rFonts w:cs="Arial"/>
        </w:rPr>
        <w:t>lace</w:t>
      </w:r>
      <w:r>
        <w:rPr>
          <w:rFonts w:cs="Arial"/>
        </w:rPr>
        <w:t>d</w:t>
      </w:r>
      <w:r w:rsidRPr="002A4A75">
        <w:rPr>
          <w:rFonts w:cs="Arial"/>
        </w:rPr>
        <w:t xml:space="preserve"> on the ballot to get voter approval (2/3 required).  Next the Tax Treasurers office will need to create a business license unit to implement and maintain the collection of this annual tax.</w:t>
      </w:r>
    </w:p>
    <w:p w:rsidR="00766DAD" w:rsidRPr="002A4A75" w:rsidRDefault="00766DAD" w:rsidP="00766DAD">
      <w:pPr>
        <w:jc w:val="both"/>
        <w:rPr>
          <w:rFonts w:cs="Arial"/>
          <w:b/>
        </w:rPr>
      </w:pPr>
    </w:p>
    <w:p w:rsidR="00766DAD" w:rsidRPr="002A4A75" w:rsidRDefault="00766DAD" w:rsidP="00766DAD">
      <w:pPr>
        <w:jc w:val="both"/>
        <w:rPr>
          <w:rFonts w:cs="Arial"/>
        </w:rPr>
      </w:pPr>
      <w:r w:rsidRPr="002A4A75">
        <w:rPr>
          <w:rFonts w:cs="Arial"/>
          <w:b/>
        </w:rPr>
        <w:t xml:space="preserve">STAFF ANALYSIS AND RECOMMENDATION:  </w:t>
      </w:r>
      <w:r w:rsidRPr="002A4A75">
        <w:rPr>
          <w:rFonts w:cs="Arial"/>
        </w:rPr>
        <w:t>This fee constitutes a tax and would require a vote of 2/3 of registered voters.  See section on Proposition 26</w:t>
      </w:r>
    </w:p>
    <w:p w:rsidR="00766DAD" w:rsidRPr="002A4A75" w:rsidRDefault="00766DAD" w:rsidP="00766DAD">
      <w:pPr>
        <w:jc w:val="both"/>
        <w:rPr>
          <w:rFonts w:cs="Arial"/>
        </w:rPr>
      </w:pPr>
    </w:p>
    <w:p w:rsidR="00766DAD" w:rsidRPr="002A4A75" w:rsidRDefault="00766DAD" w:rsidP="00766DAD">
      <w:pPr>
        <w:jc w:val="both"/>
        <w:rPr>
          <w:rFonts w:cs="Arial"/>
        </w:rPr>
      </w:pPr>
      <w:r w:rsidRPr="002A4A75">
        <w:rPr>
          <w:rFonts w:cs="Arial"/>
        </w:rPr>
        <w:t>Usi</w:t>
      </w:r>
      <w:r>
        <w:rPr>
          <w:rFonts w:cs="Arial"/>
        </w:rPr>
        <w:t>ng Alameda County as an example</w:t>
      </w:r>
      <w:r w:rsidRPr="002A4A75">
        <w:rPr>
          <w:rFonts w:cs="Arial"/>
        </w:rPr>
        <w:t>:</w:t>
      </w:r>
    </w:p>
    <w:p w:rsidR="00766DAD" w:rsidRPr="002A4A75" w:rsidRDefault="00766DAD" w:rsidP="00766DAD">
      <w:pPr>
        <w:jc w:val="both"/>
        <w:rPr>
          <w:rFonts w:cs="Arial"/>
        </w:rPr>
      </w:pPr>
    </w:p>
    <w:p w:rsidR="00766DAD" w:rsidRPr="002A4A75" w:rsidRDefault="00766DAD" w:rsidP="00766DAD">
      <w:pPr>
        <w:jc w:val="both"/>
        <w:rPr>
          <w:rFonts w:cs="Arial"/>
        </w:rPr>
      </w:pPr>
      <w:r w:rsidRPr="002A4A75">
        <w:rPr>
          <w:rFonts w:cs="Arial"/>
        </w:rPr>
        <w:t>Retail: $.25 per $1,000 of gross receipts</w:t>
      </w:r>
    </w:p>
    <w:p w:rsidR="00766DAD" w:rsidRPr="002A4A75" w:rsidRDefault="00766DAD" w:rsidP="00766DAD">
      <w:pPr>
        <w:jc w:val="both"/>
        <w:rPr>
          <w:rFonts w:cs="Arial"/>
        </w:rPr>
      </w:pPr>
      <w:r w:rsidRPr="002A4A75">
        <w:rPr>
          <w:rFonts w:cs="Arial"/>
        </w:rPr>
        <w:t>Grocer: $.25 per $1,000 of gross receipts; above $2,000,000 is charged at $.14 per $1,000 and above $3,000,000 is charges at $.11 per $1,000</w:t>
      </w:r>
    </w:p>
    <w:p w:rsidR="00766DAD" w:rsidRPr="002A4A75" w:rsidRDefault="00766DAD" w:rsidP="00766DAD">
      <w:pPr>
        <w:jc w:val="both"/>
        <w:rPr>
          <w:rFonts w:cs="Arial"/>
        </w:rPr>
      </w:pPr>
      <w:r w:rsidRPr="002A4A75">
        <w:rPr>
          <w:rFonts w:cs="Arial"/>
        </w:rPr>
        <w:t>Automobile Dealers: $.25 per $1,000 of gross receipts</w:t>
      </w:r>
    </w:p>
    <w:p w:rsidR="00766DAD" w:rsidRPr="002A4A75" w:rsidRDefault="00766DAD" w:rsidP="00766DAD">
      <w:pPr>
        <w:jc w:val="both"/>
        <w:rPr>
          <w:rFonts w:cs="Arial"/>
        </w:rPr>
      </w:pPr>
      <w:r w:rsidRPr="002A4A75">
        <w:rPr>
          <w:rFonts w:cs="Arial"/>
        </w:rPr>
        <w:t>Wholesale: $.25 per $1,000 of gross receipts</w:t>
      </w:r>
    </w:p>
    <w:p w:rsidR="00766DAD" w:rsidRPr="002A4A75" w:rsidRDefault="00766DAD" w:rsidP="00766DAD">
      <w:pPr>
        <w:jc w:val="both"/>
        <w:rPr>
          <w:rFonts w:cs="Arial"/>
        </w:rPr>
      </w:pPr>
      <w:r w:rsidRPr="002A4A75">
        <w:rPr>
          <w:rFonts w:cs="Arial"/>
        </w:rPr>
        <w:t>Business and Personal Services: $1.00 per $1,000 of gross receipts</w:t>
      </w:r>
    </w:p>
    <w:p w:rsidR="00766DAD" w:rsidRPr="002A4A75" w:rsidRDefault="00766DAD" w:rsidP="00766DAD">
      <w:pPr>
        <w:jc w:val="both"/>
        <w:rPr>
          <w:rFonts w:cs="Arial"/>
        </w:rPr>
      </w:pPr>
      <w:r w:rsidRPr="002A4A75">
        <w:rPr>
          <w:rFonts w:cs="Arial"/>
        </w:rPr>
        <w:t>Professional-Semiprofessional Business: $1.25 per $1,000 of gross receipts</w:t>
      </w:r>
    </w:p>
    <w:p w:rsidR="00766DAD" w:rsidRPr="002A4A75" w:rsidRDefault="00766DAD" w:rsidP="00766DAD">
      <w:pPr>
        <w:jc w:val="both"/>
        <w:rPr>
          <w:rFonts w:cs="Arial"/>
        </w:rPr>
      </w:pPr>
      <w:r w:rsidRPr="002A4A75">
        <w:rPr>
          <w:rFonts w:cs="Arial"/>
        </w:rPr>
        <w:t>Real Estate Broker: $40 per branch and $20 per agent</w:t>
      </w:r>
    </w:p>
    <w:p w:rsidR="00766DAD" w:rsidRPr="002A4A75" w:rsidRDefault="00766DAD" w:rsidP="00766DAD">
      <w:pPr>
        <w:jc w:val="both"/>
        <w:rPr>
          <w:rFonts w:cs="Arial"/>
        </w:rPr>
      </w:pPr>
      <w:r w:rsidRPr="002A4A75">
        <w:rPr>
          <w:rFonts w:cs="Arial"/>
        </w:rPr>
        <w:t>Insurance and Underwriting: See semi-professional rates</w:t>
      </w:r>
    </w:p>
    <w:p w:rsidR="00766DAD" w:rsidRPr="002A4A75" w:rsidRDefault="00766DAD" w:rsidP="00766DAD">
      <w:pPr>
        <w:jc w:val="both"/>
        <w:rPr>
          <w:rFonts w:cs="Arial"/>
        </w:rPr>
      </w:pPr>
      <w:r w:rsidRPr="002A4A75">
        <w:rPr>
          <w:rFonts w:cs="Arial"/>
        </w:rPr>
        <w:t>Real Estate Developer: $1.25 per $1,000 of gross receipts</w:t>
      </w:r>
    </w:p>
    <w:p w:rsidR="00766DAD" w:rsidRPr="002A4A75" w:rsidRDefault="00766DAD" w:rsidP="00766DAD">
      <w:pPr>
        <w:jc w:val="both"/>
        <w:rPr>
          <w:rFonts w:cs="Arial"/>
        </w:rPr>
      </w:pPr>
      <w:r w:rsidRPr="002A4A75">
        <w:rPr>
          <w:rFonts w:cs="Arial"/>
        </w:rPr>
        <w:t>Recreation and Entertainment: $1.50 per $1,000 of gross receipts</w:t>
      </w:r>
    </w:p>
    <w:p w:rsidR="00766DAD" w:rsidRPr="002A4A75" w:rsidRDefault="00766DAD" w:rsidP="00766DAD">
      <w:pPr>
        <w:jc w:val="both"/>
        <w:rPr>
          <w:rFonts w:cs="Arial"/>
        </w:rPr>
      </w:pPr>
      <w:r w:rsidRPr="002A4A75">
        <w:rPr>
          <w:rFonts w:cs="Arial"/>
        </w:rPr>
        <w:t>Construction Contractors: $1.25 per $1,000 of gross receipts</w:t>
      </w:r>
    </w:p>
    <w:p w:rsidR="00766DAD" w:rsidRPr="002A4A75" w:rsidRDefault="00766DAD" w:rsidP="00766DAD">
      <w:pPr>
        <w:jc w:val="both"/>
        <w:rPr>
          <w:rFonts w:cs="Arial"/>
        </w:rPr>
      </w:pPr>
      <w:r w:rsidRPr="002A4A75">
        <w:rPr>
          <w:rFonts w:cs="Arial"/>
        </w:rPr>
        <w:t>Manufacturing: $.25 per $1,000 of gross receipts</w:t>
      </w:r>
    </w:p>
    <w:p w:rsidR="00766DAD" w:rsidRPr="002A4A75" w:rsidRDefault="00766DAD" w:rsidP="00766DAD">
      <w:pPr>
        <w:jc w:val="both"/>
        <w:rPr>
          <w:rFonts w:cs="Arial"/>
        </w:rPr>
      </w:pPr>
      <w:r w:rsidRPr="002A4A75">
        <w:rPr>
          <w:rFonts w:cs="Arial"/>
        </w:rPr>
        <w:t>Administrative Headquarters: $.25 per $1,000 of gross receipts</w:t>
      </w:r>
    </w:p>
    <w:p w:rsidR="00766DAD" w:rsidRPr="002A4A75" w:rsidRDefault="00766DAD" w:rsidP="00766DAD">
      <w:pPr>
        <w:jc w:val="both"/>
        <w:rPr>
          <w:rFonts w:cs="Arial"/>
        </w:rPr>
      </w:pPr>
      <w:r w:rsidRPr="002A4A75">
        <w:rPr>
          <w:rFonts w:cs="Arial"/>
        </w:rPr>
        <w:t>Transportation of persons and goods: $50 for first employee; $5 per next 19; $2 per next 80, etc.</w:t>
      </w:r>
    </w:p>
    <w:p w:rsidR="00766DAD" w:rsidRPr="002A4A75" w:rsidRDefault="00766DAD" w:rsidP="00766DAD">
      <w:pPr>
        <w:jc w:val="both"/>
        <w:rPr>
          <w:rFonts w:cs="Arial"/>
        </w:rPr>
      </w:pPr>
      <w:r w:rsidRPr="002A4A75">
        <w:rPr>
          <w:rFonts w:cs="Arial"/>
        </w:rPr>
        <w:t xml:space="preserve">Rental of Residential Property: </w:t>
      </w:r>
    </w:p>
    <w:p w:rsidR="00766DAD" w:rsidRPr="002A4A75" w:rsidRDefault="00766DAD" w:rsidP="00766DAD">
      <w:pPr>
        <w:jc w:val="both"/>
        <w:rPr>
          <w:rFonts w:cs="Arial"/>
        </w:rPr>
      </w:pPr>
    </w:p>
    <w:p w:rsidR="00766DAD" w:rsidRPr="002A4A75" w:rsidRDefault="00766DAD" w:rsidP="00766DAD">
      <w:pPr>
        <w:jc w:val="both"/>
        <w:rPr>
          <w:rFonts w:cs="Arial"/>
        </w:rPr>
      </w:pPr>
      <w:r w:rsidRPr="002A4A75">
        <w:rPr>
          <w:rFonts w:cs="Arial"/>
        </w:rPr>
        <w:t>Collection of this tax is typically handled through the Tax Treasurers office and the license is typically posted at the place of business.  This is an annual tax the County may charge</w:t>
      </w:r>
      <w:r w:rsidR="00787368">
        <w:rPr>
          <w:rFonts w:cs="Arial"/>
        </w:rPr>
        <w:t>.</w:t>
      </w:r>
    </w:p>
    <w:p w:rsidR="00766DAD" w:rsidRPr="002A4A75" w:rsidRDefault="00766DAD" w:rsidP="00766DAD">
      <w:pPr>
        <w:jc w:val="both"/>
        <w:rPr>
          <w:rFonts w:cs="Arial"/>
        </w:rPr>
      </w:pPr>
    </w:p>
    <w:p w:rsidR="00766DAD" w:rsidRDefault="00766DAD" w:rsidP="00766DAD">
      <w:pPr>
        <w:jc w:val="both"/>
        <w:rPr>
          <w:rFonts w:cs="Arial"/>
        </w:rPr>
      </w:pPr>
      <w:r w:rsidRPr="002A4A75">
        <w:rPr>
          <w:rFonts w:cs="Arial"/>
        </w:rPr>
        <w:t xml:space="preserve">The City of Napa projects $2.7 Million in </w:t>
      </w:r>
      <w:r>
        <w:rPr>
          <w:rFonts w:cs="Arial"/>
        </w:rPr>
        <w:t>business license fees, which is discretionary revenue,</w:t>
      </w:r>
      <w:r w:rsidRPr="002A4A75">
        <w:rPr>
          <w:rFonts w:cs="Arial"/>
        </w:rPr>
        <w:t xml:space="preserve"> for fiscal year 2012-13</w:t>
      </w:r>
      <w:r w:rsidRPr="00AD0D14">
        <w:rPr>
          <w:rFonts w:cs="Arial"/>
        </w:rPr>
        <w:t>.</w:t>
      </w:r>
      <w:r w:rsidRPr="002A4A75">
        <w:rPr>
          <w:rFonts w:cs="Arial"/>
        </w:rPr>
        <w:t xml:space="preserve">  </w:t>
      </w:r>
    </w:p>
    <w:p w:rsidR="00766DAD" w:rsidRDefault="00766DAD" w:rsidP="00766DAD">
      <w:pPr>
        <w:rPr>
          <w:rFonts w:cs="Arial"/>
          <w:b/>
        </w:rPr>
      </w:pPr>
    </w:p>
    <w:p w:rsidR="00766DAD" w:rsidRPr="00316E15" w:rsidRDefault="00766DAD" w:rsidP="00766DAD">
      <w:pPr>
        <w:rPr>
          <w:rFonts w:cs="Arial"/>
        </w:rPr>
      </w:pPr>
      <w:r w:rsidRPr="002A4A75">
        <w:rPr>
          <w:rFonts w:cs="Arial"/>
          <w:b/>
        </w:rPr>
        <w:t>ESTIMATED</w:t>
      </w:r>
      <w:r>
        <w:rPr>
          <w:rFonts w:cs="Arial"/>
          <w:b/>
        </w:rPr>
        <w:t xml:space="preserve"> REVENUE GENERATED PER YEAR:  </w:t>
      </w:r>
      <w:r w:rsidRPr="00316E15">
        <w:rPr>
          <w:rFonts w:cs="Arial"/>
        </w:rPr>
        <w:t>Amount unknown, further analysis is necessary.</w:t>
      </w:r>
    </w:p>
    <w:p w:rsidR="00766DAD" w:rsidRDefault="00766DAD" w:rsidP="00766DAD">
      <w:pPr>
        <w:jc w:val="center"/>
        <w:rPr>
          <w:rFonts w:cs="Arial"/>
          <w:b/>
          <w:sz w:val="28"/>
          <w:szCs w:val="28"/>
        </w:rPr>
      </w:pPr>
    </w:p>
    <w:p w:rsidR="00766DAD" w:rsidRDefault="00766DAD" w:rsidP="00766DAD">
      <w:pPr>
        <w:jc w:val="center"/>
        <w:rPr>
          <w:b/>
          <w:sz w:val="28"/>
          <w:szCs w:val="28"/>
        </w:rPr>
      </w:pPr>
      <w:r w:rsidRPr="002A4A75">
        <w:br w:type="page"/>
      </w:r>
      <w:r w:rsidRPr="0038640C">
        <w:rPr>
          <w:b/>
          <w:sz w:val="28"/>
          <w:szCs w:val="28"/>
        </w:rPr>
        <w:t>TRANSIENT OCCUPANCY TAX</w:t>
      </w:r>
    </w:p>
    <w:p w:rsidR="001769D3" w:rsidRPr="0038640C" w:rsidRDefault="001769D3" w:rsidP="00766DAD">
      <w:pPr>
        <w:jc w:val="center"/>
        <w:rPr>
          <w:b/>
          <w:sz w:val="28"/>
          <w:szCs w:val="28"/>
        </w:rPr>
      </w:pPr>
    </w:p>
    <w:p w:rsidR="00766DAD" w:rsidRPr="00754918" w:rsidRDefault="00766DAD" w:rsidP="00754918">
      <w:pPr>
        <w:rPr>
          <w:b/>
        </w:rPr>
      </w:pPr>
      <w:bookmarkStart w:id="89" w:name="_Toc349894382"/>
      <w:r w:rsidRPr="00754918">
        <w:rPr>
          <w:b/>
        </w:rPr>
        <w:t>DESCRIPTION:</w:t>
      </w:r>
      <w:bookmarkEnd w:id="89"/>
      <w:r w:rsidRPr="00754918">
        <w:rPr>
          <w:b/>
        </w:rPr>
        <w:t xml:space="preserve"> </w:t>
      </w:r>
    </w:p>
    <w:p w:rsidR="00766DAD" w:rsidRPr="00787368" w:rsidRDefault="00766DAD" w:rsidP="00766DAD">
      <w:pPr>
        <w:pStyle w:val="NormalWeb"/>
      </w:pPr>
      <w:r w:rsidRPr="00787368">
        <w:t>The Transient Occupancy Tax (TOT) (hotel, motel or "bed" tax) is authorized under State Revenue and Taxation Code section 7280, as an additional source of non-property tax revenue to local government. This tax is levied for the privilege of occupying a room or rooms or other living space in a hotel, motel, inn, tourist home or house, or other lodging for a period of 30 days or less.  The imposed tax rate for accommodations at lodging facilities in the unincorporated area of Napa County is 12%.</w:t>
      </w:r>
    </w:p>
    <w:p w:rsidR="00766DAD" w:rsidRPr="00787368" w:rsidRDefault="00766DAD" w:rsidP="00766DAD">
      <w:pPr>
        <w:pStyle w:val="NormalWeb"/>
      </w:pPr>
      <w:r w:rsidRPr="00787368">
        <w:t>The County ordinance requires operators to register their facility with the tax administrator annually and to have the "Certificate of Authority" to collect Transient Occupancy Tax posted in a conspicuous place on the premises at all times. A use permit must be obtained by the Planning, Building and Environmental Services department before the tax administrator can grant the "Certificate of Authority" to collect transient occupancy tax.</w:t>
      </w:r>
    </w:p>
    <w:p w:rsidR="00766DAD" w:rsidRPr="00787368" w:rsidRDefault="00766DAD" w:rsidP="00766DAD">
      <w:pPr>
        <w:pStyle w:val="NormalWeb"/>
      </w:pPr>
      <w:r w:rsidRPr="00787368">
        <w:t>Transient Occupancy Tax is calculated from gross rents collected. At this time, TOT is submitted to the County Treasurer-Tax Collector on a calendar quarter basis.  Due to zoning regulations, there currently are very few opportunities for new hotels or bed &amp; breakfast establishments in the unincorporated area of the county. </w:t>
      </w:r>
    </w:p>
    <w:p w:rsidR="00766DAD" w:rsidRPr="0076218C" w:rsidRDefault="00766DAD" w:rsidP="00766DAD">
      <w:pPr>
        <w:jc w:val="both"/>
      </w:pPr>
      <w:r w:rsidRPr="0076218C">
        <w:rPr>
          <w:b/>
        </w:rPr>
        <w:t>PROCESS:</w:t>
      </w:r>
      <w:r w:rsidRPr="0076218C">
        <w:t xml:space="preserve">  In order to increase this revenue source and earmark 1% for Affordable Housing, the Board</w:t>
      </w:r>
      <w:r>
        <w:t xml:space="preserve"> </w:t>
      </w:r>
      <w:r w:rsidRPr="0076218C">
        <w:t xml:space="preserve">would need to amend its ordinance to approve a specific assignment (an earmark) of funds which are generally discretionary.   </w:t>
      </w:r>
      <w:r>
        <w:t>Each jurisdiction would need to take necessary steps to gain approval by their governing bodies.  (Regarding Napa County policy on earmarks, s</w:t>
      </w:r>
      <w:r w:rsidRPr="0076218C">
        <w:t>ee section on discretionary revenues</w:t>
      </w:r>
      <w:r>
        <w:t>)</w:t>
      </w:r>
      <w:r w:rsidRPr="0076218C">
        <w:t xml:space="preserve">.  </w:t>
      </w:r>
    </w:p>
    <w:p w:rsidR="00766DAD" w:rsidRPr="0059219E" w:rsidRDefault="00766DAD" w:rsidP="00766DAD">
      <w:pPr>
        <w:jc w:val="both"/>
        <w:rPr>
          <w:b/>
          <w:sz w:val="16"/>
          <w:szCs w:val="16"/>
        </w:rPr>
      </w:pPr>
    </w:p>
    <w:p w:rsidR="00766DAD" w:rsidRPr="0076218C" w:rsidRDefault="00766DAD" w:rsidP="00766DAD">
      <w:pPr>
        <w:jc w:val="both"/>
      </w:pPr>
      <w:r w:rsidRPr="0076218C">
        <w:rPr>
          <w:b/>
        </w:rPr>
        <w:t xml:space="preserve">STAFF ANALYSIS AND RECOMMENDATION:  </w:t>
      </w:r>
      <w:r w:rsidRPr="0074740B">
        <w:t xml:space="preserve">The </w:t>
      </w:r>
      <w:r>
        <w:t xml:space="preserve">Napa County </w:t>
      </w:r>
      <w:r w:rsidRPr="0076218C">
        <w:t xml:space="preserve">Board may </w:t>
      </w:r>
      <w:r>
        <w:t xml:space="preserve">authorize appropriations from </w:t>
      </w:r>
      <w:r w:rsidRPr="0076218C">
        <w:t>TOT revenues for affordable housing.  Government code sections §§29120-29122, establishes the Board’s obligations regarding establishing the annual budget.</w:t>
      </w:r>
      <w:r w:rsidRPr="0076218C">
        <w:rPr>
          <w:b/>
        </w:rPr>
        <w:t xml:space="preserve">  </w:t>
      </w:r>
      <w:r w:rsidRPr="0076218C">
        <w:t xml:space="preserve">If the Board </w:t>
      </w:r>
      <w:r>
        <w:t>appropriates these</w:t>
      </w:r>
      <w:r w:rsidRPr="0076218C">
        <w:t xml:space="preserve"> revenues for affordable housing, a two thirds majority vote is needed. </w:t>
      </w:r>
    </w:p>
    <w:p w:rsidR="00766DAD" w:rsidRPr="0046529D" w:rsidRDefault="00766DAD" w:rsidP="00766DAD">
      <w:pPr>
        <w:jc w:val="both"/>
        <w:rPr>
          <w:b/>
          <w:sz w:val="16"/>
          <w:szCs w:val="16"/>
        </w:rPr>
      </w:pPr>
    </w:p>
    <w:p w:rsidR="00766DAD" w:rsidRPr="0076218C" w:rsidRDefault="00766DAD" w:rsidP="00766DAD">
      <w:pPr>
        <w:jc w:val="both"/>
        <w:rPr>
          <w:i/>
        </w:rPr>
      </w:pPr>
      <w:r>
        <w:rPr>
          <w:i/>
        </w:rPr>
        <w:tab/>
      </w:r>
      <w:r w:rsidRPr="0076218C">
        <w:rPr>
          <w:i/>
        </w:rPr>
        <w:t xml:space="preserve">The board of Supervisors of a general law county must adopt a fiscal year budget, </w:t>
      </w:r>
      <w:r>
        <w:rPr>
          <w:i/>
        </w:rPr>
        <w:tab/>
      </w:r>
      <w:r w:rsidRPr="0076218C">
        <w:rPr>
          <w:i/>
        </w:rPr>
        <w:t xml:space="preserve">containing its estimates of annual revenue and establishing appropriations covering the </w:t>
      </w:r>
      <w:r>
        <w:rPr>
          <w:i/>
        </w:rPr>
        <w:tab/>
      </w:r>
      <w:r w:rsidRPr="0076218C">
        <w:rPr>
          <w:i/>
        </w:rPr>
        <w:t xml:space="preserve">year’s proposed expenditures.  Cal. Gov’t Code §§ 29092.  The board established the </w:t>
      </w:r>
      <w:r>
        <w:rPr>
          <w:i/>
        </w:rPr>
        <w:tab/>
      </w:r>
      <w:r w:rsidRPr="0076218C">
        <w:rPr>
          <w:i/>
        </w:rPr>
        <w:t xml:space="preserve">amounts to be raised through property taxation by subtracting from the budget’s total </w:t>
      </w:r>
      <w:r>
        <w:rPr>
          <w:i/>
        </w:rPr>
        <w:tab/>
      </w:r>
      <w:r w:rsidRPr="0076218C">
        <w:rPr>
          <w:i/>
        </w:rPr>
        <w:t xml:space="preserve">appropriations the combined sum of available fund balances plus estimated revenues </w:t>
      </w:r>
      <w:r>
        <w:rPr>
          <w:i/>
        </w:rPr>
        <w:tab/>
      </w:r>
      <w:r w:rsidRPr="0076218C">
        <w:rPr>
          <w:i/>
        </w:rPr>
        <w:t xml:space="preserve">from other sources.  Cal. Gov’t Code § 29100.  The annual budget constitutes a set of </w:t>
      </w:r>
      <w:r>
        <w:rPr>
          <w:i/>
        </w:rPr>
        <w:tab/>
      </w:r>
      <w:r w:rsidRPr="0076218C">
        <w:rPr>
          <w:i/>
        </w:rPr>
        <w:t xml:space="preserve">appropriations to finance the various activities of the county.  Cal Gov’t Code § 29092, </w:t>
      </w:r>
      <w:r>
        <w:rPr>
          <w:i/>
        </w:rPr>
        <w:tab/>
      </w:r>
      <w:r w:rsidRPr="0076218C">
        <w:rPr>
          <w:i/>
        </w:rPr>
        <w:t xml:space="preserve">Cal. Gov’t Code § 29011.  Except for narrowly limited, statutory contingencies, the </w:t>
      </w:r>
      <w:r>
        <w:rPr>
          <w:i/>
        </w:rPr>
        <w:tab/>
      </w:r>
      <w:r w:rsidRPr="0076218C">
        <w:rPr>
          <w:i/>
        </w:rPr>
        <w:t xml:space="preserve">county may not make expenditures or incur liability exceeding the amounts appropriated </w:t>
      </w:r>
      <w:r>
        <w:rPr>
          <w:i/>
        </w:rPr>
        <w:tab/>
      </w:r>
      <w:r w:rsidRPr="0076218C">
        <w:rPr>
          <w:i/>
        </w:rPr>
        <w:t xml:space="preserve">in the annual budget.  Cal Gov’t Code §§ 29120-29122.  (McCafferty v. Board of </w:t>
      </w:r>
      <w:r>
        <w:rPr>
          <w:i/>
        </w:rPr>
        <w:tab/>
      </w:r>
      <w:r w:rsidRPr="0076218C">
        <w:rPr>
          <w:i/>
        </w:rPr>
        <w:t>Supervisors, 1969, 3 Cal.App.3d 190.)</w:t>
      </w:r>
    </w:p>
    <w:p w:rsidR="00766DAD" w:rsidRPr="0046529D" w:rsidRDefault="00766DAD" w:rsidP="00766DAD">
      <w:pPr>
        <w:jc w:val="both"/>
        <w:rPr>
          <w:b/>
          <w:sz w:val="16"/>
          <w:szCs w:val="16"/>
        </w:rPr>
      </w:pPr>
    </w:p>
    <w:p w:rsidR="0059219E" w:rsidRDefault="00766DAD" w:rsidP="00766DAD">
      <w:pPr>
        <w:jc w:val="both"/>
        <w:rPr>
          <w:b/>
        </w:rPr>
      </w:pPr>
      <w:r w:rsidRPr="0059219E">
        <w:rPr>
          <w:b/>
          <w:sz w:val="22"/>
          <w:szCs w:val="22"/>
        </w:rPr>
        <w:t>NAPA COUNTY:</w:t>
      </w:r>
      <w:r w:rsidRPr="0059219E">
        <w:rPr>
          <w:sz w:val="22"/>
          <w:szCs w:val="22"/>
        </w:rPr>
        <w:t xml:space="preserve"> Transient Occupancy Tax is a tax on hotels in Napa County, currently set at 12% of gross receipts, with an additional Tourism Improvement assessment of 2% applied to gross receipts. </w:t>
      </w:r>
    </w:p>
    <w:p w:rsidR="0059219E" w:rsidRPr="0059219E" w:rsidRDefault="00766DAD" w:rsidP="00766DAD">
      <w:pPr>
        <w:jc w:val="both"/>
        <w:rPr>
          <w:b/>
        </w:rPr>
      </w:pPr>
      <w:r w:rsidRPr="0059219E">
        <w:rPr>
          <w:b/>
        </w:rPr>
        <w:t xml:space="preserve"> </w:t>
      </w:r>
    </w:p>
    <w:p w:rsidR="00766DAD" w:rsidRPr="003F0C6D" w:rsidRDefault="00766DAD" w:rsidP="00766DAD">
      <w:pPr>
        <w:rPr>
          <w:b/>
        </w:rPr>
      </w:pPr>
      <w:r w:rsidRPr="0076218C">
        <w:rPr>
          <w:b/>
        </w:rPr>
        <w:t>ESTIMATED REVENUE GENERATED PER YEAR: $1,000,000 (for 1%)</w:t>
      </w:r>
      <w:r w:rsidRPr="003F0C6D">
        <w:rPr>
          <w:b/>
        </w:rPr>
        <w:br w:type="page"/>
      </w:r>
    </w:p>
    <w:p w:rsidR="00766DAD" w:rsidRPr="002A4A75" w:rsidRDefault="00766DAD" w:rsidP="00766DAD">
      <w:pPr>
        <w:jc w:val="center"/>
        <w:rPr>
          <w:rFonts w:cs="Arial"/>
          <w:b/>
          <w:sz w:val="28"/>
          <w:szCs w:val="28"/>
        </w:rPr>
      </w:pPr>
      <w:r w:rsidRPr="002A4A75">
        <w:rPr>
          <w:rFonts w:cs="Arial"/>
          <w:b/>
          <w:sz w:val="28"/>
          <w:szCs w:val="28"/>
        </w:rPr>
        <w:t>REAL ESTATE TRANSFER TAX</w:t>
      </w:r>
    </w:p>
    <w:p w:rsidR="00766DAD" w:rsidRPr="002A4A75" w:rsidRDefault="00766DAD" w:rsidP="00766DAD">
      <w:pPr>
        <w:jc w:val="both"/>
        <w:rPr>
          <w:rFonts w:cs="Arial"/>
          <w:b/>
        </w:rPr>
      </w:pPr>
    </w:p>
    <w:p w:rsidR="00766DAD" w:rsidRPr="002A4A75" w:rsidRDefault="00766DAD" w:rsidP="00766DAD">
      <w:pPr>
        <w:jc w:val="both"/>
        <w:rPr>
          <w:rFonts w:cs="Arial"/>
          <w:b/>
        </w:rPr>
      </w:pPr>
    </w:p>
    <w:p w:rsidR="00766DAD" w:rsidRPr="002A4A75" w:rsidRDefault="00766DAD" w:rsidP="00766DAD">
      <w:pPr>
        <w:jc w:val="both"/>
        <w:rPr>
          <w:rFonts w:cs="Arial"/>
        </w:rPr>
      </w:pPr>
      <w:r w:rsidRPr="002A4A75">
        <w:rPr>
          <w:rFonts w:cs="Arial"/>
          <w:b/>
        </w:rPr>
        <w:t>DESCRIPTION:</w:t>
      </w:r>
      <w:r w:rsidRPr="002A4A75">
        <w:rPr>
          <w:rFonts w:cs="Arial"/>
        </w:rPr>
        <w:t xml:space="preserve"> The State of California permits Counties, Cities and Towns to charge a transaction fee, known as a real estate transfer tax, on the passing of title to property from one person (or entity) to another.  Each jurisdiction is permitted to charge up to $1.10 per $1,000.  Cities located within the County receive half of the amount generated within their boundaries, transferred to each jurisdiction by the County Recorder’s Office.  A charter city may charge any amount they wish, forfeiting their half to the County (in the amount of $.55 per $1,000).</w:t>
      </w:r>
    </w:p>
    <w:p w:rsidR="00766DAD" w:rsidRPr="002A4A75" w:rsidRDefault="00766DAD" w:rsidP="00766DAD">
      <w:pPr>
        <w:jc w:val="both"/>
        <w:rPr>
          <w:rFonts w:cs="Arial"/>
        </w:rPr>
      </w:pPr>
    </w:p>
    <w:p w:rsidR="00766DAD" w:rsidRPr="002A4A75" w:rsidRDefault="00766DAD" w:rsidP="00766DAD">
      <w:pPr>
        <w:jc w:val="both"/>
        <w:rPr>
          <w:rFonts w:cs="Arial"/>
        </w:rPr>
      </w:pPr>
      <w:r w:rsidRPr="002A4A75">
        <w:rPr>
          <w:rFonts w:cs="Arial"/>
          <w:b/>
        </w:rPr>
        <w:t>PROCESS:</w:t>
      </w:r>
      <w:r w:rsidRPr="002A4A75">
        <w:rPr>
          <w:rFonts w:cs="Arial"/>
        </w:rPr>
        <w:t xml:space="preserve">  In order to implement a </w:t>
      </w:r>
      <w:r>
        <w:rPr>
          <w:rFonts w:cs="Arial"/>
        </w:rPr>
        <w:t xml:space="preserve">real estate </w:t>
      </w:r>
      <w:r w:rsidRPr="002A4A75">
        <w:rPr>
          <w:rFonts w:cs="Arial"/>
        </w:rPr>
        <w:t xml:space="preserve">transfer tax increase, the City of Napa would need to place this item on </w:t>
      </w:r>
      <w:r w:rsidRPr="00BC4BB4">
        <w:rPr>
          <w:rFonts w:cs="Arial"/>
        </w:rPr>
        <w:t>the ballot before the voters and gain two-thirds approval.</w:t>
      </w:r>
    </w:p>
    <w:p w:rsidR="00766DAD" w:rsidRPr="002A4A75" w:rsidRDefault="00766DAD" w:rsidP="00766DAD">
      <w:pPr>
        <w:jc w:val="both"/>
        <w:rPr>
          <w:rFonts w:cs="Arial"/>
        </w:rPr>
      </w:pPr>
    </w:p>
    <w:p w:rsidR="00766DAD" w:rsidRPr="002A4A75" w:rsidRDefault="00766DAD" w:rsidP="00766DAD">
      <w:pPr>
        <w:jc w:val="both"/>
        <w:rPr>
          <w:rFonts w:cs="Arial"/>
        </w:rPr>
      </w:pPr>
      <w:r w:rsidRPr="002A4A75">
        <w:rPr>
          <w:rFonts w:cs="Arial"/>
        </w:rPr>
        <w:t xml:space="preserve">Additionally, legislative action could increase the maximum rate to generate additional revenue, however this is a discretionary revenue source, typically reserved for the general fund and not earmarked for specific program funding. </w:t>
      </w:r>
    </w:p>
    <w:p w:rsidR="00766DAD" w:rsidRPr="002A4A75" w:rsidRDefault="00766DAD" w:rsidP="00766DAD">
      <w:pPr>
        <w:jc w:val="both"/>
        <w:rPr>
          <w:rFonts w:cs="Arial"/>
        </w:rPr>
      </w:pPr>
    </w:p>
    <w:p w:rsidR="00766DAD" w:rsidRPr="002A4A75" w:rsidRDefault="00766DAD" w:rsidP="00766DAD">
      <w:pPr>
        <w:jc w:val="both"/>
        <w:rPr>
          <w:rFonts w:cs="Arial"/>
          <w:b/>
        </w:rPr>
      </w:pPr>
      <w:r w:rsidRPr="002A4A75">
        <w:rPr>
          <w:rFonts w:cs="Arial"/>
          <w:b/>
        </w:rPr>
        <w:t>STAFF ANALYSIS AND RECOMMENDATION:</w:t>
      </w:r>
    </w:p>
    <w:p w:rsidR="00766DAD" w:rsidRPr="002A4A75" w:rsidRDefault="00766DAD" w:rsidP="00766DAD">
      <w:pPr>
        <w:jc w:val="both"/>
        <w:rPr>
          <w:rFonts w:cs="Arial"/>
        </w:rPr>
      </w:pPr>
      <w:r w:rsidRPr="002A4A75">
        <w:rPr>
          <w:rFonts w:cs="Arial"/>
        </w:rPr>
        <w:t xml:space="preserve">Napa County already charges the full amount permitted by law, at $1.10.  The City of Napa is a charter city, and is permitted to increase </w:t>
      </w:r>
      <w:r>
        <w:rPr>
          <w:rFonts w:cs="Arial"/>
        </w:rPr>
        <w:t>the City</w:t>
      </w:r>
      <w:r w:rsidRPr="002A4A75">
        <w:rPr>
          <w:rFonts w:cs="Arial"/>
        </w:rPr>
        <w:t xml:space="preserve"> transfer tax amount.  In doing so, their share of revenues generated within city limits (half of $1.10) would remain with the County and the City would receive any revenue in excess of this amount.</w:t>
      </w:r>
    </w:p>
    <w:p w:rsidR="00766DAD" w:rsidRPr="002A4A75" w:rsidRDefault="00766DAD" w:rsidP="00766DAD">
      <w:pPr>
        <w:jc w:val="both"/>
        <w:rPr>
          <w:rFonts w:cs="Arial"/>
        </w:rPr>
      </w:pPr>
    </w:p>
    <w:p w:rsidR="00766DAD" w:rsidRPr="002A4A75" w:rsidRDefault="00766DAD" w:rsidP="00766DAD">
      <w:pPr>
        <w:jc w:val="both"/>
        <w:rPr>
          <w:rFonts w:cs="Arial"/>
        </w:rPr>
      </w:pPr>
      <w:r w:rsidRPr="002A4A75">
        <w:rPr>
          <w:rFonts w:cs="Arial"/>
        </w:rPr>
        <w:t xml:space="preserve">If the City of Napa chose to increase its transfer tax, resulting in the County retaining their portion of this revenue, County staff would recommend this revenue source remain untouched as it is discretionary revenue.  See section on discretionary revenues.    </w:t>
      </w:r>
    </w:p>
    <w:p w:rsidR="00766DAD" w:rsidRPr="002A4A75" w:rsidRDefault="00766DAD" w:rsidP="00766DAD">
      <w:pPr>
        <w:rPr>
          <w:rFonts w:cs="Arial"/>
        </w:rPr>
      </w:pPr>
    </w:p>
    <w:p w:rsidR="00766DAD" w:rsidRDefault="00766DAD" w:rsidP="0059219E">
      <w:pPr>
        <w:rPr>
          <w:rFonts w:cs="Arial"/>
          <w:b/>
        </w:rPr>
      </w:pPr>
      <w:r w:rsidRPr="002A4A75">
        <w:rPr>
          <w:rFonts w:cs="Arial"/>
          <w:b/>
        </w:rPr>
        <w:t xml:space="preserve">ESTIMATED REVENUE GENERATED PER YEAR: $ </w:t>
      </w:r>
      <w:r w:rsidRPr="00316E15">
        <w:rPr>
          <w:rFonts w:cs="Arial"/>
        </w:rPr>
        <w:t>Amount unknown, further analysis is necessary</w:t>
      </w:r>
    </w:p>
    <w:p w:rsidR="00766DAD" w:rsidRDefault="00766DAD" w:rsidP="00766DAD">
      <w:pPr>
        <w:jc w:val="center"/>
        <w:rPr>
          <w:rFonts w:cs="Arial"/>
          <w:b/>
        </w:rPr>
      </w:pPr>
    </w:p>
    <w:p w:rsidR="00766DAD" w:rsidRDefault="00766DAD" w:rsidP="00766DAD">
      <w:pPr>
        <w:jc w:val="center"/>
        <w:rPr>
          <w:rFonts w:cs="Arial"/>
          <w:b/>
        </w:rPr>
      </w:pPr>
    </w:p>
    <w:p w:rsidR="00766DAD" w:rsidRDefault="00766DAD" w:rsidP="00766DAD">
      <w:pPr>
        <w:jc w:val="center"/>
        <w:rPr>
          <w:rFonts w:cs="Arial"/>
          <w:b/>
        </w:rPr>
      </w:pPr>
    </w:p>
    <w:p w:rsidR="00766DAD" w:rsidRDefault="00766DAD" w:rsidP="00766DAD">
      <w:pPr>
        <w:jc w:val="center"/>
        <w:rPr>
          <w:rFonts w:cs="Arial"/>
          <w:b/>
        </w:rPr>
      </w:pPr>
    </w:p>
    <w:p w:rsidR="00766DAD" w:rsidRDefault="00766DAD" w:rsidP="00766DAD">
      <w:pPr>
        <w:jc w:val="center"/>
        <w:rPr>
          <w:rFonts w:cs="Arial"/>
          <w:b/>
        </w:rPr>
      </w:pPr>
    </w:p>
    <w:p w:rsidR="00766DAD" w:rsidRDefault="00766DAD" w:rsidP="00766DAD">
      <w:pPr>
        <w:jc w:val="center"/>
        <w:rPr>
          <w:rFonts w:cs="Arial"/>
          <w:b/>
        </w:rPr>
      </w:pPr>
    </w:p>
    <w:p w:rsidR="00766DAD" w:rsidRDefault="00766DAD" w:rsidP="00766DAD">
      <w:pPr>
        <w:jc w:val="center"/>
        <w:rPr>
          <w:rFonts w:cs="Arial"/>
          <w:b/>
        </w:rPr>
      </w:pPr>
    </w:p>
    <w:p w:rsidR="00766DAD" w:rsidRDefault="00766DAD" w:rsidP="00766DAD">
      <w:pPr>
        <w:jc w:val="center"/>
        <w:rPr>
          <w:rFonts w:cs="Arial"/>
          <w:b/>
        </w:rPr>
      </w:pPr>
    </w:p>
    <w:p w:rsidR="00766DAD" w:rsidRDefault="00766DAD" w:rsidP="00766DAD">
      <w:pPr>
        <w:jc w:val="center"/>
        <w:rPr>
          <w:rFonts w:cs="Arial"/>
          <w:b/>
        </w:rPr>
      </w:pPr>
    </w:p>
    <w:p w:rsidR="00766DAD" w:rsidRDefault="00766DAD" w:rsidP="00766DAD">
      <w:pPr>
        <w:jc w:val="center"/>
        <w:rPr>
          <w:rFonts w:cs="Arial"/>
          <w:b/>
        </w:rPr>
      </w:pPr>
    </w:p>
    <w:p w:rsidR="00766DAD" w:rsidRDefault="00766DAD" w:rsidP="00766DAD">
      <w:pPr>
        <w:jc w:val="center"/>
        <w:rPr>
          <w:rFonts w:cs="Arial"/>
          <w:b/>
        </w:rPr>
      </w:pPr>
    </w:p>
    <w:p w:rsidR="00766DAD" w:rsidRDefault="00766DAD" w:rsidP="00766DAD">
      <w:pPr>
        <w:jc w:val="center"/>
        <w:rPr>
          <w:rFonts w:cs="Arial"/>
          <w:b/>
        </w:rPr>
      </w:pPr>
    </w:p>
    <w:p w:rsidR="00766DAD" w:rsidRDefault="00766DAD" w:rsidP="00766DAD">
      <w:pPr>
        <w:jc w:val="center"/>
        <w:rPr>
          <w:rFonts w:cs="Arial"/>
          <w:b/>
        </w:rPr>
      </w:pPr>
    </w:p>
    <w:p w:rsidR="00766DAD" w:rsidRDefault="00766DAD" w:rsidP="00766DAD">
      <w:pPr>
        <w:jc w:val="center"/>
        <w:rPr>
          <w:rFonts w:cs="Arial"/>
          <w:b/>
        </w:rPr>
      </w:pPr>
    </w:p>
    <w:p w:rsidR="00766DAD" w:rsidRDefault="00766DAD" w:rsidP="00766DAD">
      <w:pPr>
        <w:jc w:val="center"/>
        <w:rPr>
          <w:rFonts w:cs="Arial"/>
          <w:b/>
        </w:rPr>
      </w:pPr>
    </w:p>
    <w:p w:rsidR="00766DAD" w:rsidRDefault="00766DAD" w:rsidP="00766DAD">
      <w:pPr>
        <w:jc w:val="center"/>
        <w:rPr>
          <w:b/>
          <w:sz w:val="28"/>
          <w:szCs w:val="28"/>
        </w:rPr>
      </w:pPr>
    </w:p>
    <w:p w:rsidR="0059219E" w:rsidRDefault="0059219E" w:rsidP="00766DAD">
      <w:pPr>
        <w:jc w:val="center"/>
        <w:rPr>
          <w:b/>
          <w:sz w:val="28"/>
          <w:szCs w:val="28"/>
        </w:rPr>
      </w:pPr>
    </w:p>
    <w:p w:rsidR="0059219E" w:rsidRDefault="0059219E" w:rsidP="00766DAD">
      <w:pPr>
        <w:jc w:val="center"/>
        <w:rPr>
          <w:b/>
          <w:sz w:val="28"/>
          <w:szCs w:val="28"/>
        </w:rPr>
      </w:pPr>
    </w:p>
    <w:p w:rsidR="0059219E" w:rsidRDefault="0059219E" w:rsidP="00766DAD">
      <w:pPr>
        <w:jc w:val="center"/>
        <w:rPr>
          <w:b/>
          <w:sz w:val="28"/>
          <w:szCs w:val="28"/>
        </w:rPr>
      </w:pPr>
    </w:p>
    <w:p w:rsidR="00766DAD" w:rsidRPr="002A4A75" w:rsidRDefault="00766DAD" w:rsidP="00766DAD">
      <w:pPr>
        <w:jc w:val="center"/>
        <w:rPr>
          <w:b/>
          <w:sz w:val="28"/>
          <w:szCs w:val="28"/>
        </w:rPr>
      </w:pPr>
      <w:r w:rsidRPr="002A4A75">
        <w:rPr>
          <w:b/>
          <w:sz w:val="28"/>
          <w:szCs w:val="28"/>
        </w:rPr>
        <w:t>RECORDING FEE</w:t>
      </w:r>
    </w:p>
    <w:p w:rsidR="00766DAD" w:rsidRPr="002A4A75" w:rsidRDefault="00766DAD" w:rsidP="00766DAD">
      <w:pPr>
        <w:jc w:val="both"/>
        <w:rPr>
          <w:b/>
        </w:rPr>
      </w:pPr>
    </w:p>
    <w:p w:rsidR="00766DAD" w:rsidRPr="002A4A75" w:rsidRDefault="00766DAD" w:rsidP="00766DAD">
      <w:pPr>
        <w:jc w:val="both"/>
        <w:rPr>
          <w:b/>
        </w:rPr>
      </w:pPr>
    </w:p>
    <w:p w:rsidR="00766DAD" w:rsidRPr="002A4A75" w:rsidRDefault="00766DAD" w:rsidP="00766DAD">
      <w:pPr>
        <w:jc w:val="both"/>
        <w:rPr>
          <w:rFonts w:cs="Arial"/>
          <w:b/>
        </w:rPr>
      </w:pPr>
      <w:r w:rsidRPr="002A4A75">
        <w:rPr>
          <w:rFonts w:cs="Arial"/>
          <w:b/>
        </w:rPr>
        <w:t xml:space="preserve">DESCRIPTION: </w:t>
      </w:r>
      <w:r w:rsidRPr="002A4A75">
        <w:rPr>
          <w:rFonts w:cs="Arial"/>
        </w:rPr>
        <w:t>Government code section</w:t>
      </w:r>
      <w:r>
        <w:rPr>
          <w:rFonts w:cs="Arial"/>
        </w:rPr>
        <w:t xml:space="preserve">s </w:t>
      </w:r>
      <w:r>
        <w:t>§§</w:t>
      </w:r>
      <w:r>
        <w:rPr>
          <w:rFonts w:cs="Arial"/>
        </w:rPr>
        <w:t>27360-27388 state</w:t>
      </w:r>
      <w:r w:rsidRPr="002A4A75">
        <w:rPr>
          <w:rFonts w:cs="Arial"/>
        </w:rPr>
        <w:t xml:space="preserve"> that a fee may be charged for the recording of all instruments, paper, or notice required to be recorded by law.  The base fee for a recorded document shall not exceed $10 for the first page, $3 for additional pages, with a few additional fees permitted.  The additional fees are already earmarked for Recorder expenses, microfiche, nonconforming documents, etc. with one dollar being earmarked for the general fund.</w:t>
      </w:r>
    </w:p>
    <w:p w:rsidR="00766DAD" w:rsidRPr="002A4A75" w:rsidRDefault="00766DAD" w:rsidP="00766DAD">
      <w:pPr>
        <w:jc w:val="both"/>
        <w:rPr>
          <w:rFonts w:cs="Arial"/>
          <w:b/>
        </w:rPr>
      </w:pPr>
    </w:p>
    <w:p w:rsidR="00766DAD" w:rsidRPr="002A4A75" w:rsidRDefault="00766DAD" w:rsidP="00766DAD">
      <w:pPr>
        <w:jc w:val="both"/>
        <w:rPr>
          <w:rFonts w:cs="Arial"/>
          <w:b/>
        </w:rPr>
      </w:pPr>
      <w:r w:rsidRPr="002A4A75">
        <w:rPr>
          <w:rFonts w:cs="Arial"/>
          <w:b/>
        </w:rPr>
        <w:t xml:space="preserve">PROCESS:  </w:t>
      </w:r>
      <w:r w:rsidRPr="002A4A75">
        <w:rPr>
          <w:rFonts w:cs="Arial"/>
        </w:rPr>
        <w:t>This fee does not appear to permit revenue to be diverted to any source not specified in the code language.  It may be possible to divert the portion transferred to the general fund, although this again would fall under discretionary revenues.</w:t>
      </w:r>
    </w:p>
    <w:p w:rsidR="00766DAD" w:rsidRPr="002A4A75" w:rsidRDefault="00766DAD" w:rsidP="00766DAD">
      <w:pPr>
        <w:jc w:val="both"/>
        <w:rPr>
          <w:rFonts w:cs="Arial"/>
          <w:b/>
        </w:rPr>
      </w:pPr>
    </w:p>
    <w:p w:rsidR="00766DAD" w:rsidRPr="002A4A75" w:rsidRDefault="00766DAD" w:rsidP="00766DAD">
      <w:pPr>
        <w:jc w:val="both"/>
        <w:rPr>
          <w:rFonts w:cs="Arial"/>
          <w:b/>
        </w:rPr>
      </w:pPr>
      <w:r w:rsidRPr="002A4A75">
        <w:rPr>
          <w:rFonts w:cs="Arial"/>
          <w:b/>
        </w:rPr>
        <w:t>STAFF ANALYSIS AND RECOMMENDATION:</w:t>
      </w:r>
    </w:p>
    <w:p w:rsidR="00766DAD" w:rsidRPr="002A4A75" w:rsidRDefault="00766DAD" w:rsidP="00766DAD">
      <w:pPr>
        <w:jc w:val="both"/>
        <w:rPr>
          <w:rFonts w:cs="Arial"/>
        </w:rPr>
      </w:pPr>
    </w:p>
    <w:p w:rsidR="00766DAD" w:rsidRDefault="00766DAD" w:rsidP="00766DAD">
      <w:pPr>
        <w:jc w:val="both"/>
        <w:textAlignment w:val="baseline"/>
        <w:rPr>
          <w:rFonts w:cs="Arial"/>
          <w:color w:val="333333"/>
          <w:bdr w:val="none" w:sz="0" w:space="0" w:color="auto" w:frame="1"/>
        </w:rPr>
      </w:pPr>
      <w:r w:rsidRPr="002A4A75">
        <w:rPr>
          <w:rFonts w:cs="Arial"/>
        </w:rPr>
        <w:t xml:space="preserve">California legislation proposed in 2012, SB 1220 (DeSaulnier), failed in the senate, but would have </w:t>
      </w:r>
      <w:r w:rsidRPr="002A4A75">
        <w:rPr>
          <w:rFonts w:cs="Arial"/>
          <w:color w:val="333333"/>
          <w:bdr w:val="none" w:sz="0" w:space="0" w:color="auto" w:frame="1"/>
        </w:rPr>
        <w:t>imposed a fee of $75 to be paid at the time of the recording of every real estate instrument, paper, or notice required or permitted by law to be recorded. The bill would require that revenues from this fee be sent quarterly to the Department of Housing and Community Development for deposit in the Housing Opportunity and Market Stabilization (</w:t>
      </w:r>
      <w:r w:rsidRPr="0074740B">
        <w:rPr>
          <w:rFonts w:cs="Arial"/>
          <w:color w:val="333333"/>
          <w:bdr w:val="none" w:sz="0" w:space="0" w:color="auto" w:frame="1"/>
        </w:rPr>
        <w:t>HOMeS)</w:t>
      </w:r>
      <w:r w:rsidRPr="002A4A75">
        <w:rPr>
          <w:rFonts w:cs="Arial"/>
          <w:color w:val="333333"/>
          <w:bdr w:val="none" w:sz="0" w:space="0" w:color="auto" w:frame="1"/>
        </w:rPr>
        <w:t xml:space="preserve"> Trust Fund, which the bill would create within the State Treasury. The bill would provide that moneys in the fund may be expended for</w:t>
      </w:r>
      <w:r w:rsidRPr="002A4A75">
        <w:rPr>
          <w:rFonts w:cs="Arial"/>
          <w:color w:val="FF0000"/>
          <w:bdr w:val="none" w:sz="0" w:space="0" w:color="auto" w:frame="1"/>
        </w:rPr>
        <w:t xml:space="preserve"> </w:t>
      </w:r>
      <w:r w:rsidRPr="002A4A75">
        <w:rPr>
          <w:rFonts w:cs="Arial"/>
          <w:color w:val="333333"/>
          <w:bdr w:val="none" w:sz="0" w:space="0" w:color="auto" w:frame="1"/>
        </w:rPr>
        <w:t>supporting affordable housing,</w:t>
      </w:r>
      <w:r w:rsidRPr="002A4A75">
        <w:rPr>
          <w:rFonts w:cs="Arial"/>
          <w:i/>
          <w:iCs/>
          <w:color w:val="0000FF"/>
          <w:bdr w:val="none" w:sz="0" w:space="0" w:color="auto" w:frame="1"/>
        </w:rPr>
        <w:t xml:space="preserve"> </w:t>
      </w:r>
      <w:r w:rsidRPr="002A4A75">
        <w:rPr>
          <w:rFonts w:cs="Arial"/>
          <w:iCs/>
          <w:bdr w:val="none" w:sz="0" w:space="0" w:color="auto" w:frame="1"/>
        </w:rPr>
        <w:t>administering housing programs, and the cost of periodic audits,</w:t>
      </w:r>
      <w:r w:rsidRPr="002A4A75">
        <w:rPr>
          <w:rFonts w:cs="Arial"/>
          <w:color w:val="333333"/>
          <w:bdr w:val="none" w:sz="0" w:space="0" w:color="auto" w:frame="1"/>
        </w:rPr>
        <w:t xml:space="preserve"> as specified. </w:t>
      </w:r>
    </w:p>
    <w:p w:rsidR="00766DAD" w:rsidRDefault="00766DAD" w:rsidP="00766DAD">
      <w:pPr>
        <w:jc w:val="both"/>
        <w:textAlignment w:val="baseline"/>
        <w:rPr>
          <w:rFonts w:cs="Arial"/>
          <w:color w:val="333333"/>
          <w:bdr w:val="none" w:sz="0" w:space="0" w:color="auto" w:frame="1"/>
        </w:rPr>
      </w:pPr>
    </w:p>
    <w:p w:rsidR="00766DAD" w:rsidRPr="002A4A75" w:rsidRDefault="00766DAD" w:rsidP="00766DAD">
      <w:pPr>
        <w:jc w:val="both"/>
        <w:textAlignment w:val="baseline"/>
        <w:rPr>
          <w:rFonts w:cs="Arial"/>
          <w:color w:val="333333"/>
          <w:bdr w:val="none" w:sz="0" w:space="0" w:color="auto" w:frame="1"/>
        </w:rPr>
      </w:pPr>
      <w:r>
        <w:rPr>
          <w:rFonts w:cs="Arial"/>
          <w:color w:val="333333"/>
          <w:bdr w:val="none" w:sz="0" w:space="0" w:color="auto" w:frame="1"/>
        </w:rPr>
        <w:t xml:space="preserve">This bill has been recently reintroduced. </w:t>
      </w:r>
    </w:p>
    <w:p w:rsidR="00766DAD" w:rsidRPr="002A4A75" w:rsidRDefault="00766DAD" w:rsidP="00766DAD">
      <w:pPr>
        <w:jc w:val="both"/>
        <w:rPr>
          <w:rFonts w:cs="Arial"/>
        </w:rPr>
      </w:pPr>
    </w:p>
    <w:p w:rsidR="00766DAD" w:rsidRPr="00AA6468" w:rsidRDefault="00766DAD" w:rsidP="00766DAD">
      <w:pPr>
        <w:jc w:val="both"/>
        <w:rPr>
          <w:rFonts w:cs="Arial"/>
        </w:rPr>
      </w:pPr>
      <w:r w:rsidRPr="002A4A75">
        <w:rPr>
          <w:rFonts w:cs="Arial"/>
        </w:rPr>
        <w:t xml:space="preserve"> </w:t>
      </w:r>
      <w:r w:rsidRPr="002A4A75">
        <w:rPr>
          <w:rFonts w:cs="Arial"/>
          <w:b/>
        </w:rPr>
        <w:t xml:space="preserve">ESTIMATED REVENUE GENERATED PER YEAR: </w:t>
      </w:r>
      <w:r>
        <w:rPr>
          <w:rFonts w:cs="Arial"/>
          <w:b/>
        </w:rPr>
        <w:t xml:space="preserve"> </w:t>
      </w:r>
      <w:r w:rsidRPr="00316E15">
        <w:rPr>
          <w:rFonts w:cs="Arial"/>
        </w:rPr>
        <w:t>Amount unknown, further analysis is necessary</w:t>
      </w:r>
    </w:p>
    <w:p w:rsidR="00766DAD" w:rsidRDefault="00766DAD" w:rsidP="00766DAD">
      <w:pPr>
        <w:jc w:val="center"/>
        <w:rPr>
          <w:rFonts w:cs="Arial"/>
          <w:b/>
        </w:rPr>
      </w:pPr>
    </w:p>
    <w:p w:rsidR="00766DAD" w:rsidRDefault="00766DAD" w:rsidP="00766DAD">
      <w:pPr>
        <w:jc w:val="center"/>
        <w:rPr>
          <w:rFonts w:cs="Arial"/>
          <w:b/>
        </w:rPr>
      </w:pPr>
    </w:p>
    <w:p w:rsidR="00766DAD" w:rsidRDefault="00766DAD" w:rsidP="00766DAD">
      <w:pPr>
        <w:jc w:val="center"/>
        <w:rPr>
          <w:rFonts w:cs="Arial"/>
          <w:b/>
        </w:rPr>
      </w:pPr>
    </w:p>
    <w:p w:rsidR="00766DAD" w:rsidRDefault="00766DAD" w:rsidP="00766DAD">
      <w:pPr>
        <w:jc w:val="center"/>
        <w:rPr>
          <w:rFonts w:cs="Arial"/>
          <w:b/>
        </w:rPr>
      </w:pPr>
    </w:p>
    <w:p w:rsidR="00766DAD" w:rsidRDefault="00766DAD" w:rsidP="00766DAD">
      <w:pPr>
        <w:jc w:val="center"/>
        <w:rPr>
          <w:rFonts w:cs="Arial"/>
          <w:b/>
        </w:rPr>
      </w:pPr>
    </w:p>
    <w:p w:rsidR="00766DAD" w:rsidRDefault="00766DAD" w:rsidP="00766DAD">
      <w:pPr>
        <w:jc w:val="center"/>
        <w:rPr>
          <w:rFonts w:cs="Arial"/>
          <w:b/>
        </w:rPr>
      </w:pPr>
    </w:p>
    <w:p w:rsidR="00766DAD" w:rsidRDefault="00766DAD" w:rsidP="00766DAD">
      <w:pPr>
        <w:jc w:val="center"/>
        <w:rPr>
          <w:rFonts w:cs="Arial"/>
          <w:b/>
        </w:rPr>
      </w:pPr>
    </w:p>
    <w:p w:rsidR="00766DAD" w:rsidRDefault="00766DAD" w:rsidP="00766DAD">
      <w:pPr>
        <w:jc w:val="center"/>
        <w:rPr>
          <w:rFonts w:cs="Arial"/>
          <w:b/>
        </w:rPr>
      </w:pPr>
    </w:p>
    <w:p w:rsidR="00766DAD" w:rsidRDefault="00766DAD" w:rsidP="00766DAD">
      <w:pPr>
        <w:jc w:val="center"/>
        <w:rPr>
          <w:rFonts w:cs="Arial"/>
          <w:b/>
        </w:rPr>
      </w:pPr>
    </w:p>
    <w:p w:rsidR="00766DAD" w:rsidRDefault="00766DAD" w:rsidP="00766DAD">
      <w:pPr>
        <w:jc w:val="center"/>
        <w:rPr>
          <w:rFonts w:cs="Arial"/>
          <w:b/>
        </w:rPr>
      </w:pPr>
    </w:p>
    <w:p w:rsidR="00766DAD" w:rsidRDefault="00766DAD" w:rsidP="00766DAD">
      <w:pPr>
        <w:jc w:val="center"/>
        <w:rPr>
          <w:rFonts w:cs="Arial"/>
          <w:b/>
        </w:rPr>
      </w:pPr>
    </w:p>
    <w:p w:rsidR="00766DAD" w:rsidRDefault="00766DAD" w:rsidP="00766DAD">
      <w:pPr>
        <w:jc w:val="center"/>
        <w:rPr>
          <w:rFonts w:cs="Arial"/>
          <w:b/>
        </w:rPr>
      </w:pPr>
    </w:p>
    <w:p w:rsidR="00766DAD" w:rsidRDefault="00766DAD" w:rsidP="00766DAD">
      <w:pPr>
        <w:jc w:val="center"/>
        <w:rPr>
          <w:rFonts w:cs="Arial"/>
          <w:b/>
        </w:rPr>
      </w:pPr>
    </w:p>
    <w:p w:rsidR="00766DAD" w:rsidRDefault="00766DAD" w:rsidP="00766DAD">
      <w:pPr>
        <w:jc w:val="center"/>
        <w:rPr>
          <w:rFonts w:cs="Arial"/>
          <w:b/>
        </w:rPr>
      </w:pPr>
    </w:p>
    <w:p w:rsidR="00766DAD" w:rsidRDefault="00766DAD" w:rsidP="00766DAD">
      <w:pPr>
        <w:jc w:val="center"/>
        <w:rPr>
          <w:rFonts w:cs="Arial"/>
          <w:b/>
        </w:rPr>
      </w:pPr>
    </w:p>
    <w:p w:rsidR="00766DAD" w:rsidRDefault="00766DAD" w:rsidP="00766DAD">
      <w:pPr>
        <w:jc w:val="center"/>
        <w:rPr>
          <w:rFonts w:cs="Arial"/>
          <w:b/>
        </w:rPr>
      </w:pPr>
    </w:p>
    <w:p w:rsidR="00766DAD" w:rsidRDefault="00766DAD" w:rsidP="00766DAD">
      <w:pPr>
        <w:jc w:val="center"/>
        <w:rPr>
          <w:rFonts w:cs="Arial"/>
          <w:b/>
        </w:rPr>
      </w:pPr>
    </w:p>
    <w:p w:rsidR="0059219E" w:rsidRDefault="0059219E" w:rsidP="00766DAD">
      <w:pPr>
        <w:jc w:val="center"/>
        <w:rPr>
          <w:b/>
          <w:sz w:val="28"/>
          <w:szCs w:val="28"/>
        </w:rPr>
      </w:pPr>
    </w:p>
    <w:p w:rsidR="0059219E" w:rsidRDefault="0059219E" w:rsidP="00766DAD">
      <w:pPr>
        <w:jc w:val="center"/>
        <w:rPr>
          <w:b/>
          <w:sz w:val="28"/>
          <w:szCs w:val="28"/>
        </w:rPr>
      </w:pPr>
    </w:p>
    <w:p w:rsidR="00766DAD" w:rsidRPr="009F12C9" w:rsidRDefault="00766DAD" w:rsidP="00766DAD">
      <w:pPr>
        <w:jc w:val="center"/>
        <w:rPr>
          <w:b/>
          <w:sz w:val="28"/>
          <w:szCs w:val="28"/>
        </w:rPr>
      </w:pPr>
      <w:r>
        <w:rPr>
          <w:b/>
          <w:sz w:val="28"/>
          <w:szCs w:val="28"/>
        </w:rPr>
        <w:t xml:space="preserve">NAPA </w:t>
      </w:r>
      <w:r w:rsidRPr="009F12C9">
        <w:rPr>
          <w:b/>
          <w:sz w:val="28"/>
          <w:szCs w:val="28"/>
        </w:rPr>
        <w:t>COUNTY POLICY ON DISCRETIONARY REVENUES</w:t>
      </w:r>
    </w:p>
    <w:p w:rsidR="00766DAD" w:rsidRDefault="00766DAD" w:rsidP="00766DAD">
      <w:pPr>
        <w:jc w:val="both"/>
        <w:rPr>
          <w:b/>
        </w:rPr>
      </w:pPr>
    </w:p>
    <w:p w:rsidR="00766DAD" w:rsidRDefault="00766DAD" w:rsidP="00766DAD">
      <w:pPr>
        <w:jc w:val="both"/>
        <w:rPr>
          <w:b/>
        </w:rPr>
      </w:pPr>
    </w:p>
    <w:p w:rsidR="00766DAD" w:rsidRPr="00EB45CE" w:rsidRDefault="00766DAD" w:rsidP="00766DAD">
      <w:pPr>
        <w:autoSpaceDE w:val="0"/>
        <w:autoSpaceDN w:val="0"/>
        <w:adjustRightInd w:val="0"/>
        <w:rPr>
          <w:rFonts w:cs="PalatinoLinotype-Bold"/>
          <w:b/>
          <w:bCs/>
        </w:rPr>
      </w:pPr>
      <w:r w:rsidRPr="00EB45CE">
        <w:rPr>
          <w:rFonts w:cs="PalatinoLinotype-Bold"/>
          <w:b/>
          <w:bCs/>
        </w:rPr>
        <w:t>BUDGET POLICIES:</w:t>
      </w:r>
    </w:p>
    <w:p w:rsidR="00766DAD" w:rsidRPr="00EB45CE" w:rsidRDefault="00766DAD" w:rsidP="00766DAD">
      <w:pPr>
        <w:autoSpaceDE w:val="0"/>
        <w:autoSpaceDN w:val="0"/>
        <w:adjustRightInd w:val="0"/>
        <w:jc w:val="both"/>
      </w:pPr>
      <w:r w:rsidRPr="00EB45CE">
        <w:t>The Napa County Board of Supervisors adopted a set of Budget Policies to guide staff in preparing the FY2012/13 Budget.  Given the lingering effects of the national economic downturn, state fiscal problems and the General Fund’s precarious structural balance, but recognizing that the County currently has substantial General Fund reserves, the Budget Policies generally call for holding the line on</w:t>
      </w:r>
      <w:r>
        <w:t xml:space="preserve"> </w:t>
      </w:r>
      <w:r w:rsidRPr="00EB45CE">
        <w:t xml:space="preserve">spending and utilizing the Fiscal Contingency Strategy in the Board’s approved Strategic Financial Plan to structure the County’s response to fiscal difficulties. </w:t>
      </w:r>
    </w:p>
    <w:p w:rsidR="00766DAD" w:rsidRPr="00EB45CE" w:rsidRDefault="00766DAD" w:rsidP="00766DAD">
      <w:pPr>
        <w:autoSpaceDE w:val="0"/>
        <w:autoSpaceDN w:val="0"/>
        <w:adjustRightInd w:val="0"/>
        <w:jc w:val="both"/>
      </w:pPr>
    </w:p>
    <w:p w:rsidR="00766DAD" w:rsidRPr="00EB45CE" w:rsidRDefault="00766DAD" w:rsidP="00766DAD">
      <w:pPr>
        <w:autoSpaceDE w:val="0"/>
        <w:autoSpaceDN w:val="0"/>
        <w:adjustRightInd w:val="0"/>
        <w:jc w:val="both"/>
      </w:pPr>
      <w:r w:rsidRPr="00EB45CE">
        <w:t>Provisions of the Budget Policies which affect this discussion:</w:t>
      </w:r>
    </w:p>
    <w:p w:rsidR="00766DAD" w:rsidRPr="00EB45CE" w:rsidRDefault="00766DAD" w:rsidP="00766DAD">
      <w:pPr>
        <w:autoSpaceDE w:val="0"/>
        <w:autoSpaceDN w:val="0"/>
        <w:adjustRightInd w:val="0"/>
        <w:jc w:val="both"/>
      </w:pPr>
    </w:p>
    <w:p w:rsidR="00766DAD" w:rsidRPr="00EB45CE" w:rsidRDefault="00766DAD" w:rsidP="004C794B">
      <w:pPr>
        <w:pStyle w:val="ListParagraph"/>
        <w:numPr>
          <w:ilvl w:val="0"/>
          <w:numId w:val="32"/>
        </w:numPr>
        <w:suppressAutoHyphens w:val="0"/>
        <w:spacing w:after="0" w:line="240" w:lineRule="auto"/>
        <w:contextualSpacing/>
        <w:jc w:val="both"/>
        <w:textAlignment w:val="auto"/>
        <w:rPr>
          <w:sz w:val="24"/>
          <w:szCs w:val="24"/>
        </w:rPr>
      </w:pPr>
      <w:r w:rsidRPr="00EB45CE">
        <w:rPr>
          <w:sz w:val="24"/>
          <w:szCs w:val="24"/>
        </w:rPr>
        <w:t>Do not propose new or enhanced programs or positions unless those programs are fully funded by a grant or other dedicated revenue source, are related to implementation of Corrections Realignment, the Adult Correctional System Master Plan or the Major Capital Improvements Program or they involve the reallocation of General Fund resources to fund critical accountability, regulatory compliance or public health and safety needs.</w:t>
      </w:r>
    </w:p>
    <w:p w:rsidR="00766DAD" w:rsidRPr="00EB45CE" w:rsidRDefault="00766DAD" w:rsidP="004C794B">
      <w:pPr>
        <w:pStyle w:val="ListParagraph"/>
        <w:numPr>
          <w:ilvl w:val="0"/>
          <w:numId w:val="32"/>
        </w:numPr>
        <w:suppressAutoHyphens w:val="0"/>
        <w:spacing w:after="0" w:line="240" w:lineRule="auto"/>
        <w:contextualSpacing/>
        <w:jc w:val="both"/>
        <w:textAlignment w:val="auto"/>
        <w:rPr>
          <w:sz w:val="24"/>
          <w:szCs w:val="24"/>
        </w:rPr>
      </w:pPr>
      <w:r w:rsidRPr="00EB45CE">
        <w:rPr>
          <w:sz w:val="24"/>
          <w:szCs w:val="24"/>
        </w:rPr>
        <w:t>Pursue new revenues to the fullest extent possible for all services, as well as total cost identification for fee</w:t>
      </w:r>
      <w:r w:rsidR="00787368">
        <w:rPr>
          <w:sz w:val="24"/>
          <w:szCs w:val="24"/>
        </w:rPr>
        <w:t xml:space="preserve"> </w:t>
      </w:r>
      <w:r w:rsidRPr="00EB45CE">
        <w:rPr>
          <w:sz w:val="24"/>
          <w:szCs w:val="24"/>
        </w:rPr>
        <w:t>setting purposes.</w:t>
      </w:r>
    </w:p>
    <w:p w:rsidR="00766DAD" w:rsidRPr="00EB45CE" w:rsidRDefault="00766DAD" w:rsidP="004C794B">
      <w:pPr>
        <w:pStyle w:val="ListParagraph"/>
        <w:numPr>
          <w:ilvl w:val="0"/>
          <w:numId w:val="32"/>
        </w:numPr>
        <w:suppressAutoHyphens w:val="0"/>
        <w:spacing w:after="0" w:line="240" w:lineRule="auto"/>
        <w:contextualSpacing/>
        <w:jc w:val="both"/>
        <w:textAlignment w:val="auto"/>
        <w:rPr>
          <w:b/>
          <w:sz w:val="24"/>
          <w:szCs w:val="24"/>
        </w:rPr>
      </w:pPr>
      <w:r w:rsidRPr="00EB45CE">
        <w:rPr>
          <w:b/>
          <w:sz w:val="24"/>
          <w:szCs w:val="24"/>
        </w:rPr>
        <w:t>Except where the Board has previously made a decision to earmark revenues for a particular purpose, wherever legally possible revenues are to be treated as discretionary revenues, rather than dedicated to a particular program or purpose.</w:t>
      </w:r>
    </w:p>
    <w:p w:rsidR="00766DAD" w:rsidRPr="00EB45CE" w:rsidRDefault="00766DAD" w:rsidP="00766DAD">
      <w:pPr>
        <w:pStyle w:val="ListParagraph"/>
        <w:spacing w:after="0" w:line="240" w:lineRule="auto"/>
        <w:jc w:val="both"/>
        <w:rPr>
          <w:sz w:val="24"/>
          <w:szCs w:val="24"/>
        </w:rPr>
      </w:pPr>
    </w:p>
    <w:p w:rsidR="00766DAD" w:rsidRPr="00EB45CE" w:rsidRDefault="00766DAD" w:rsidP="00766DAD">
      <w:pPr>
        <w:pStyle w:val="ListParagraph"/>
        <w:spacing w:after="0" w:line="240" w:lineRule="auto"/>
        <w:ind w:left="0"/>
        <w:jc w:val="both"/>
        <w:rPr>
          <w:sz w:val="24"/>
          <w:szCs w:val="24"/>
        </w:rPr>
      </w:pPr>
      <w:r w:rsidRPr="00EB45CE">
        <w:rPr>
          <w:sz w:val="24"/>
          <w:szCs w:val="24"/>
        </w:rPr>
        <w:t xml:space="preserve">Currently, Discretionary revenues are not to be earmarked for specific purposes, according to Policy set by the Napa County Board of Supervisors.  </w:t>
      </w:r>
    </w:p>
    <w:p w:rsidR="00766DAD" w:rsidRPr="0038640C" w:rsidRDefault="00766DAD" w:rsidP="00766DAD">
      <w:pPr>
        <w:jc w:val="both"/>
      </w:pPr>
    </w:p>
    <w:p w:rsidR="00766DAD" w:rsidRPr="00A11393" w:rsidRDefault="00766DAD" w:rsidP="004C794B">
      <w:pPr>
        <w:pStyle w:val="ListParagraph"/>
        <w:numPr>
          <w:ilvl w:val="0"/>
          <w:numId w:val="33"/>
        </w:numPr>
        <w:suppressAutoHyphens w:val="0"/>
        <w:autoSpaceDE/>
        <w:autoSpaceDN/>
        <w:adjustRightInd/>
        <w:spacing w:after="0" w:line="240" w:lineRule="auto"/>
        <w:textAlignment w:val="auto"/>
      </w:pPr>
      <w:r>
        <w:rPr>
          <w:b/>
          <w:sz w:val="24"/>
          <w:szCs w:val="24"/>
        </w:rPr>
        <w:t>STRATEGIC FINANCIAL PLAN</w:t>
      </w:r>
      <w:r w:rsidRPr="0038640C">
        <w:rPr>
          <w:sz w:val="24"/>
          <w:szCs w:val="24"/>
        </w:rPr>
        <w:t xml:space="preserve">: </w:t>
      </w:r>
      <w:r>
        <w:rPr>
          <w:sz w:val="24"/>
          <w:szCs w:val="24"/>
        </w:rPr>
        <w:t>Additionally, according to the adopted Strategic Financial Plan:</w:t>
      </w:r>
    </w:p>
    <w:p w:rsidR="00766DAD" w:rsidRPr="00A11393" w:rsidRDefault="00766DAD" w:rsidP="00766DAD">
      <w:pPr>
        <w:pStyle w:val="ListParagraph"/>
        <w:spacing w:after="0" w:line="240" w:lineRule="auto"/>
      </w:pPr>
    </w:p>
    <w:p w:rsidR="00766DAD" w:rsidRPr="00A11393" w:rsidRDefault="00766DAD" w:rsidP="00766DAD">
      <w:pPr>
        <w:pStyle w:val="ListParagraph"/>
        <w:spacing w:after="0" w:line="240" w:lineRule="auto"/>
        <w:rPr>
          <w:i/>
        </w:rPr>
      </w:pPr>
      <w:r w:rsidRPr="00A11393">
        <w:rPr>
          <w:i/>
          <w:sz w:val="24"/>
          <w:szCs w:val="24"/>
        </w:rPr>
        <w:t>“</w:t>
      </w:r>
      <w:r w:rsidRPr="00A11393">
        <w:rPr>
          <w:i/>
        </w:rPr>
        <w:t>Generally speaking, it is appropriate to use discretionary resources to fund programs or services that provide a broad public benefit.  To the extent legally possible, programs or services that primarily benefit a smaller sub-group should be paid for with user fees or assessments.”</w:t>
      </w:r>
    </w:p>
    <w:p w:rsidR="00766DAD" w:rsidRPr="0038640C" w:rsidRDefault="00766DAD" w:rsidP="00766DAD">
      <w:pPr>
        <w:jc w:val="both"/>
      </w:pPr>
    </w:p>
    <w:p w:rsidR="00766DAD" w:rsidRDefault="00766DAD" w:rsidP="00766DAD">
      <w:pPr>
        <w:jc w:val="both"/>
      </w:pPr>
      <w:r w:rsidRPr="0038640C">
        <w:t xml:space="preserve">Napa County staff recommendation </w:t>
      </w:r>
      <w:r>
        <w:t xml:space="preserve">is </w:t>
      </w:r>
      <w:r w:rsidRPr="0038640C">
        <w:t>to avoid discretionary revenues for purposes of earmarking as programs usually require a nexus connection to a funding source</w:t>
      </w:r>
      <w:r>
        <w:t xml:space="preserve">.  </w:t>
      </w:r>
    </w:p>
    <w:p w:rsidR="00766DAD" w:rsidRDefault="00766DAD" w:rsidP="00766DAD">
      <w:pPr>
        <w:jc w:val="both"/>
      </w:pPr>
    </w:p>
    <w:p w:rsidR="00766DAD" w:rsidRDefault="00766DAD" w:rsidP="00766DAD">
      <w:pPr>
        <w:rPr>
          <w:b/>
        </w:rPr>
      </w:pPr>
      <w:r>
        <w:rPr>
          <w:b/>
        </w:rPr>
        <w:br w:type="page"/>
      </w:r>
    </w:p>
    <w:p w:rsidR="00766DAD" w:rsidRPr="009F12C9" w:rsidRDefault="00766DAD" w:rsidP="00766DAD">
      <w:pPr>
        <w:jc w:val="center"/>
        <w:rPr>
          <w:b/>
          <w:sz w:val="28"/>
          <w:szCs w:val="28"/>
        </w:rPr>
      </w:pPr>
      <w:r>
        <w:rPr>
          <w:b/>
          <w:sz w:val="28"/>
          <w:szCs w:val="28"/>
        </w:rPr>
        <w:t>PROPOSITION</w:t>
      </w:r>
      <w:r w:rsidRPr="009F12C9">
        <w:rPr>
          <w:b/>
          <w:sz w:val="28"/>
          <w:szCs w:val="28"/>
        </w:rPr>
        <w:t xml:space="preserve"> 26</w:t>
      </w:r>
    </w:p>
    <w:p w:rsidR="00766DAD" w:rsidRDefault="00766DAD" w:rsidP="00766DAD"/>
    <w:p w:rsidR="00766DAD" w:rsidRPr="0038640C" w:rsidRDefault="00766DAD" w:rsidP="00766DAD">
      <w:r w:rsidRPr="0038640C">
        <w:t>Proposition 26 (Prop 26) was voted on in November, 2010.  In essence, it amended the constitution to say that all government fees are now taxes subject to 2/3 vote of the people unless they fit into one of the exceptions listed below.  It was drafted to address a court case that upheld the fee imposed on paint that was used to fund paint-related clean up, and a fee on cigarettes to fund anti-smoking campaigns.  In essence Prop 26 prohibits fees paid by one set of people in order to fund government activities benefiting another set of people or the public generally.  It only applies to new or increased fees after November, 2010.</w:t>
      </w:r>
    </w:p>
    <w:p w:rsidR="00787368" w:rsidRDefault="00787368" w:rsidP="00766DAD">
      <w:pPr>
        <w:rPr>
          <w:u w:val="single"/>
        </w:rPr>
      </w:pPr>
    </w:p>
    <w:p w:rsidR="00766DAD" w:rsidRPr="0038640C" w:rsidRDefault="00766DAD" w:rsidP="00766DAD">
      <w:r w:rsidRPr="0038640C">
        <w:rPr>
          <w:u w:val="single"/>
        </w:rPr>
        <w:t>The voting requirements of Prop 26 do not apply because</w:t>
      </w:r>
      <w:r w:rsidRPr="0038640C">
        <w:t>:</w:t>
      </w:r>
    </w:p>
    <w:p w:rsidR="00766DAD" w:rsidRPr="00787368" w:rsidRDefault="00766DAD" w:rsidP="00766DAD">
      <w:pPr>
        <w:pStyle w:val="NormalWeb"/>
      </w:pPr>
      <w:r w:rsidRPr="00787368">
        <w:t xml:space="preserve">It is a charge imposed for a specific benefit conferred or privilege granted directly to the payor that is not provided to those not charged, and which does not exceed the reasonable costs to the County of Napa of conferring the benefit or granting the privilege. (Planning permits, police permits, street closure permits, parking permits, some franchises.) </w:t>
      </w:r>
    </w:p>
    <w:p w:rsidR="00766DAD" w:rsidRPr="00787368" w:rsidRDefault="00766DAD" w:rsidP="00766DAD">
      <w:pPr>
        <w:pStyle w:val="NormalWeb"/>
      </w:pPr>
      <w:r w:rsidRPr="00787368">
        <w:t xml:space="preserve">It is a charge imposed for a specific government service or product provided directly to the payor that is not provided to those not charged, and which does not exceed the reasonable costs to the County of Napa for providing the service or product. (User fees, public records copy fees, DUI emergency response fees, emergency medical and ambulance transport service fees, recreation classes, weed abatement fees charged to an individual.) </w:t>
      </w:r>
    </w:p>
    <w:p w:rsidR="00766DAD" w:rsidRPr="00787368" w:rsidRDefault="00766DAD" w:rsidP="00766DAD">
      <w:pPr>
        <w:pStyle w:val="NormalWeb"/>
      </w:pPr>
      <w:r w:rsidRPr="00787368">
        <w:t xml:space="preserve">It is a charge imposed for the reasonable regulatory costs to the County of Napa for issuing licenses and permits, performing investigations, inspections and audits, enforcing agricultural marketing orders, and the administrative enforcement and adjudication thereof. (Permits for regulated commercial activities, e.g., massage parlor, firearm dealers, check cashing, bingo; fire, health, environmental, safety permits; police background checks; pet licenses; bicycle licenses.) </w:t>
      </w:r>
    </w:p>
    <w:p w:rsidR="00766DAD" w:rsidRPr="00787368" w:rsidRDefault="00766DAD" w:rsidP="00766DAD">
      <w:pPr>
        <w:pStyle w:val="NormalWeb"/>
      </w:pPr>
      <w:r w:rsidRPr="00787368">
        <w:t xml:space="preserve">It is a charge imposed for entrance to or use of the County of Napa property or the purchase, rental or lease of County property. (Facility rental fees, room rental fees, equipment rental fees, on and off-street parking, tolls, franchise, park entrance, museum admission, tipping fees, golf green fees, et cetera.) </w:t>
      </w:r>
    </w:p>
    <w:p w:rsidR="00766DAD" w:rsidRPr="00787368" w:rsidRDefault="00766DAD" w:rsidP="00766DAD">
      <w:pPr>
        <w:pStyle w:val="NormalWeb"/>
      </w:pPr>
      <w:r w:rsidRPr="00787368">
        <w:t xml:space="preserve">It is a fine, penalty, or other monetary charge imposed by the judicial branch of government or the County of Napa as a result of a violation of law, including late payment fees, fees imposed under administrative citation ordinances, parking violations, et cetera. (Parking fines, code enforcement fees and penalties, late payment fees, interest charges, other violations of law.) </w:t>
      </w:r>
    </w:p>
    <w:p w:rsidR="00766DAD" w:rsidRPr="00787368" w:rsidRDefault="00766DAD" w:rsidP="00766DAD">
      <w:pPr>
        <w:pStyle w:val="NormalWeb"/>
      </w:pPr>
      <w:r w:rsidRPr="00787368">
        <w:t xml:space="preserve">It is a charge imposed as a condition of property development. (Planning, CEQA, building permit fees, construction permits, development impact fees, mitigation fees.)  It is an assessment or property related fee imposed in accordance with the provisions of Article XIIID.  </w:t>
      </w:r>
    </w:p>
    <w:p w:rsidR="00766DAD" w:rsidRPr="0038640C" w:rsidRDefault="00766DAD" w:rsidP="00766DAD">
      <w:pPr>
        <w:pStyle w:val="NormalWeb"/>
        <w:rPr>
          <w:rFonts w:asciiTheme="minorHAnsi" w:hAnsiTheme="minorHAnsi"/>
        </w:rPr>
      </w:pPr>
    </w:p>
    <w:p w:rsidR="0059219E" w:rsidRDefault="0059219E" w:rsidP="00766DAD">
      <w:pPr>
        <w:pStyle w:val="NormalWeb"/>
        <w:spacing w:before="0" w:beforeAutospacing="0" w:after="0" w:afterAutospacing="0"/>
        <w:jc w:val="center"/>
        <w:rPr>
          <w:b/>
          <w:sz w:val="28"/>
          <w:szCs w:val="28"/>
        </w:rPr>
      </w:pPr>
    </w:p>
    <w:p w:rsidR="0059219E" w:rsidRDefault="0059219E" w:rsidP="00766DAD">
      <w:pPr>
        <w:pStyle w:val="NormalWeb"/>
        <w:spacing w:before="0" w:beforeAutospacing="0" w:after="0" w:afterAutospacing="0"/>
        <w:jc w:val="center"/>
        <w:rPr>
          <w:b/>
          <w:sz w:val="28"/>
          <w:szCs w:val="28"/>
        </w:rPr>
      </w:pPr>
    </w:p>
    <w:p w:rsidR="00787368" w:rsidRDefault="00787368" w:rsidP="00766DAD">
      <w:pPr>
        <w:pStyle w:val="NormalWeb"/>
        <w:spacing w:before="0" w:beforeAutospacing="0" w:after="0" w:afterAutospacing="0"/>
        <w:jc w:val="center"/>
        <w:rPr>
          <w:b/>
          <w:sz w:val="28"/>
          <w:szCs w:val="28"/>
        </w:rPr>
      </w:pPr>
    </w:p>
    <w:p w:rsidR="00766DAD" w:rsidRPr="009F12C9" w:rsidRDefault="00766DAD" w:rsidP="00766DAD">
      <w:pPr>
        <w:pStyle w:val="NormalWeb"/>
        <w:spacing w:before="0" w:beforeAutospacing="0" w:after="0" w:afterAutospacing="0"/>
        <w:jc w:val="center"/>
        <w:rPr>
          <w:b/>
          <w:sz w:val="28"/>
          <w:szCs w:val="28"/>
        </w:rPr>
      </w:pPr>
      <w:r w:rsidRPr="009F12C9">
        <w:rPr>
          <w:b/>
          <w:sz w:val="28"/>
          <w:szCs w:val="28"/>
        </w:rPr>
        <w:t>PROPOSITION 218</w:t>
      </w:r>
    </w:p>
    <w:p w:rsidR="00766DAD" w:rsidRDefault="00766DAD" w:rsidP="00766DAD">
      <w:pPr>
        <w:pStyle w:val="NormalWeb"/>
        <w:spacing w:before="0" w:beforeAutospacing="0" w:after="0" w:afterAutospacing="0"/>
      </w:pPr>
    </w:p>
    <w:p w:rsidR="00766DAD" w:rsidRPr="00787368" w:rsidRDefault="00766DAD" w:rsidP="00766DAD">
      <w:pPr>
        <w:pStyle w:val="NormalWeb"/>
      </w:pPr>
      <w:r w:rsidRPr="00787368">
        <w:t>Proposition 218 is a constitutional initiative approved by California voters in November of 1996.  Proposition 218 is a response to Proposition 13 and aims to mitigate abuses when assessments and property related fees are allocated to general services rather than the intended service the revenue is supposed to service.</w:t>
      </w:r>
    </w:p>
    <w:p w:rsidR="00766DAD" w:rsidRPr="00787368" w:rsidRDefault="00766DAD" w:rsidP="00766DAD">
      <w:pPr>
        <w:pStyle w:val="NormalWeb"/>
      </w:pPr>
      <w:r w:rsidRPr="00787368">
        <w:t>Proposition 218 changed the process for approving new fees, which used to be a decision of the local governing body with public hearings.  Public involvement is now increased as the power of taxation has been shifted to the property owners and residents in a jurisdiction.  It can be argued that this measure has weakened local governing bodies as they are still responsible for delivering services, and have less ability to raise revenues.  This proposition also limits the number of elections which can be held to propose increases in revenues.</w:t>
      </w:r>
    </w:p>
    <w:p w:rsidR="00766DAD" w:rsidRPr="00787368" w:rsidRDefault="00766DAD" w:rsidP="00766DAD">
      <w:pPr>
        <w:pStyle w:val="NormalWeb"/>
        <w:rPr>
          <w:b/>
          <w:i/>
        </w:rPr>
      </w:pPr>
      <w:r w:rsidRPr="00787368">
        <w:rPr>
          <w:b/>
          <w:i/>
        </w:rPr>
        <w:t>DEFINITIONS</w:t>
      </w:r>
    </w:p>
    <w:p w:rsidR="00766DAD" w:rsidRPr="00787368" w:rsidRDefault="00766DAD" w:rsidP="00766DAD">
      <w:pPr>
        <w:pStyle w:val="NormalWeb"/>
        <w:rPr>
          <w:i/>
        </w:rPr>
      </w:pPr>
      <w:r w:rsidRPr="00787368">
        <w:rPr>
          <w:b/>
          <w:i/>
        </w:rPr>
        <w:t>Tax</w:t>
      </w:r>
      <w:r w:rsidRPr="00787368">
        <w:rPr>
          <w:i/>
        </w:rPr>
        <w:t xml:space="preserve">:  A tax, as defined by the Legislative Analyst’s Office, is “a charge on an individual or business that pays for governmental services or facilities that benefit the public broadly.”  Additionally, a general tax requires a majority vote, while a special tax requires a two-thirds vote.  </w:t>
      </w:r>
      <w:r w:rsidRPr="00787368">
        <w:rPr>
          <w:i/>
          <w:u w:val="single"/>
        </w:rPr>
        <w:t>Examples</w:t>
      </w:r>
      <w:r w:rsidRPr="00787368">
        <w:rPr>
          <w:i/>
        </w:rPr>
        <w:t>: include property tax, sales tax, business license tax, hotel occupancy tax, and utility users tax.</w:t>
      </w:r>
    </w:p>
    <w:p w:rsidR="00766DAD" w:rsidRPr="00787368" w:rsidRDefault="00766DAD" w:rsidP="00766DAD">
      <w:pPr>
        <w:pStyle w:val="NormalWeb"/>
        <w:rPr>
          <w:i/>
        </w:rPr>
      </w:pPr>
      <w:r w:rsidRPr="00787368">
        <w:rPr>
          <w:b/>
          <w:i/>
        </w:rPr>
        <w:t>Assessment</w:t>
      </w:r>
      <w:r w:rsidRPr="00787368">
        <w:rPr>
          <w:i/>
        </w:rPr>
        <w:t xml:space="preserve">: An assessment, as defined by the Legislative Analyst’s Office, is “a charge levied on property to pay for a public improvement or service that benefits property.”  </w:t>
      </w:r>
      <w:r w:rsidRPr="00787368">
        <w:rPr>
          <w:i/>
          <w:u w:val="single"/>
        </w:rPr>
        <w:t>Examples</w:t>
      </w:r>
      <w:r w:rsidRPr="00787368">
        <w:rPr>
          <w:i/>
        </w:rPr>
        <w:t>: include flood control improvements; streets; lighting; and landscaping.</w:t>
      </w:r>
    </w:p>
    <w:p w:rsidR="00766DAD" w:rsidRPr="00787368" w:rsidRDefault="00766DAD" w:rsidP="00766DAD">
      <w:pPr>
        <w:pStyle w:val="NormalWeb"/>
        <w:rPr>
          <w:i/>
        </w:rPr>
      </w:pPr>
      <w:r w:rsidRPr="00787368">
        <w:rPr>
          <w:b/>
          <w:i/>
        </w:rPr>
        <w:t>Fee</w:t>
      </w:r>
      <w:r w:rsidRPr="00787368">
        <w:rPr>
          <w:i/>
        </w:rPr>
        <w:t xml:space="preserve">:  A fee, as defined by the Legislative Analyst’s Office, is “a charge imposed on an individual or business for a service or facility provided directly to an individual or business.”  </w:t>
      </w:r>
      <w:r w:rsidRPr="00787368">
        <w:rPr>
          <w:b/>
          <w:i/>
        </w:rPr>
        <w:t>A fee may not exceed the cost of government to provide the service.</w:t>
      </w:r>
      <w:r w:rsidRPr="00787368">
        <w:rPr>
          <w:i/>
        </w:rPr>
        <w:t xml:space="preserve">  </w:t>
      </w:r>
      <w:r w:rsidRPr="00787368">
        <w:rPr>
          <w:i/>
          <w:u w:val="single"/>
        </w:rPr>
        <w:t>Examples</w:t>
      </w:r>
      <w:r w:rsidRPr="00787368">
        <w:rPr>
          <w:i/>
        </w:rPr>
        <w:t>: includes park entrance fee; and building plan check.</w:t>
      </w:r>
    </w:p>
    <w:p w:rsidR="00766DAD" w:rsidRPr="00787368" w:rsidRDefault="00766DAD" w:rsidP="00766DAD">
      <w:pPr>
        <w:pStyle w:val="NormalWeb"/>
        <w:rPr>
          <w:i/>
        </w:rPr>
      </w:pPr>
      <w:r w:rsidRPr="00787368">
        <w:rPr>
          <w:b/>
          <w:i/>
        </w:rPr>
        <w:t>Overlap</w:t>
      </w:r>
      <w:r w:rsidRPr="00787368">
        <w:rPr>
          <w:i/>
        </w:rPr>
        <w:t xml:space="preserve">: According to the Legislative Analyst’s Office, these three overlap.  An example would be a community may finance a street with revenue from all three sources.  </w:t>
      </w:r>
    </w:p>
    <w:p w:rsidR="00766DAD" w:rsidRPr="0038640C" w:rsidRDefault="00766DAD" w:rsidP="00766DAD">
      <w:r w:rsidRPr="0038640C">
        <w:t>“In order to raise a new tax, assessment, or property-related fee, or to increase an existing one, local governments must comply with many of the same provision [listed above].  In general, these requirements are that local governments may use assessments and property-related fees only to finance projects and services that directly benefit property—and that most revenue-raising measures be approved in an election.”</w:t>
      </w:r>
    </w:p>
    <w:p w:rsidR="00766DAD" w:rsidRPr="0038640C" w:rsidRDefault="00766DAD" w:rsidP="00766DAD"/>
    <w:p w:rsidR="00766DAD" w:rsidRDefault="00766DAD" w:rsidP="00766DAD">
      <w:pPr>
        <w:jc w:val="center"/>
        <w:rPr>
          <w:b/>
          <w:sz w:val="28"/>
          <w:szCs w:val="28"/>
        </w:rPr>
      </w:pPr>
    </w:p>
    <w:p w:rsidR="00766DAD" w:rsidRDefault="00766DAD" w:rsidP="00766DAD">
      <w:pPr>
        <w:jc w:val="center"/>
        <w:rPr>
          <w:b/>
          <w:sz w:val="28"/>
          <w:szCs w:val="28"/>
        </w:rPr>
      </w:pPr>
    </w:p>
    <w:p w:rsidR="00766DAD" w:rsidRDefault="00766DAD" w:rsidP="00766DAD">
      <w:pPr>
        <w:jc w:val="center"/>
        <w:rPr>
          <w:b/>
          <w:sz w:val="28"/>
          <w:szCs w:val="28"/>
        </w:rPr>
      </w:pPr>
    </w:p>
    <w:p w:rsidR="00766DAD" w:rsidRDefault="00766DAD" w:rsidP="00766DAD">
      <w:pPr>
        <w:jc w:val="center"/>
        <w:rPr>
          <w:b/>
          <w:sz w:val="28"/>
          <w:szCs w:val="28"/>
        </w:rPr>
      </w:pPr>
    </w:p>
    <w:p w:rsidR="00AB4F91" w:rsidRDefault="00AB4F91" w:rsidP="00766DAD">
      <w:pPr>
        <w:jc w:val="center"/>
        <w:rPr>
          <w:b/>
          <w:sz w:val="28"/>
          <w:szCs w:val="28"/>
        </w:rPr>
      </w:pPr>
    </w:p>
    <w:p w:rsidR="00AB4F91" w:rsidRDefault="00AB4F91" w:rsidP="00766DAD">
      <w:pPr>
        <w:jc w:val="center"/>
        <w:rPr>
          <w:b/>
          <w:sz w:val="28"/>
          <w:szCs w:val="28"/>
        </w:rPr>
      </w:pPr>
    </w:p>
    <w:p w:rsidR="00AB4F91" w:rsidRDefault="001A4C46" w:rsidP="00766DAD">
      <w:pPr>
        <w:jc w:val="center"/>
        <w:rPr>
          <w:b/>
          <w:sz w:val="28"/>
          <w:szCs w:val="28"/>
        </w:rPr>
      </w:pPr>
      <w:r>
        <w:rPr>
          <w:b/>
          <w:noProof/>
          <w:sz w:val="28"/>
          <w:szCs w:val="28"/>
        </w:rPr>
        <mc:AlternateContent>
          <mc:Choice Requires="wps">
            <w:drawing>
              <wp:anchor distT="0" distB="0" distL="114300" distR="114300" simplePos="0" relativeHeight="251683840" behindDoc="0" locked="0" layoutInCell="1" allowOverlap="1">
                <wp:simplePos x="0" y="0"/>
                <wp:positionH relativeFrom="column">
                  <wp:posOffset>-609600</wp:posOffset>
                </wp:positionH>
                <wp:positionV relativeFrom="paragraph">
                  <wp:posOffset>-327660</wp:posOffset>
                </wp:positionV>
                <wp:extent cx="7143750" cy="9429750"/>
                <wp:effectExtent l="0" t="0" r="19050" b="19050"/>
                <wp:wrapNone/>
                <wp:docPr id="6"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3750" cy="9429750"/>
                        </a:xfrm>
                        <a:prstGeom prst="rect">
                          <a:avLst/>
                        </a:prstGeom>
                        <a:solidFill>
                          <a:schemeClr val="accent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48pt;margin-top:-25.8pt;width:562.5pt;height:74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" fillcolor="#4f81bd [3204]"/>
            </w:pict>
          </mc:Fallback>
        </mc:AlternateContent>
      </w:r>
    </w:p>
    <w:p w:rsidR="00766DAD" w:rsidRPr="00FB7EFC" w:rsidRDefault="00766DAD" w:rsidP="00FB7EFC">
      <w:pPr>
        <w:pStyle w:val="TODHeading2"/>
        <w:rPr>
          <w:b/>
          <w:smallCaps/>
          <w:sz w:val="28"/>
          <w:szCs w:val="28"/>
        </w:rPr>
      </w:pPr>
    </w:p>
    <w:sectPr w:rsidR="00766DAD" w:rsidRPr="00FB7EFC" w:rsidSect="000E2AC0">
      <w:pgSz w:w="12240" w:h="15840" w:code="1"/>
      <w:pgMar w:top="720" w:right="1440" w:bottom="634" w:left="1440" w:header="720" w:footer="720" w:gutter="0"/>
      <w:pgBorders w:offsetFrom="page">
        <w:top w:val="single" w:sz="4" w:space="24" w:color="00008C"/>
        <w:left w:val="single" w:sz="4" w:space="24" w:color="00008C"/>
        <w:bottom w:val="single" w:sz="4" w:space="24" w:color="00008C"/>
        <w:right w:val="single" w:sz="4" w:space="24" w:color="00008C"/>
      </w:pgBorders>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2D00" w:rsidRDefault="00032D00">
      <w:r>
        <w:separator/>
      </w:r>
    </w:p>
  </w:endnote>
  <w:endnote w:type="continuationSeparator" w:id="0">
    <w:p w:rsidR="00032D00" w:rsidRDefault="00032D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yriadPro-Regular">
    <w:panose1 w:val="00000000000000000000"/>
    <w:charset w:val="00"/>
    <w:family w:val="auto"/>
    <w:notTrueType/>
    <w:pitch w:val="default"/>
    <w:sig w:usb0="00000003" w:usb1="00000000" w:usb2="00000000" w:usb3="00000000" w:csb0="00000001" w:csb1="00000000"/>
  </w:font>
  <w:font w:name="The Sans Semi Bold- Bold Caps">
    <w:panose1 w:val="00000000000000000000"/>
    <w:charset w:val="00"/>
    <w:family w:val="auto"/>
    <w:notTrueType/>
    <w:pitch w:val="default"/>
    <w:sig w:usb0="00000003" w:usb1="00000000" w:usb2="00000000" w:usb3="00000000" w:csb0="00000001" w:csb1="00000000"/>
  </w:font>
  <w:font w:name="MyriadPro-Bold">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Minion Pro">
    <w:panose1 w:val="00000000000000000000"/>
    <w:charset w:val="00"/>
    <w:family w:val="roman"/>
    <w:notTrueType/>
    <w:pitch w:val="variable"/>
    <w:sig w:usb0="E00002AF" w:usb1="5000E07B" w:usb2="00000000" w:usb3="00000000" w:csb0="0000019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Times">
    <w:panose1 w:val="02020603050405020304"/>
    <w:charset w:val="00"/>
    <w:family w:val="roman"/>
    <w:pitch w:val="variable"/>
    <w:sig w:usb0="E0002AFF" w:usb1="C0007841" w:usb2="00000009" w:usb3="00000000" w:csb0="000001FF" w:csb1="00000000"/>
  </w:font>
  <w:font w:name="Arial,Italic">
    <w:panose1 w:val="00000000000000000000"/>
    <w:charset w:val="00"/>
    <w:family w:val="swiss"/>
    <w:notTrueType/>
    <w:pitch w:val="default"/>
    <w:sig w:usb0="00000003" w:usb1="00000000" w:usb2="00000000" w:usb3="00000000" w:csb0="00000001" w:csb1="00000000"/>
  </w:font>
  <w:font w:name="PalatinoLinotype-Bold">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2A47" w:rsidRDefault="00426CC0" w:rsidP="00AE2207">
    <w:pPr>
      <w:pStyle w:val="Footer"/>
      <w:framePr w:wrap="around" w:vAnchor="text" w:hAnchor="margin" w:xAlign="right" w:y="1"/>
      <w:rPr>
        <w:rStyle w:val="PageNumber"/>
      </w:rPr>
    </w:pPr>
    <w:r>
      <w:rPr>
        <w:rStyle w:val="PageNumber"/>
      </w:rPr>
      <w:fldChar w:fldCharType="begin"/>
    </w:r>
    <w:r w:rsidR="00CE2A47">
      <w:rPr>
        <w:rStyle w:val="PageNumber"/>
      </w:rPr>
      <w:instrText xml:space="preserve">PAGE  </w:instrText>
    </w:r>
    <w:r>
      <w:rPr>
        <w:rStyle w:val="PageNumber"/>
      </w:rPr>
      <w:fldChar w:fldCharType="end"/>
    </w:r>
  </w:p>
  <w:p w:rsidR="00CE2A47" w:rsidRDefault="00CE2A47" w:rsidP="009921F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4215882"/>
      <w:docPartObj>
        <w:docPartGallery w:val="Page Numbers (Bottom of Page)"/>
        <w:docPartUnique/>
      </w:docPartObj>
    </w:sdtPr>
    <w:sdtEndPr>
      <w:rPr>
        <w:noProof/>
      </w:rPr>
    </w:sdtEndPr>
    <w:sdtContent>
      <w:p w:rsidR="00CE2A47" w:rsidRDefault="00426CC0">
        <w:pPr>
          <w:pStyle w:val="Footer"/>
          <w:jc w:val="right"/>
        </w:pPr>
        <w:r>
          <w:fldChar w:fldCharType="begin"/>
        </w:r>
        <w:r w:rsidR="00CE2A47">
          <w:instrText xml:space="preserve"> PAGE   \* MERGEFORMAT </w:instrText>
        </w:r>
        <w:r>
          <w:fldChar w:fldCharType="separate"/>
        </w:r>
        <w:r w:rsidR="00CE2A47">
          <w:rPr>
            <w:noProof/>
          </w:rPr>
          <w:t>1</w:t>
        </w:r>
        <w:r>
          <w:rPr>
            <w:noProof/>
          </w:rPr>
          <w:fldChar w:fldCharType="end"/>
        </w:r>
      </w:p>
    </w:sdtContent>
  </w:sdt>
  <w:p w:rsidR="00CE2A47" w:rsidRDefault="00CE2A47" w:rsidP="009921F8">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2A47" w:rsidRDefault="00426CC0" w:rsidP="00AE2207">
    <w:pPr>
      <w:pStyle w:val="Footer"/>
      <w:framePr w:wrap="around" w:vAnchor="text" w:hAnchor="margin" w:xAlign="right" w:y="1"/>
      <w:rPr>
        <w:rStyle w:val="PageNumber"/>
      </w:rPr>
    </w:pPr>
    <w:r>
      <w:rPr>
        <w:rStyle w:val="PageNumber"/>
      </w:rPr>
      <w:fldChar w:fldCharType="begin"/>
    </w:r>
    <w:r w:rsidR="00CE2A47">
      <w:rPr>
        <w:rStyle w:val="PageNumber"/>
      </w:rPr>
      <w:instrText xml:space="preserve">PAGE  </w:instrText>
    </w:r>
    <w:r>
      <w:rPr>
        <w:rStyle w:val="PageNumber"/>
      </w:rPr>
      <w:fldChar w:fldCharType="end"/>
    </w:r>
  </w:p>
  <w:p w:rsidR="00CE2A47" w:rsidRDefault="00CE2A47" w:rsidP="009921F8">
    <w:pPr>
      <w:pStyle w:val="Foote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5061296"/>
      <w:docPartObj>
        <w:docPartGallery w:val="Page Numbers (Bottom of Page)"/>
        <w:docPartUnique/>
      </w:docPartObj>
    </w:sdtPr>
    <w:sdtEndPr>
      <w:rPr>
        <w:noProof/>
      </w:rPr>
    </w:sdtEndPr>
    <w:sdtContent>
      <w:p w:rsidR="00CE2A47" w:rsidRDefault="00426CC0">
        <w:pPr>
          <w:pStyle w:val="Footer"/>
          <w:jc w:val="right"/>
        </w:pPr>
        <w:r>
          <w:fldChar w:fldCharType="begin"/>
        </w:r>
        <w:r w:rsidR="00CE2A47">
          <w:instrText xml:space="preserve"> PAGE   \* MERGEFORMAT </w:instrText>
        </w:r>
        <w:r>
          <w:fldChar w:fldCharType="separate"/>
        </w:r>
        <w:r w:rsidR="00CB322F">
          <w:rPr>
            <w:noProof/>
          </w:rPr>
          <w:t>11</w:t>
        </w:r>
        <w:r>
          <w:rPr>
            <w:noProof/>
          </w:rPr>
          <w:fldChar w:fldCharType="end"/>
        </w:r>
      </w:p>
    </w:sdtContent>
  </w:sdt>
  <w:p w:rsidR="00CE2A47" w:rsidRDefault="00CE2A47" w:rsidP="009921F8">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2D00" w:rsidRDefault="00032D00">
      <w:r>
        <w:separator/>
      </w:r>
    </w:p>
  </w:footnote>
  <w:footnote w:type="continuationSeparator" w:id="0">
    <w:p w:rsidR="00032D00" w:rsidRDefault="00032D00">
      <w:r>
        <w:continuationSeparator/>
      </w:r>
    </w:p>
  </w:footnote>
  <w:footnote w:id="1">
    <w:p w:rsidR="00CE2A47" w:rsidRDefault="00CE2A47" w:rsidP="005C4A6E">
      <w:pPr>
        <w:spacing w:before="100" w:beforeAutospacing="1" w:after="100" w:afterAutospacing="1"/>
        <w:rPr>
          <w:sz w:val="18"/>
          <w:szCs w:val="18"/>
        </w:rPr>
      </w:pPr>
      <w:r>
        <w:rPr>
          <w:rStyle w:val="FootnoteReference"/>
          <w:sz w:val="18"/>
          <w:szCs w:val="18"/>
        </w:rPr>
        <w:footnoteRef/>
      </w:r>
      <w:r>
        <w:rPr>
          <w:sz w:val="18"/>
          <w:szCs w:val="18"/>
        </w:rPr>
        <w:t xml:space="preserve"> </w:t>
      </w:r>
      <w:r>
        <w:rPr>
          <w:color w:val="222222"/>
          <w:sz w:val="18"/>
          <w:szCs w:val="18"/>
        </w:rPr>
        <w:t xml:space="preserve">Napa’s Transportation Future, </w:t>
      </w:r>
      <w:r>
        <w:rPr>
          <w:sz w:val="18"/>
          <w:szCs w:val="18"/>
        </w:rPr>
        <w:t xml:space="preserve">found at </w:t>
      </w:r>
      <w:hyperlink r:id="rId1" w:history="1">
        <w:r>
          <w:rPr>
            <w:rStyle w:val="Hyperlink"/>
            <w:sz w:val="18"/>
            <w:szCs w:val="18"/>
          </w:rPr>
          <w:t>http://www.nctpa.net/pro-pro/pla-stu/trans-future.html on 11/5/</w:t>
        </w:r>
      </w:hyperlink>
      <w:r>
        <w:rPr>
          <w:rStyle w:val="Hyperlink"/>
          <w:sz w:val="18"/>
          <w:szCs w:val="18"/>
        </w:rPr>
        <w:t>12</w:t>
      </w:r>
    </w:p>
  </w:footnote>
  <w:footnote w:id="2">
    <w:p w:rsidR="00CE2A47" w:rsidRDefault="00CE2A47" w:rsidP="00220561">
      <w:pPr>
        <w:pStyle w:val="FootnoteText"/>
      </w:pPr>
      <w:r>
        <w:rPr>
          <w:rStyle w:val="FootnoteReference"/>
        </w:rPr>
        <w:footnoteRef/>
      </w:r>
      <w:r>
        <w:t xml:space="preserve"> HUD defines Very-Low Income as less than 50% of the Area Median Income (AMI) and Low Income as less than 80% AMI. HUD’s calculation is based on a four-person family, with adjustments made for different family sizes. See </w:t>
      </w:r>
      <w:hyperlink r:id="rId2" w:history="1">
        <w:r w:rsidRPr="002F4ACC">
          <w:rPr>
            <w:rStyle w:val="Hyperlink"/>
          </w:rPr>
          <w:t>http://www.huduser.org/portal/datasets/il/fmr98/sect8.html</w:t>
        </w:r>
      </w:hyperlink>
      <w:r>
        <w:t>.</w:t>
      </w:r>
    </w:p>
  </w:footnote>
  <w:footnote w:id="3">
    <w:p w:rsidR="00CE2A47" w:rsidRDefault="00CE2A47" w:rsidP="00BE7D2C">
      <w:pPr>
        <w:pStyle w:val="FootnoteText"/>
        <w:tabs>
          <w:tab w:val="left" w:pos="180"/>
        </w:tabs>
        <w:ind w:left="180" w:hanging="180"/>
      </w:pPr>
      <w:r>
        <w:rPr>
          <w:rStyle w:val="FootnoteReference"/>
        </w:rPr>
        <w:footnoteRef/>
      </w:r>
      <w:r>
        <w:t xml:space="preserve"> </w:t>
      </w:r>
      <w:r>
        <w:tab/>
        <w:t xml:space="preserve">The California Constitution Article 34 Public Housing Project Law Section 1 </w:t>
      </w:r>
      <w:hyperlink r:id="rId3" w:history="1">
        <w:r w:rsidRPr="00E8537C">
          <w:rPr>
            <w:rStyle w:val="Hyperlink"/>
            <w:sz w:val="18"/>
            <w:szCs w:val="18"/>
          </w:rPr>
          <w:t>http://www.leginfo.ca.gov/.const/.article_34</w:t>
        </w:r>
      </w:hyperlink>
      <w:r>
        <w:rPr>
          <w:sz w:val="18"/>
          <w:szCs w:val="18"/>
        </w:rPr>
        <w:t xml:space="preserve"> </w:t>
      </w:r>
    </w:p>
  </w:footnote>
  <w:footnote w:id="4">
    <w:p w:rsidR="00CE2A47" w:rsidRDefault="00CE2A47" w:rsidP="009F0730">
      <w:pPr>
        <w:pStyle w:val="FootnoteText"/>
      </w:pPr>
      <w:r>
        <w:rPr>
          <w:rStyle w:val="FootnoteReference"/>
        </w:rPr>
        <w:footnoteRef/>
      </w:r>
      <w:r>
        <w:t xml:space="preserve"> </w:t>
      </w:r>
      <w:hyperlink r:id="rId4" w:history="1">
        <w:r w:rsidRPr="00E36376">
          <w:rPr>
            <w:rStyle w:val="Hyperlink"/>
          </w:rPr>
          <w:t>http://www.hcd.ca.gov/2012_affordable_housing_cost_study.html</w:t>
        </w:r>
      </w:hyperlink>
    </w:p>
  </w:footnote>
  <w:footnote w:id="5">
    <w:p w:rsidR="00CE2A47" w:rsidRDefault="00CE2A47" w:rsidP="005C734D">
      <w:pPr>
        <w:pStyle w:val="FootnoteText"/>
      </w:pPr>
      <w:r>
        <w:rPr>
          <w:rStyle w:val="FootnoteReference"/>
        </w:rPr>
        <w:footnoteRef/>
      </w:r>
      <w:r>
        <w:t xml:space="preserve"> Sonoma County Measure N Article 34 Housing Unincorporated Area </w:t>
      </w:r>
      <w:hyperlink r:id="rId5" w:history="1">
        <w:r w:rsidRPr="00E8537C">
          <w:rPr>
            <w:rStyle w:val="Hyperlink"/>
            <w:sz w:val="18"/>
            <w:szCs w:val="18"/>
          </w:rPr>
          <w:t>http://www.smartvoter.org/2004/11/02/ca/sn/meas/N/</w:t>
        </w:r>
      </w:hyperlink>
      <w:r>
        <w:rPr>
          <w:sz w:val="18"/>
          <w:szCs w:val="18"/>
        </w:rPr>
        <w:t xml:space="preserve"> </w:t>
      </w:r>
    </w:p>
  </w:footnote>
  <w:footnote w:id="6">
    <w:p w:rsidR="00CE2A47" w:rsidRDefault="00CE2A47" w:rsidP="002B2962">
      <w:pPr>
        <w:pStyle w:val="FootnoteText"/>
      </w:pPr>
      <w:r>
        <w:rPr>
          <w:rStyle w:val="FootnoteReference"/>
        </w:rPr>
        <w:footnoteRef/>
      </w:r>
      <w:r>
        <w:t xml:space="preserve"> </w:t>
      </w:r>
      <w:r w:rsidRPr="00CA18D3">
        <w:rPr>
          <w:sz w:val="18"/>
          <w:szCs w:val="18"/>
        </w:rPr>
        <w:t xml:space="preserve">The California Department of Housing and Community Development defines special needs populations as Disabled Households, agricultural workers, single-parent households, survivors of physical abuse, homeless persons or persons at risk of becoming homeless, chronically ill persons including those with HIV and mental illness, displaced teenage parents (or expectant teenage parents), homeless youth as defined in Government Code section 11139.5, individuals exiting from institutional settings, chronic substance abusers, or other specific groups with unique housing needs as determined by the Department (Section 7301 (r) </w:t>
      </w:r>
      <w:hyperlink r:id="rId6" w:history="1">
        <w:r w:rsidRPr="00CA18D3">
          <w:rPr>
            <w:rStyle w:val="Hyperlink"/>
            <w:sz w:val="18"/>
            <w:szCs w:val="18"/>
          </w:rPr>
          <w:t>http://www.hcd.ca.gov/fa/MHPandSHRegs5_14_05.pdf</w:t>
        </w:r>
      </w:hyperlink>
      <w:r w:rsidRPr="00CA18D3">
        <w:rPr>
          <w:sz w:val="18"/>
          <w:szCs w:val="18"/>
        </w:rPr>
        <w:t>)</w:t>
      </w:r>
    </w:p>
  </w:footnote>
  <w:footnote w:id="7">
    <w:p w:rsidR="00CE2A47" w:rsidRDefault="00CE2A47" w:rsidP="002B2962">
      <w:pPr>
        <w:pStyle w:val="FootnoteText"/>
      </w:pPr>
      <w:r>
        <w:rPr>
          <w:rStyle w:val="FootnoteReference"/>
        </w:rPr>
        <w:footnoteRef/>
      </w:r>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2A47" w:rsidRPr="00BA318D" w:rsidRDefault="00CE2A47" w:rsidP="00BA318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60E83"/>
    <w:multiLevelType w:val="hybridMultilevel"/>
    <w:tmpl w:val="DAD6E4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757F52"/>
    <w:multiLevelType w:val="hybridMultilevel"/>
    <w:tmpl w:val="801AD5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D677AD"/>
    <w:multiLevelType w:val="hybridMultilevel"/>
    <w:tmpl w:val="5F7C82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C683445"/>
    <w:multiLevelType w:val="hybridMultilevel"/>
    <w:tmpl w:val="AEA6CB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E690C8D"/>
    <w:multiLevelType w:val="hybridMultilevel"/>
    <w:tmpl w:val="AFD0475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36E1D85"/>
    <w:multiLevelType w:val="hybridMultilevel"/>
    <w:tmpl w:val="232E04F0"/>
    <w:lvl w:ilvl="0" w:tplc="04090005">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nsid w:val="13F96E9A"/>
    <w:multiLevelType w:val="hybridMultilevel"/>
    <w:tmpl w:val="A5F88F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7072120"/>
    <w:multiLevelType w:val="hybridMultilevel"/>
    <w:tmpl w:val="F3A8129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8CE4BAB"/>
    <w:multiLevelType w:val="hybridMultilevel"/>
    <w:tmpl w:val="9112FB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8CE5C32"/>
    <w:multiLevelType w:val="hybridMultilevel"/>
    <w:tmpl w:val="52F84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3A23800"/>
    <w:multiLevelType w:val="hybridMultilevel"/>
    <w:tmpl w:val="32DC9A2E"/>
    <w:lvl w:ilvl="0" w:tplc="04090017">
      <w:start w:val="1"/>
      <w:numFmt w:val="lowerLetter"/>
      <w:lvlText w:val="%1)"/>
      <w:lvlJc w:val="left"/>
      <w:pPr>
        <w:ind w:left="1080" w:hanging="360"/>
      </w:pPr>
      <w:rPr>
        <w:rFonts w:hint="default"/>
        <w:b w:val="0"/>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2404749D"/>
    <w:multiLevelType w:val="hybridMultilevel"/>
    <w:tmpl w:val="EDB4B8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5973B4C"/>
    <w:multiLevelType w:val="hybridMultilevel"/>
    <w:tmpl w:val="868C17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CD607C02">
      <w:numFmt w:val="bullet"/>
      <w:lvlText w:val="-"/>
      <w:lvlJc w:val="left"/>
      <w:pPr>
        <w:ind w:left="2880" w:hanging="360"/>
      </w:pPr>
      <w:rPr>
        <w:rFonts w:ascii="Times New Roman" w:eastAsia="Times New Roman" w:hAnsi="Times New Roman" w:cs="Times New Roman"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6AF33E4"/>
    <w:multiLevelType w:val="hybridMultilevel"/>
    <w:tmpl w:val="01AA3C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6C47009"/>
    <w:multiLevelType w:val="hybridMultilevel"/>
    <w:tmpl w:val="ED92B370"/>
    <w:lvl w:ilvl="0" w:tplc="40567D4E">
      <w:start w:val="1"/>
      <w:numFmt w:val="decimal"/>
      <w:lvlText w:val="%1."/>
      <w:lvlJc w:val="right"/>
      <w:pPr>
        <w:ind w:left="2214" w:hanging="360"/>
      </w:pPr>
      <w:rPr>
        <w:rFonts w:ascii="Times New Roman" w:eastAsia="Calibri" w:hAnsi="Times New Roman" w:cs="Times New Roman"/>
      </w:rPr>
    </w:lvl>
    <w:lvl w:ilvl="1" w:tplc="04090019" w:tentative="1">
      <w:start w:val="1"/>
      <w:numFmt w:val="lowerLetter"/>
      <w:lvlText w:val="%2."/>
      <w:lvlJc w:val="left"/>
      <w:pPr>
        <w:ind w:left="2934" w:hanging="360"/>
      </w:pPr>
    </w:lvl>
    <w:lvl w:ilvl="2" w:tplc="0409001B" w:tentative="1">
      <w:start w:val="1"/>
      <w:numFmt w:val="lowerRoman"/>
      <w:lvlText w:val="%3."/>
      <w:lvlJc w:val="right"/>
      <w:pPr>
        <w:ind w:left="3654" w:hanging="180"/>
      </w:pPr>
    </w:lvl>
    <w:lvl w:ilvl="3" w:tplc="0409000F" w:tentative="1">
      <w:start w:val="1"/>
      <w:numFmt w:val="decimal"/>
      <w:lvlText w:val="%4."/>
      <w:lvlJc w:val="left"/>
      <w:pPr>
        <w:ind w:left="4374" w:hanging="360"/>
      </w:pPr>
    </w:lvl>
    <w:lvl w:ilvl="4" w:tplc="04090019" w:tentative="1">
      <w:start w:val="1"/>
      <w:numFmt w:val="lowerLetter"/>
      <w:lvlText w:val="%5."/>
      <w:lvlJc w:val="left"/>
      <w:pPr>
        <w:ind w:left="5094" w:hanging="360"/>
      </w:pPr>
    </w:lvl>
    <w:lvl w:ilvl="5" w:tplc="0409001B" w:tentative="1">
      <w:start w:val="1"/>
      <w:numFmt w:val="lowerRoman"/>
      <w:lvlText w:val="%6."/>
      <w:lvlJc w:val="right"/>
      <w:pPr>
        <w:ind w:left="5814" w:hanging="180"/>
      </w:pPr>
    </w:lvl>
    <w:lvl w:ilvl="6" w:tplc="0409000F" w:tentative="1">
      <w:start w:val="1"/>
      <w:numFmt w:val="decimal"/>
      <w:lvlText w:val="%7."/>
      <w:lvlJc w:val="left"/>
      <w:pPr>
        <w:ind w:left="6534" w:hanging="360"/>
      </w:pPr>
    </w:lvl>
    <w:lvl w:ilvl="7" w:tplc="04090019" w:tentative="1">
      <w:start w:val="1"/>
      <w:numFmt w:val="lowerLetter"/>
      <w:lvlText w:val="%8."/>
      <w:lvlJc w:val="left"/>
      <w:pPr>
        <w:ind w:left="7254" w:hanging="360"/>
      </w:pPr>
    </w:lvl>
    <w:lvl w:ilvl="8" w:tplc="0409001B" w:tentative="1">
      <w:start w:val="1"/>
      <w:numFmt w:val="lowerRoman"/>
      <w:lvlText w:val="%9."/>
      <w:lvlJc w:val="right"/>
      <w:pPr>
        <w:ind w:left="7974" w:hanging="180"/>
      </w:pPr>
    </w:lvl>
  </w:abstractNum>
  <w:abstractNum w:abstractNumId="15">
    <w:nsid w:val="2C2D6ED1"/>
    <w:multiLevelType w:val="hybridMultilevel"/>
    <w:tmpl w:val="BC86F714"/>
    <w:lvl w:ilvl="0" w:tplc="D94E3A58">
      <w:start w:val="1"/>
      <w:numFmt w:val="bullet"/>
      <w:pStyle w:val="Heading2"/>
      <w:lvlText w:val=""/>
      <w:lvlJc w:val="left"/>
      <w:pPr>
        <w:tabs>
          <w:tab w:val="num" w:pos="216"/>
        </w:tabs>
        <w:ind w:left="216" w:hanging="216"/>
      </w:pPr>
      <w:rPr>
        <w:rFonts w:ascii="Wingdings" w:hAnsi="Wingdings" w:hint="default"/>
      </w:rPr>
    </w:lvl>
    <w:lvl w:ilvl="1" w:tplc="04090003">
      <w:start w:val="1"/>
      <w:numFmt w:val="bullet"/>
      <w:lvlText w:val="o"/>
      <w:lvlJc w:val="left"/>
      <w:pPr>
        <w:tabs>
          <w:tab w:val="num" w:pos="504"/>
        </w:tabs>
        <w:ind w:left="504" w:hanging="360"/>
      </w:pPr>
      <w:rPr>
        <w:rFonts w:ascii="Courier New" w:hAnsi="Courier New" w:cs="Courier New" w:hint="default"/>
      </w:rPr>
    </w:lvl>
    <w:lvl w:ilvl="2" w:tplc="04090005" w:tentative="1">
      <w:start w:val="1"/>
      <w:numFmt w:val="bullet"/>
      <w:lvlText w:val=""/>
      <w:lvlJc w:val="left"/>
      <w:pPr>
        <w:tabs>
          <w:tab w:val="num" w:pos="1224"/>
        </w:tabs>
        <w:ind w:left="1224" w:hanging="360"/>
      </w:pPr>
      <w:rPr>
        <w:rFonts w:ascii="Wingdings" w:hAnsi="Wingdings" w:hint="default"/>
      </w:rPr>
    </w:lvl>
    <w:lvl w:ilvl="3" w:tplc="04090001" w:tentative="1">
      <w:start w:val="1"/>
      <w:numFmt w:val="bullet"/>
      <w:lvlText w:val=""/>
      <w:lvlJc w:val="left"/>
      <w:pPr>
        <w:tabs>
          <w:tab w:val="num" w:pos="1944"/>
        </w:tabs>
        <w:ind w:left="1944" w:hanging="360"/>
      </w:pPr>
      <w:rPr>
        <w:rFonts w:ascii="Symbol" w:hAnsi="Symbol" w:hint="default"/>
      </w:rPr>
    </w:lvl>
    <w:lvl w:ilvl="4" w:tplc="04090003" w:tentative="1">
      <w:start w:val="1"/>
      <w:numFmt w:val="bullet"/>
      <w:lvlText w:val="o"/>
      <w:lvlJc w:val="left"/>
      <w:pPr>
        <w:tabs>
          <w:tab w:val="num" w:pos="2664"/>
        </w:tabs>
        <w:ind w:left="2664" w:hanging="360"/>
      </w:pPr>
      <w:rPr>
        <w:rFonts w:ascii="Courier New" w:hAnsi="Courier New" w:cs="Courier New" w:hint="default"/>
      </w:rPr>
    </w:lvl>
    <w:lvl w:ilvl="5" w:tplc="04090005" w:tentative="1">
      <w:start w:val="1"/>
      <w:numFmt w:val="bullet"/>
      <w:lvlText w:val=""/>
      <w:lvlJc w:val="left"/>
      <w:pPr>
        <w:tabs>
          <w:tab w:val="num" w:pos="3384"/>
        </w:tabs>
        <w:ind w:left="3384" w:hanging="360"/>
      </w:pPr>
      <w:rPr>
        <w:rFonts w:ascii="Wingdings" w:hAnsi="Wingdings" w:hint="default"/>
      </w:rPr>
    </w:lvl>
    <w:lvl w:ilvl="6" w:tplc="04090001" w:tentative="1">
      <w:start w:val="1"/>
      <w:numFmt w:val="bullet"/>
      <w:lvlText w:val=""/>
      <w:lvlJc w:val="left"/>
      <w:pPr>
        <w:tabs>
          <w:tab w:val="num" w:pos="4104"/>
        </w:tabs>
        <w:ind w:left="4104" w:hanging="360"/>
      </w:pPr>
      <w:rPr>
        <w:rFonts w:ascii="Symbol" w:hAnsi="Symbol" w:hint="default"/>
      </w:rPr>
    </w:lvl>
    <w:lvl w:ilvl="7" w:tplc="04090003" w:tentative="1">
      <w:start w:val="1"/>
      <w:numFmt w:val="bullet"/>
      <w:lvlText w:val="o"/>
      <w:lvlJc w:val="left"/>
      <w:pPr>
        <w:tabs>
          <w:tab w:val="num" w:pos="4824"/>
        </w:tabs>
        <w:ind w:left="4824" w:hanging="360"/>
      </w:pPr>
      <w:rPr>
        <w:rFonts w:ascii="Courier New" w:hAnsi="Courier New" w:cs="Courier New" w:hint="default"/>
      </w:rPr>
    </w:lvl>
    <w:lvl w:ilvl="8" w:tplc="04090005" w:tentative="1">
      <w:start w:val="1"/>
      <w:numFmt w:val="bullet"/>
      <w:lvlText w:val=""/>
      <w:lvlJc w:val="left"/>
      <w:pPr>
        <w:tabs>
          <w:tab w:val="num" w:pos="5544"/>
        </w:tabs>
        <w:ind w:left="5544" w:hanging="360"/>
      </w:pPr>
      <w:rPr>
        <w:rFonts w:ascii="Wingdings" w:hAnsi="Wingdings" w:hint="default"/>
      </w:rPr>
    </w:lvl>
  </w:abstractNum>
  <w:abstractNum w:abstractNumId="16">
    <w:nsid w:val="2DC22694"/>
    <w:multiLevelType w:val="hybridMultilevel"/>
    <w:tmpl w:val="F5CE74BC"/>
    <w:lvl w:ilvl="0" w:tplc="9E34D8F8">
      <w:start w:val="1"/>
      <w:numFmt w:val="bullet"/>
      <w:lvlText w:val=""/>
      <w:lvlJc w:val="left"/>
      <w:pPr>
        <w:tabs>
          <w:tab w:val="num" w:pos="360"/>
        </w:tabs>
        <w:ind w:left="360" w:hanging="360"/>
      </w:pPr>
      <w:rPr>
        <w:rFonts w:ascii="Wingdings" w:hAnsi="Wingdings" w:hint="default"/>
        <w:color w:val="auto"/>
      </w:rPr>
    </w:lvl>
    <w:lvl w:ilvl="1" w:tplc="04090005">
      <w:start w:val="1"/>
      <w:numFmt w:val="bullet"/>
      <w:lvlText w:val=""/>
      <w:lvlJc w:val="left"/>
      <w:pPr>
        <w:tabs>
          <w:tab w:val="num" w:pos="1080"/>
        </w:tabs>
        <w:ind w:left="1080" w:hanging="360"/>
      </w:pPr>
      <w:rPr>
        <w:rFonts w:ascii="Wingdings" w:hAnsi="Wingdings" w:hint="default"/>
        <w:color w:val="auto"/>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
    <w:nsid w:val="36F46202"/>
    <w:multiLevelType w:val="hybridMultilevel"/>
    <w:tmpl w:val="842C32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7F74B84"/>
    <w:multiLevelType w:val="hybridMultilevel"/>
    <w:tmpl w:val="8F6E1B7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C4608D4"/>
    <w:multiLevelType w:val="multilevel"/>
    <w:tmpl w:val="A686E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E701ABC"/>
    <w:multiLevelType w:val="hybridMultilevel"/>
    <w:tmpl w:val="447E15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5F50C96"/>
    <w:multiLevelType w:val="hybridMultilevel"/>
    <w:tmpl w:val="11A2CD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7943EB0"/>
    <w:multiLevelType w:val="hybridMultilevel"/>
    <w:tmpl w:val="895E636C"/>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48023C38"/>
    <w:multiLevelType w:val="hybridMultilevel"/>
    <w:tmpl w:val="FC3AEA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D5C0993"/>
    <w:multiLevelType w:val="hybridMultilevel"/>
    <w:tmpl w:val="0D70EE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F3D22D4"/>
    <w:multiLevelType w:val="hybridMultilevel"/>
    <w:tmpl w:val="8A8EE27A"/>
    <w:lvl w:ilvl="0" w:tplc="9E34D8F8">
      <w:start w:val="1"/>
      <w:numFmt w:val="bullet"/>
      <w:lvlText w:val=""/>
      <w:lvlJc w:val="left"/>
      <w:pPr>
        <w:ind w:left="1440" w:hanging="360"/>
      </w:pPr>
      <w:rPr>
        <w:rFonts w:ascii="Wingdings" w:hAnsi="Wingdings"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501E4468"/>
    <w:multiLevelType w:val="hybridMultilevel"/>
    <w:tmpl w:val="F9106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9572617"/>
    <w:multiLevelType w:val="hybridMultilevel"/>
    <w:tmpl w:val="35F09C7C"/>
    <w:lvl w:ilvl="0" w:tplc="E3305C0C">
      <w:start w:val="1"/>
      <w:numFmt w:val="decimal"/>
      <w:lvlText w:val="%1."/>
      <w:lvlJc w:val="left"/>
      <w:pPr>
        <w:ind w:left="1080" w:hanging="360"/>
      </w:pPr>
      <w:rPr>
        <w:rFonts w:hint="default"/>
        <w:b w:val="0"/>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5EB64558"/>
    <w:multiLevelType w:val="hybridMultilevel"/>
    <w:tmpl w:val="F2FAFF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EB91E9C"/>
    <w:multiLevelType w:val="hybridMultilevel"/>
    <w:tmpl w:val="E8466350"/>
    <w:lvl w:ilvl="0" w:tplc="04090005">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4530DC9"/>
    <w:multiLevelType w:val="hybridMultilevel"/>
    <w:tmpl w:val="2BB89B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B7454BD"/>
    <w:multiLevelType w:val="hybridMultilevel"/>
    <w:tmpl w:val="FB325210"/>
    <w:lvl w:ilvl="0" w:tplc="CEB24038">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7E746F1F"/>
    <w:multiLevelType w:val="hybridMultilevel"/>
    <w:tmpl w:val="7CB25820"/>
    <w:lvl w:ilvl="0" w:tplc="1FA8FB6A">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EC648A0"/>
    <w:multiLevelType w:val="hybridMultilevel"/>
    <w:tmpl w:val="5E78AF94"/>
    <w:lvl w:ilvl="0" w:tplc="B2026F54">
      <w:start w:val="1"/>
      <w:numFmt w:val="decimal"/>
      <w:lvlText w:val="%1."/>
      <w:lvlJc w:val="left"/>
      <w:pPr>
        <w:ind w:left="720" w:hanging="360"/>
      </w:pPr>
      <w:rPr>
        <w:i w:val="0"/>
      </w:rPr>
    </w:lvl>
    <w:lvl w:ilvl="1" w:tplc="04090019">
      <w:start w:val="1"/>
      <w:numFmt w:val="lowerLetter"/>
      <w:lvlText w:val="%2."/>
      <w:lvlJc w:val="left"/>
      <w:pPr>
        <w:ind w:left="1440" w:hanging="360"/>
      </w:pPr>
    </w:lvl>
    <w:lvl w:ilvl="2" w:tplc="6A16330E">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16"/>
  </w:num>
  <w:num w:numId="3">
    <w:abstractNumId w:val="5"/>
  </w:num>
  <w:num w:numId="4">
    <w:abstractNumId w:val="4"/>
  </w:num>
  <w:num w:numId="5">
    <w:abstractNumId w:val="11"/>
  </w:num>
  <w:num w:numId="6">
    <w:abstractNumId w:val="21"/>
  </w:num>
  <w:num w:numId="7">
    <w:abstractNumId w:val="23"/>
  </w:num>
  <w:num w:numId="8">
    <w:abstractNumId w:val="28"/>
  </w:num>
  <w:num w:numId="9">
    <w:abstractNumId w:val="0"/>
  </w:num>
  <w:num w:numId="10">
    <w:abstractNumId w:val="13"/>
  </w:num>
  <w:num w:numId="11">
    <w:abstractNumId w:val="8"/>
  </w:num>
  <w:num w:numId="12">
    <w:abstractNumId w:val="3"/>
  </w:num>
  <w:num w:numId="13">
    <w:abstractNumId w:val="6"/>
  </w:num>
  <w:num w:numId="14">
    <w:abstractNumId w:val="20"/>
  </w:num>
  <w:num w:numId="15">
    <w:abstractNumId w:val="24"/>
  </w:num>
  <w:num w:numId="16">
    <w:abstractNumId w:val="12"/>
  </w:num>
  <w:num w:numId="17">
    <w:abstractNumId w:val="2"/>
  </w:num>
  <w:num w:numId="18">
    <w:abstractNumId w:val="33"/>
  </w:num>
  <w:num w:numId="19">
    <w:abstractNumId w:val="32"/>
  </w:num>
  <w:num w:numId="20">
    <w:abstractNumId w:val="29"/>
  </w:num>
  <w:num w:numId="21">
    <w:abstractNumId w:val="22"/>
  </w:num>
  <w:num w:numId="22">
    <w:abstractNumId w:val="14"/>
  </w:num>
  <w:num w:numId="23">
    <w:abstractNumId w:val="25"/>
  </w:num>
  <w:num w:numId="24">
    <w:abstractNumId w:val="18"/>
  </w:num>
  <w:num w:numId="25">
    <w:abstractNumId w:val="30"/>
  </w:num>
  <w:num w:numId="26">
    <w:abstractNumId w:val="27"/>
  </w:num>
  <w:num w:numId="27">
    <w:abstractNumId w:val="31"/>
  </w:num>
  <w:num w:numId="28">
    <w:abstractNumId w:val="1"/>
  </w:num>
  <w:num w:numId="29">
    <w:abstractNumId w:val="9"/>
  </w:num>
  <w:num w:numId="30">
    <w:abstractNumId w:val="7"/>
  </w:num>
  <w:num w:numId="31">
    <w:abstractNumId w:val="19"/>
  </w:num>
  <w:num w:numId="32">
    <w:abstractNumId w:val="26"/>
  </w:num>
  <w:num w:numId="33">
    <w:abstractNumId w:val="17"/>
  </w:num>
  <w:num w:numId="34">
    <w:abstractNumId w:val="10"/>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6280"/>
    <w:rsid w:val="000002A0"/>
    <w:rsid w:val="00000403"/>
    <w:rsid w:val="0000115B"/>
    <w:rsid w:val="00001CD7"/>
    <w:rsid w:val="00001D07"/>
    <w:rsid w:val="0000264B"/>
    <w:rsid w:val="00002A07"/>
    <w:rsid w:val="00002FB6"/>
    <w:rsid w:val="00003609"/>
    <w:rsid w:val="00003B03"/>
    <w:rsid w:val="00003CCD"/>
    <w:rsid w:val="00003DE4"/>
    <w:rsid w:val="00003FE1"/>
    <w:rsid w:val="00004130"/>
    <w:rsid w:val="00004EC1"/>
    <w:rsid w:val="000054F5"/>
    <w:rsid w:val="000058F2"/>
    <w:rsid w:val="000060FD"/>
    <w:rsid w:val="000061AD"/>
    <w:rsid w:val="000065C9"/>
    <w:rsid w:val="00007471"/>
    <w:rsid w:val="000077DF"/>
    <w:rsid w:val="000079CC"/>
    <w:rsid w:val="00007A4B"/>
    <w:rsid w:val="00007EDD"/>
    <w:rsid w:val="0001051C"/>
    <w:rsid w:val="00010D5E"/>
    <w:rsid w:val="0001383A"/>
    <w:rsid w:val="00013924"/>
    <w:rsid w:val="00013BBB"/>
    <w:rsid w:val="000141A9"/>
    <w:rsid w:val="0001590F"/>
    <w:rsid w:val="00015B51"/>
    <w:rsid w:val="00015B88"/>
    <w:rsid w:val="00015F27"/>
    <w:rsid w:val="00020976"/>
    <w:rsid w:val="00020BC8"/>
    <w:rsid w:val="0002117B"/>
    <w:rsid w:val="000213D2"/>
    <w:rsid w:val="0002170E"/>
    <w:rsid w:val="000227EE"/>
    <w:rsid w:val="00022A45"/>
    <w:rsid w:val="00022D73"/>
    <w:rsid w:val="000236E1"/>
    <w:rsid w:val="00023853"/>
    <w:rsid w:val="00023BBE"/>
    <w:rsid w:val="00024043"/>
    <w:rsid w:val="00024656"/>
    <w:rsid w:val="00024F5C"/>
    <w:rsid w:val="000253DA"/>
    <w:rsid w:val="000253EB"/>
    <w:rsid w:val="00026221"/>
    <w:rsid w:val="00027377"/>
    <w:rsid w:val="00027A97"/>
    <w:rsid w:val="0003040E"/>
    <w:rsid w:val="0003046C"/>
    <w:rsid w:val="00030CBF"/>
    <w:rsid w:val="00030E57"/>
    <w:rsid w:val="00031A70"/>
    <w:rsid w:val="00031F17"/>
    <w:rsid w:val="000324F6"/>
    <w:rsid w:val="0003279D"/>
    <w:rsid w:val="00032D00"/>
    <w:rsid w:val="000336A9"/>
    <w:rsid w:val="00033F7B"/>
    <w:rsid w:val="000351AF"/>
    <w:rsid w:val="000351E5"/>
    <w:rsid w:val="000351EA"/>
    <w:rsid w:val="00035349"/>
    <w:rsid w:val="00035383"/>
    <w:rsid w:val="000353FC"/>
    <w:rsid w:val="00035966"/>
    <w:rsid w:val="00036120"/>
    <w:rsid w:val="00036F90"/>
    <w:rsid w:val="000372F6"/>
    <w:rsid w:val="00037C7D"/>
    <w:rsid w:val="00037FD5"/>
    <w:rsid w:val="00040472"/>
    <w:rsid w:val="000406AA"/>
    <w:rsid w:val="000408E0"/>
    <w:rsid w:val="00042399"/>
    <w:rsid w:val="000426C2"/>
    <w:rsid w:val="000429B5"/>
    <w:rsid w:val="00042BE7"/>
    <w:rsid w:val="00042E85"/>
    <w:rsid w:val="00042FF3"/>
    <w:rsid w:val="00043025"/>
    <w:rsid w:val="000442F2"/>
    <w:rsid w:val="00044400"/>
    <w:rsid w:val="000455CE"/>
    <w:rsid w:val="00045E41"/>
    <w:rsid w:val="000466B1"/>
    <w:rsid w:val="00046AC7"/>
    <w:rsid w:val="00046BCE"/>
    <w:rsid w:val="00046CA8"/>
    <w:rsid w:val="00047236"/>
    <w:rsid w:val="00047373"/>
    <w:rsid w:val="000479B3"/>
    <w:rsid w:val="00050063"/>
    <w:rsid w:val="00050AE1"/>
    <w:rsid w:val="00051004"/>
    <w:rsid w:val="00051854"/>
    <w:rsid w:val="0005260B"/>
    <w:rsid w:val="00052D1A"/>
    <w:rsid w:val="00053303"/>
    <w:rsid w:val="00053717"/>
    <w:rsid w:val="00053E59"/>
    <w:rsid w:val="00054727"/>
    <w:rsid w:val="000553B2"/>
    <w:rsid w:val="00056014"/>
    <w:rsid w:val="00057269"/>
    <w:rsid w:val="000578DD"/>
    <w:rsid w:val="000601E9"/>
    <w:rsid w:val="0006077B"/>
    <w:rsid w:val="000609D0"/>
    <w:rsid w:val="000610E7"/>
    <w:rsid w:val="000616E0"/>
    <w:rsid w:val="00061C40"/>
    <w:rsid w:val="00062738"/>
    <w:rsid w:val="000628DF"/>
    <w:rsid w:val="00062C8A"/>
    <w:rsid w:val="00062D76"/>
    <w:rsid w:val="000633DC"/>
    <w:rsid w:val="000636AD"/>
    <w:rsid w:val="00063B88"/>
    <w:rsid w:val="000650F6"/>
    <w:rsid w:val="000656DC"/>
    <w:rsid w:val="000657C4"/>
    <w:rsid w:val="00065929"/>
    <w:rsid w:val="00066C94"/>
    <w:rsid w:val="00066CBD"/>
    <w:rsid w:val="00070B60"/>
    <w:rsid w:val="00070D04"/>
    <w:rsid w:val="00071080"/>
    <w:rsid w:val="00071D04"/>
    <w:rsid w:val="000720E3"/>
    <w:rsid w:val="000725DE"/>
    <w:rsid w:val="0007263D"/>
    <w:rsid w:val="0007315E"/>
    <w:rsid w:val="000732F5"/>
    <w:rsid w:val="00073B13"/>
    <w:rsid w:val="000740FB"/>
    <w:rsid w:val="00074261"/>
    <w:rsid w:val="00074B89"/>
    <w:rsid w:val="00075829"/>
    <w:rsid w:val="0007595E"/>
    <w:rsid w:val="00075AD7"/>
    <w:rsid w:val="00076241"/>
    <w:rsid w:val="0007625D"/>
    <w:rsid w:val="000765B4"/>
    <w:rsid w:val="00076B67"/>
    <w:rsid w:val="0008043E"/>
    <w:rsid w:val="00080E78"/>
    <w:rsid w:val="00084E40"/>
    <w:rsid w:val="00085FB0"/>
    <w:rsid w:val="0008660A"/>
    <w:rsid w:val="00086D89"/>
    <w:rsid w:val="00087776"/>
    <w:rsid w:val="0008787C"/>
    <w:rsid w:val="00087A24"/>
    <w:rsid w:val="00087BAB"/>
    <w:rsid w:val="00090251"/>
    <w:rsid w:val="0009095A"/>
    <w:rsid w:val="000917ED"/>
    <w:rsid w:val="00091CE8"/>
    <w:rsid w:val="00091D91"/>
    <w:rsid w:val="00092529"/>
    <w:rsid w:val="000927D0"/>
    <w:rsid w:val="00093038"/>
    <w:rsid w:val="00093A25"/>
    <w:rsid w:val="00094357"/>
    <w:rsid w:val="000948F1"/>
    <w:rsid w:val="00094B9D"/>
    <w:rsid w:val="000955B9"/>
    <w:rsid w:val="000965A1"/>
    <w:rsid w:val="00096B12"/>
    <w:rsid w:val="00096F16"/>
    <w:rsid w:val="00097450"/>
    <w:rsid w:val="00097C0B"/>
    <w:rsid w:val="000A0619"/>
    <w:rsid w:val="000A0779"/>
    <w:rsid w:val="000A0A1A"/>
    <w:rsid w:val="000A10D1"/>
    <w:rsid w:val="000A133E"/>
    <w:rsid w:val="000A1A36"/>
    <w:rsid w:val="000A1E7E"/>
    <w:rsid w:val="000A273E"/>
    <w:rsid w:val="000A2FF4"/>
    <w:rsid w:val="000A3430"/>
    <w:rsid w:val="000A4A92"/>
    <w:rsid w:val="000A4C8F"/>
    <w:rsid w:val="000A4F37"/>
    <w:rsid w:val="000A54BC"/>
    <w:rsid w:val="000A6026"/>
    <w:rsid w:val="000A60D9"/>
    <w:rsid w:val="000A6140"/>
    <w:rsid w:val="000A626F"/>
    <w:rsid w:val="000A6687"/>
    <w:rsid w:val="000A6768"/>
    <w:rsid w:val="000A6811"/>
    <w:rsid w:val="000A6BF5"/>
    <w:rsid w:val="000A6D20"/>
    <w:rsid w:val="000A7B02"/>
    <w:rsid w:val="000A7B67"/>
    <w:rsid w:val="000B021C"/>
    <w:rsid w:val="000B0A4C"/>
    <w:rsid w:val="000B13A9"/>
    <w:rsid w:val="000B263E"/>
    <w:rsid w:val="000B2EDF"/>
    <w:rsid w:val="000B48AD"/>
    <w:rsid w:val="000B517B"/>
    <w:rsid w:val="000B5266"/>
    <w:rsid w:val="000B546B"/>
    <w:rsid w:val="000B5584"/>
    <w:rsid w:val="000B568E"/>
    <w:rsid w:val="000B5D78"/>
    <w:rsid w:val="000B5F30"/>
    <w:rsid w:val="000B60B7"/>
    <w:rsid w:val="000B6545"/>
    <w:rsid w:val="000B6B98"/>
    <w:rsid w:val="000B7048"/>
    <w:rsid w:val="000B7485"/>
    <w:rsid w:val="000B78B0"/>
    <w:rsid w:val="000C000F"/>
    <w:rsid w:val="000C05C7"/>
    <w:rsid w:val="000C0BBD"/>
    <w:rsid w:val="000C0C59"/>
    <w:rsid w:val="000C14D1"/>
    <w:rsid w:val="000C27D3"/>
    <w:rsid w:val="000C29A2"/>
    <w:rsid w:val="000C2A88"/>
    <w:rsid w:val="000C35C0"/>
    <w:rsid w:val="000C3A63"/>
    <w:rsid w:val="000C3C04"/>
    <w:rsid w:val="000C404E"/>
    <w:rsid w:val="000C4DD2"/>
    <w:rsid w:val="000C4DE2"/>
    <w:rsid w:val="000C5130"/>
    <w:rsid w:val="000C53A6"/>
    <w:rsid w:val="000C55E4"/>
    <w:rsid w:val="000C5613"/>
    <w:rsid w:val="000C5802"/>
    <w:rsid w:val="000C6237"/>
    <w:rsid w:val="000C624B"/>
    <w:rsid w:val="000C6943"/>
    <w:rsid w:val="000C7D65"/>
    <w:rsid w:val="000C7EB9"/>
    <w:rsid w:val="000D0691"/>
    <w:rsid w:val="000D0ADB"/>
    <w:rsid w:val="000D1274"/>
    <w:rsid w:val="000D159D"/>
    <w:rsid w:val="000D252D"/>
    <w:rsid w:val="000D2A0B"/>
    <w:rsid w:val="000D3532"/>
    <w:rsid w:val="000D3D59"/>
    <w:rsid w:val="000D6366"/>
    <w:rsid w:val="000D658F"/>
    <w:rsid w:val="000D69DB"/>
    <w:rsid w:val="000D7635"/>
    <w:rsid w:val="000D7B0C"/>
    <w:rsid w:val="000E01AE"/>
    <w:rsid w:val="000E1810"/>
    <w:rsid w:val="000E1DF8"/>
    <w:rsid w:val="000E21CD"/>
    <w:rsid w:val="000E2AC0"/>
    <w:rsid w:val="000E2AE1"/>
    <w:rsid w:val="000E2B3F"/>
    <w:rsid w:val="000E33E9"/>
    <w:rsid w:val="000E3621"/>
    <w:rsid w:val="000E3DD1"/>
    <w:rsid w:val="000E49B8"/>
    <w:rsid w:val="000E4FB5"/>
    <w:rsid w:val="000E5B63"/>
    <w:rsid w:val="000E5CCA"/>
    <w:rsid w:val="000E60F4"/>
    <w:rsid w:val="000E6325"/>
    <w:rsid w:val="000E6AD0"/>
    <w:rsid w:val="000E6B83"/>
    <w:rsid w:val="000E71FE"/>
    <w:rsid w:val="000E7B8B"/>
    <w:rsid w:val="000E7FE8"/>
    <w:rsid w:val="000F075F"/>
    <w:rsid w:val="000F087D"/>
    <w:rsid w:val="000F1D53"/>
    <w:rsid w:val="000F1F5B"/>
    <w:rsid w:val="000F2AFE"/>
    <w:rsid w:val="000F2DD3"/>
    <w:rsid w:val="000F2EEE"/>
    <w:rsid w:val="000F32F3"/>
    <w:rsid w:val="000F3A1F"/>
    <w:rsid w:val="000F409B"/>
    <w:rsid w:val="000F4598"/>
    <w:rsid w:val="000F4805"/>
    <w:rsid w:val="000F48E9"/>
    <w:rsid w:val="000F516A"/>
    <w:rsid w:val="000F60A1"/>
    <w:rsid w:val="000F6EEB"/>
    <w:rsid w:val="000F744B"/>
    <w:rsid w:val="000F7FB1"/>
    <w:rsid w:val="00100D0E"/>
    <w:rsid w:val="00101805"/>
    <w:rsid w:val="001024B6"/>
    <w:rsid w:val="001028BF"/>
    <w:rsid w:val="001029B0"/>
    <w:rsid w:val="001031F7"/>
    <w:rsid w:val="0010337A"/>
    <w:rsid w:val="00103596"/>
    <w:rsid w:val="00103A00"/>
    <w:rsid w:val="00103C4D"/>
    <w:rsid w:val="00103E54"/>
    <w:rsid w:val="001043E7"/>
    <w:rsid w:val="00104E5A"/>
    <w:rsid w:val="00105371"/>
    <w:rsid w:val="001058ED"/>
    <w:rsid w:val="00107447"/>
    <w:rsid w:val="00107459"/>
    <w:rsid w:val="001079F2"/>
    <w:rsid w:val="00107CD0"/>
    <w:rsid w:val="00107CD3"/>
    <w:rsid w:val="00110F7E"/>
    <w:rsid w:val="001114E1"/>
    <w:rsid w:val="00111A9D"/>
    <w:rsid w:val="00111DD7"/>
    <w:rsid w:val="00111EFF"/>
    <w:rsid w:val="00112667"/>
    <w:rsid w:val="00112819"/>
    <w:rsid w:val="00113354"/>
    <w:rsid w:val="0011390A"/>
    <w:rsid w:val="00113EB0"/>
    <w:rsid w:val="001142D4"/>
    <w:rsid w:val="00115011"/>
    <w:rsid w:val="00115693"/>
    <w:rsid w:val="00115952"/>
    <w:rsid w:val="00115BD2"/>
    <w:rsid w:val="0011649E"/>
    <w:rsid w:val="00117AA5"/>
    <w:rsid w:val="0012023D"/>
    <w:rsid w:val="001205C4"/>
    <w:rsid w:val="00120A43"/>
    <w:rsid w:val="0012124F"/>
    <w:rsid w:val="001212E4"/>
    <w:rsid w:val="00121F32"/>
    <w:rsid w:val="001228B4"/>
    <w:rsid w:val="00123069"/>
    <w:rsid w:val="001236E4"/>
    <w:rsid w:val="001237A6"/>
    <w:rsid w:val="001237E1"/>
    <w:rsid w:val="00123DDF"/>
    <w:rsid w:val="00123EA9"/>
    <w:rsid w:val="001246AE"/>
    <w:rsid w:val="00125F05"/>
    <w:rsid w:val="0012617D"/>
    <w:rsid w:val="00126537"/>
    <w:rsid w:val="0012688E"/>
    <w:rsid w:val="00126C36"/>
    <w:rsid w:val="00131209"/>
    <w:rsid w:val="001317CD"/>
    <w:rsid w:val="0013191A"/>
    <w:rsid w:val="0013207A"/>
    <w:rsid w:val="0013281E"/>
    <w:rsid w:val="00132B54"/>
    <w:rsid w:val="0013301C"/>
    <w:rsid w:val="0013415D"/>
    <w:rsid w:val="001347B3"/>
    <w:rsid w:val="00134944"/>
    <w:rsid w:val="001364D1"/>
    <w:rsid w:val="0013688E"/>
    <w:rsid w:val="00136DC8"/>
    <w:rsid w:val="0013729E"/>
    <w:rsid w:val="00137A09"/>
    <w:rsid w:val="00140CB9"/>
    <w:rsid w:val="00141E3A"/>
    <w:rsid w:val="00142296"/>
    <w:rsid w:val="00142F30"/>
    <w:rsid w:val="0014398A"/>
    <w:rsid w:val="00143A4C"/>
    <w:rsid w:val="00143DD3"/>
    <w:rsid w:val="00144A33"/>
    <w:rsid w:val="00144DB5"/>
    <w:rsid w:val="00145FBE"/>
    <w:rsid w:val="001464CC"/>
    <w:rsid w:val="00146E11"/>
    <w:rsid w:val="0014729A"/>
    <w:rsid w:val="001473EE"/>
    <w:rsid w:val="001474A0"/>
    <w:rsid w:val="00150648"/>
    <w:rsid w:val="001507EC"/>
    <w:rsid w:val="00150885"/>
    <w:rsid w:val="00150F33"/>
    <w:rsid w:val="00151BF9"/>
    <w:rsid w:val="00151CB1"/>
    <w:rsid w:val="00152437"/>
    <w:rsid w:val="001529FA"/>
    <w:rsid w:val="00154143"/>
    <w:rsid w:val="001568B7"/>
    <w:rsid w:val="00157313"/>
    <w:rsid w:val="00157527"/>
    <w:rsid w:val="00157603"/>
    <w:rsid w:val="00157CEC"/>
    <w:rsid w:val="00157D79"/>
    <w:rsid w:val="00160128"/>
    <w:rsid w:val="0016053A"/>
    <w:rsid w:val="00160687"/>
    <w:rsid w:val="00160D95"/>
    <w:rsid w:val="0016123C"/>
    <w:rsid w:val="00161EB5"/>
    <w:rsid w:val="00162887"/>
    <w:rsid w:val="00163A19"/>
    <w:rsid w:val="00163A9F"/>
    <w:rsid w:val="00163ADB"/>
    <w:rsid w:val="00163D55"/>
    <w:rsid w:val="00163DBE"/>
    <w:rsid w:val="0016403A"/>
    <w:rsid w:val="00164890"/>
    <w:rsid w:val="00164E3D"/>
    <w:rsid w:val="00164F13"/>
    <w:rsid w:val="00164F6C"/>
    <w:rsid w:val="00165588"/>
    <w:rsid w:val="001663C0"/>
    <w:rsid w:val="00166593"/>
    <w:rsid w:val="00166AA7"/>
    <w:rsid w:val="00167069"/>
    <w:rsid w:val="0016732B"/>
    <w:rsid w:val="00167660"/>
    <w:rsid w:val="00167A81"/>
    <w:rsid w:val="00167D06"/>
    <w:rsid w:val="00167FC8"/>
    <w:rsid w:val="0017037F"/>
    <w:rsid w:val="001711DE"/>
    <w:rsid w:val="001712E7"/>
    <w:rsid w:val="0017139C"/>
    <w:rsid w:val="001715FE"/>
    <w:rsid w:val="00171DE2"/>
    <w:rsid w:val="00171E8D"/>
    <w:rsid w:val="00171F91"/>
    <w:rsid w:val="0017220C"/>
    <w:rsid w:val="0017259A"/>
    <w:rsid w:val="00172FE3"/>
    <w:rsid w:val="001737F0"/>
    <w:rsid w:val="001738D4"/>
    <w:rsid w:val="00173AF5"/>
    <w:rsid w:val="0017528F"/>
    <w:rsid w:val="001753BA"/>
    <w:rsid w:val="001759BA"/>
    <w:rsid w:val="001769D3"/>
    <w:rsid w:val="00177A8D"/>
    <w:rsid w:val="00177B04"/>
    <w:rsid w:val="00177C4A"/>
    <w:rsid w:val="00177FA7"/>
    <w:rsid w:val="001811CE"/>
    <w:rsid w:val="00181F6C"/>
    <w:rsid w:val="00182C15"/>
    <w:rsid w:val="00182EED"/>
    <w:rsid w:val="001832BB"/>
    <w:rsid w:val="0018410E"/>
    <w:rsid w:val="001841F4"/>
    <w:rsid w:val="0018514C"/>
    <w:rsid w:val="001861CD"/>
    <w:rsid w:val="00186617"/>
    <w:rsid w:val="00187483"/>
    <w:rsid w:val="001875F2"/>
    <w:rsid w:val="00190253"/>
    <w:rsid w:val="00190849"/>
    <w:rsid w:val="00190D11"/>
    <w:rsid w:val="0019112E"/>
    <w:rsid w:val="00191A6E"/>
    <w:rsid w:val="00192657"/>
    <w:rsid w:val="00192B7E"/>
    <w:rsid w:val="00193207"/>
    <w:rsid w:val="001946F5"/>
    <w:rsid w:val="00194AA1"/>
    <w:rsid w:val="00195152"/>
    <w:rsid w:val="001951E8"/>
    <w:rsid w:val="0019530D"/>
    <w:rsid w:val="001956B7"/>
    <w:rsid w:val="00196075"/>
    <w:rsid w:val="001960BD"/>
    <w:rsid w:val="00196856"/>
    <w:rsid w:val="0019685F"/>
    <w:rsid w:val="00197BB5"/>
    <w:rsid w:val="00197DAB"/>
    <w:rsid w:val="001A032B"/>
    <w:rsid w:val="001A1DE5"/>
    <w:rsid w:val="001A1FE5"/>
    <w:rsid w:val="001A22C1"/>
    <w:rsid w:val="001A25C4"/>
    <w:rsid w:val="001A3398"/>
    <w:rsid w:val="001A36CC"/>
    <w:rsid w:val="001A372A"/>
    <w:rsid w:val="001A43D7"/>
    <w:rsid w:val="001A4C46"/>
    <w:rsid w:val="001A5C6B"/>
    <w:rsid w:val="001A6170"/>
    <w:rsid w:val="001A6EC4"/>
    <w:rsid w:val="001A714A"/>
    <w:rsid w:val="001A729C"/>
    <w:rsid w:val="001A7479"/>
    <w:rsid w:val="001B042F"/>
    <w:rsid w:val="001B06FE"/>
    <w:rsid w:val="001B07A2"/>
    <w:rsid w:val="001B0E1C"/>
    <w:rsid w:val="001B0F8F"/>
    <w:rsid w:val="001B10BE"/>
    <w:rsid w:val="001B1C54"/>
    <w:rsid w:val="001B2114"/>
    <w:rsid w:val="001B249E"/>
    <w:rsid w:val="001B2536"/>
    <w:rsid w:val="001B3133"/>
    <w:rsid w:val="001B4BDD"/>
    <w:rsid w:val="001B4F6C"/>
    <w:rsid w:val="001B5CEA"/>
    <w:rsid w:val="001B65DE"/>
    <w:rsid w:val="001B6708"/>
    <w:rsid w:val="001B6A18"/>
    <w:rsid w:val="001B6FCC"/>
    <w:rsid w:val="001B71AC"/>
    <w:rsid w:val="001C0FC6"/>
    <w:rsid w:val="001C118F"/>
    <w:rsid w:val="001C1F11"/>
    <w:rsid w:val="001C2A8B"/>
    <w:rsid w:val="001C2C9C"/>
    <w:rsid w:val="001C3709"/>
    <w:rsid w:val="001C3984"/>
    <w:rsid w:val="001C3CBF"/>
    <w:rsid w:val="001C41D0"/>
    <w:rsid w:val="001C4715"/>
    <w:rsid w:val="001C4D79"/>
    <w:rsid w:val="001C5140"/>
    <w:rsid w:val="001C524E"/>
    <w:rsid w:val="001C5D0F"/>
    <w:rsid w:val="001C645E"/>
    <w:rsid w:val="001C649F"/>
    <w:rsid w:val="001C7682"/>
    <w:rsid w:val="001D0444"/>
    <w:rsid w:val="001D0F0E"/>
    <w:rsid w:val="001D115C"/>
    <w:rsid w:val="001D136F"/>
    <w:rsid w:val="001D16D9"/>
    <w:rsid w:val="001D178F"/>
    <w:rsid w:val="001D1E9F"/>
    <w:rsid w:val="001D2E11"/>
    <w:rsid w:val="001D3240"/>
    <w:rsid w:val="001D3833"/>
    <w:rsid w:val="001D4F05"/>
    <w:rsid w:val="001D597A"/>
    <w:rsid w:val="001D7921"/>
    <w:rsid w:val="001D7E1F"/>
    <w:rsid w:val="001D7FFB"/>
    <w:rsid w:val="001E01E0"/>
    <w:rsid w:val="001E0C7D"/>
    <w:rsid w:val="001E0C82"/>
    <w:rsid w:val="001E165E"/>
    <w:rsid w:val="001E1A4D"/>
    <w:rsid w:val="001E1D18"/>
    <w:rsid w:val="001E2D3D"/>
    <w:rsid w:val="001E2D3F"/>
    <w:rsid w:val="001E2F7C"/>
    <w:rsid w:val="001E2FE6"/>
    <w:rsid w:val="001E3ACA"/>
    <w:rsid w:val="001E44A0"/>
    <w:rsid w:val="001E49FC"/>
    <w:rsid w:val="001E4DC1"/>
    <w:rsid w:val="001E4EEC"/>
    <w:rsid w:val="001E5657"/>
    <w:rsid w:val="001E593B"/>
    <w:rsid w:val="001E6041"/>
    <w:rsid w:val="001E61BD"/>
    <w:rsid w:val="001E6273"/>
    <w:rsid w:val="001E6732"/>
    <w:rsid w:val="001E6750"/>
    <w:rsid w:val="001E6ACB"/>
    <w:rsid w:val="001E72B1"/>
    <w:rsid w:val="001E73FB"/>
    <w:rsid w:val="001E7459"/>
    <w:rsid w:val="001E7780"/>
    <w:rsid w:val="001E7837"/>
    <w:rsid w:val="001F0902"/>
    <w:rsid w:val="001F0BF3"/>
    <w:rsid w:val="001F1179"/>
    <w:rsid w:val="001F14CD"/>
    <w:rsid w:val="001F19DE"/>
    <w:rsid w:val="001F1AAE"/>
    <w:rsid w:val="001F2A89"/>
    <w:rsid w:val="001F2A9D"/>
    <w:rsid w:val="001F31A5"/>
    <w:rsid w:val="001F32E7"/>
    <w:rsid w:val="001F3328"/>
    <w:rsid w:val="001F3D78"/>
    <w:rsid w:val="001F4301"/>
    <w:rsid w:val="001F4810"/>
    <w:rsid w:val="001F49A9"/>
    <w:rsid w:val="001F4A83"/>
    <w:rsid w:val="001F4BA5"/>
    <w:rsid w:val="001F52EC"/>
    <w:rsid w:val="001F5795"/>
    <w:rsid w:val="001F66C2"/>
    <w:rsid w:val="001F7BBB"/>
    <w:rsid w:val="001F7FA7"/>
    <w:rsid w:val="002002D1"/>
    <w:rsid w:val="002002D9"/>
    <w:rsid w:val="00201CC2"/>
    <w:rsid w:val="00202163"/>
    <w:rsid w:val="00202300"/>
    <w:rsid w:val="0020314D"/>
    <w:rsid w:val="0020325A"/>
    <w:rsid w:val="00203358"/>
    <w:rsid w:val="00203797"/>
    <w:rsid w:val="002039A5"/>
    <w:rsid w:val="00203E2E"/>
    <w:rsid w:val="00204B1D"/>
    <w:rsid w:val="002105DD"/>
    <w:rsid w:val="00210C2D"/>
    <w:rsid w:val="002118EA"/>
    <w:rsid w:val="002123D1"/>
    <w:rsid w:val="0021279C"/>
    <w:rsid w:val="00212B52"/>
    <w:rsid w:val="0021303E"/>
    <w:rsid w:val="00213390"/>
    <w:rsid w:val="0021385C"/>
    <w:rsid w:val="00214A8F"/>
    <w:rsid w:val="00215691"/>
    <w:rsid w:val="00215B60"/>
    <w:rsid w:val="00215E1F"/>
    <w:rsid w:val="00215E80"/>
    <w:rsid w:val="002161EA"/>
    <w:rsid w:val="00216355"/>
    <w:rsid w:val="00216C23"/>
    <w:rsid w:val="00217561"/>
    <w:rsid w:val="00217CB4"/>
    <w:rsid w:val="00217CCA"/>
    <w:rsid w:val="00217E57"/>
    <w:rsid w:val="00220561"/>
    <w:rsid w:val="0022058D"/>
    <w:rsid w:val="00220A01"/>
    <w:rsid w:val="0022124D"/>
    <w:rsid w:val="002218AB"/>
    <w:rsid w:val="00222401"/>
    <w:rsid w:val="00222671"/>
    <w:rsid w:val="002227AA"/>
    <w:rsid w:val="002233E6"/>
    <w:rsid w:val="00223652"/>
    <w:rsid w:val="002236CC"/>
    <w:rsid w:val="0022378A"/>
    <w:rsid w:val="00225E3C"/>
    <w:rsid w:val="0023243B"/>
    <w:rsid w:val="00232E8C"/>
    <w:rsid w:val="002338E9"/>
    <w:rsid w:val="0023397F"/>
    <w:rsid w:val="002339CF"/>
    <w:rsid w:val="00233C10"/>
    <w:rsid w:val="00233DB5"/>
    <w:rsid w:val="002344EC"/>
    <w:rsid w:val="0023457C"/>
    <w:rsid w:val="002345DD"/>
    <w:rsid w:val="002348D6"/>
    <w:rsid w:val="00234BA4"/>
    <w:rsid w:val="002353ED"/>
    <w:rsid w:val="00235408"/>
    <w:rsid w:val="00235DEC"/>
    <w:rsid w:val="00235E61"/>
    <w:rsid w:val="00236688"/>
    <w:rsid w:val="002366E1"/>
    <w:rsid w:val="00236834"/>
    <w:rsid w:val="00237392"/>
    <w:rsid w:val="00237A22"/>
    <w:rsid w:val="00240240"/>
    <w:rsid w:val="002428D5"/>
    <w:rsid w:val="00242BC3"/>
    <w:rsid w:val="00243C65"/>
    <w:rsid w:val="00244A37"/>
    <w:rsid w:val="0024520B"/>
    <w:rsid w:val="0024556E"/>
    <w:rsid w:val="00245A57"/>
    <w:rsid w:val="00245D85"/>
    <w:rsid w:val="00247230"/>
    <w:rsid w:val="00247AE4"/>
    <w:rsid w:val="00250023"/>
    <w:rsid w:val="00250793"/>
    <w:rsid w:val="00250ACB"/>
    <w:rsid w:val="002511B4"/>
    <w:rsid w:val="00251268"/>
    <w:rsid w:val="002513C5"/>
    <w:rsid w:val="00251BBF"/>
    <w:rsid w:val="00252218"/>
    <w:rsid w:val="0025247A"/>
    <w:rsid w:val="0025262C"/>
    <w:rsid w:val="00252676"/>
    <w:rsid w:val="00252EBD"/>
    <w:rsid w:val="0025352F"/>
    <w:rsid w:val="0025422B"/>
    <w:rsid w:val="00254A2C"/>
    <w:rsid w:val="0025617B"/>
    <w:rsid w:val="0025630D"/>
    <w:rsid w:val="00256383"/>
    <w:rsid w:val="00257493"/>
    <w:rsid w:val="002574CD"/>
    <w:rsid w:val="00257885"/>
    <w:rsid w:val="00257E5D"/>
    <w:rsid w:val="00261A05"/>
    <w:rsid w:val="00262451"/>
    <w:rsid w:val="002624D1"/>
    <w:rsid w:val="002629E3"/>
    <w:rsid w:val="002631CF"/>
    <w:rsid w:val="0026367A"/>
    <w:rsid w:val="00264B98"/>
    <w:rsid w:val="00264DF3"/>
    <w:rsid w:val="0026623C"/>
    <w:rsid w:val="00267217"/>
    <w:rsid w:val="00267DCE"/>
    <w:rsid w:val="00270116"/>
    <w:rsid w:val="00270E8C"/>
    <w:rsid w:val="00270F0E"/>
    <w:rsid w:val="002714C0"/>
    <w:rsid w:val="00271566"/>
    <w:rsid w:val="0027237B"/>
    <w:rsid w:val="00272968"/>
    <w:rsid w:val="00272991"/>
    <w:rsid w:val="00272A68"/>
    <w:rsid w:val="002730D5"/>
    <w:rsid w:val="00273FEB"/>
    <w:rsid w:val="002744B1"/>
    <w:rsid w:val="00274E37"/>
    <w:rsid w:val="00274FCD"/>
    <w:rsid w:val="002750E3"/>
    <w:rsid w:val="00275C2C"/>
    <w:rsid w:val="00276DF6"/>
    <w:rsid w:val="0027714D"/>
    <w:rsid w:val="00277542"/>
    <w:rsid w:val="00277685"/>
    <w:rsid w:val="002779AE"/>
    <w:rsid w:val="002779C5"/>
    <w:rsid w:val="00277E57"/>
    <w:rsid w:val="00280C03"/>
    <w:rsid w:val="00281130"/>
    <w:rsid w:val="00281DEA"/>
    <w:rsid w:val="00282B61"/>
    <w:rsid w:val="002831EA"/>
    <w:rsid w:val="00283278"/>
    <w:rsid w:val="002839D5"/>
    <w:rsid w:val="00284013"/>
    <w:rsid w:val="00284840"/>
    <w:rsid w:val="00284EC9"/>
    <w:rsid w:val="002867FE"/>
    <w:rsid w:val="0028683E"/>
    <w:rsid w:val="0028765B"/>
    <w:rsid w:val="002876D0"/>
    <w:rsid w:val="002876E6"/>
    <w:rsid w:val="00290226"/>
    <w:rsid w:val="002913D9"/>
    <w:rsid w:val="00291483"/>
    <w:rsid w:val="00291702"/>
    <w:rsid w:val="00291E6C"/>
    <w:rsid w:val="0029298F"/>
    <w:rsid w:val="00292B2F"/>
    <w:rsid w:val="0029429A"/>
    <w:rsid w:val="002945C5"/>
    <w:rsid w:val="002948D4"/>
    <w:rsid w:val="00294974"/>
    <w:rsid w:val="00295163"/>
    <w:rsid w:val="002951E2"/>
    <w:rsid w:val="0029595D"/>
    <w:rsid w:val="002964F2"/>
    <w:rsid w:val="00296A99"/>
    <w:rsid w:val="00296BE1"/>
    <w:rsid w:val="00296DB9"/>
    <w:rsid w:val="00296E74"/>
    <w:rsid w:val="002A0048"/>
    <w:rsid w:val="002A01F8"/>
    <w:rsid w:val="002A097A"/>
    <w:rsid w:val="002A0F5D"/>
    <w:rsid w:val="002A11B4"/>
    <w:rsid w:val="002A21A6"/>
    <w:rsid w:val="002A23B7"/>
    <w:rsid w:val="002A3002"/>
    <w:rsid w:val="002A3166"/>
    <w:rsid w:val="002A39F1"/>
    <w:rsid w:val="002A3A80"/>
    <w:rsid w:val="002A5129"/>
    <w:rsid w:val="002A6131"/>
    <w:rsid w:val="002A6E2B"/>
    <w:rsid w:val="002A7A73"/>
    <w:rsid w:val="002B0B35"/>
    <w:rsid w:val="002B1AD3"/>
    <w:rsid w:val="002B1F05"/>
    <w:rsid w:val="002B20CF"/>
    <w:rsid w:val="002B2134"/>
    <w:rsid w:val="002B2962"/>
    <w:rsid w:val="002B2A44"/>
    <w:rsid w:val="002B2CA5"/>
    <w:rsid w:val="002B3597"/>
    <w:rsid w:val="002B39E2"/>
    <w:rsid w:val="002B3ABE"/>
    <w:rsid w:val="002B43F1"/>
    <w:rsid w:val="002B44E1"/>
    <w:rsid w:val="002B47C2"/>
    <w:rsid w:val="002B4A61"/>
    <w:rsid w:val="002B5149"/>
    <w:rsid w:val="002B62EB"/>
    <w:rsid w:val="002B6439"/>
    <w:rsid w:val="002B696F"/>
    <w:rsid w:val="002B7551"/>
    <w:rsid w:val="002B765C"/>
    <w:rsid w:val="002B793F"/>
    <w:rsid w:val="002B7FF6"/>
    <w:rsid w:val="002C009C"/>
    <w:rsid w:val="002C03C1"/>
    <w:rsid w:val="002C06ED"/>
    <w:rsid w:val="002C08AA"/>
    <w:rsid w:val="002C1E77"/>
    <w:rsid w:val="002C20F8"/>
    <w:rsid w:val="002C2371"/>
    <w:rsid w:val="002C29E1"/>
    <w:rsid w:val="002C2BCD"/>
    <w:rsid w:val="002C324A"/>
    <w:rsid w:val="002C3DAC"/>
    <w:rsid w:val="002C3DBD"/>
    <w:rsid w:val="002C4ED2"/>
    <w:rsid w:val="002C5A5A"/>
    <w:rsid w:val="002C7C97"/>
    <w:rsid w:val="002C7F53"/>
    <w:rsid w:val="002D03C8"/>
    <w:rsid w:val="002D1184"/>
    <w:rsid w:val="002D22FA"/>
    <w:rsid w:val="002D2776"/>
    <w:rsid w:val="002D29E5"/>
    <w:rsid w:val="002D2C26"/>
    <w:rsid w:val="002D3857"/>
    <w:rsid w:val="002D4054"/>
    <w:rsid w:val="002D4221"/>
    <w:rsid w:val="002D4321"/>
    <w:rsid w:val="002D443C"/>
    <w:rsid w:val="002D4D42"/>
    <w:rsid w:val="002D56C7"/>
    <w:rsid w:val="002D5C04"/>
    <w:rsid w:val="002D641E"/>
    <w:rsid w:val="002D659E"/>
    <w:rsid w:val="002D6628"/>
    <w:rsid w:val="002D6BB0"/>
    <w:rsid w:val="002D7177"/>
    <w:rsid w:val="002D7422"/>
    <w:rsid w:val="002D7514"/>
    <w:rsid w:val="002D7625"/>
    <w:rsid w:val="002D7B45"/>
    <w:rsid w:val="002D7C43"/>
    <w:rsid w:val="002E0DF3"/>
    <w:rsid w:val="002E0FCA"/>
    <w:rsid w:val="002E1A8F"/>
    <w:rsid w:val="002E2449"/>
    <w:rsid w:val="002E2B73"/>
    <w:rsid w:val="002E3184"/>
    <w:rsid w:val="002E340F"/>
    <w:rsid w:val="002E3819"/>
    <w:rsid w:val="002E3C03"/>
    <w:rsid w:val="002E4952"/>
    <w:rsid w:val="002E49E7"/>
    <w:rsid w:val="002E5772"/>
    <w:rsid w:val="002E5DE7"/>
    <w:rsid w:val="002E6E92"/>
    <w:rsid w:val="002E73AA"/>
    <w:rsid w:val="002F02BC"/>
    <w:rsid w:val="002F0637"/>
    <w:rsid w:val="002F0C49"/>
    <w:rsid w:val="002F1175"/>
    <w:rsid w:val="002F1732"/>
    <w:rsid w:val="002F1BA5"/>
    <w:rsid w:val="002F1C06"/>
    <w:rsid w:val="002F23BF"/>
    <w:rsid w:val="002F27B6"/>
    <w:rsid w:val="002F2CC7"/>
    <w:rsid w:val="002F3826"/>
    <w:rsid w:val="002F3C79"/>
    <w:rsid w:val="002F4B63"/>
    <w:rsid w:val="002F53F6"/>
    <w:rsid w:val="002F5606"/>
    <w:rsid w:val="002F586E"/>
    <w:rsid w:val="002F5A0D"/>
    <w:rsid w:val="002F71B1"/>
    <w:rsid w:val="002F7457"/>
    <w:rsid w:val="00300036"/>
    <w:rsid w:val="00300C00"/>
    <w:rsid w:val="00300D3D"/>
    <w:rsid w:val="00301647"/>
    <w:rsid w:val="00301726"/>
    <w:rsid w:val="00301819"/>
    <w:rsid w:val="00303723"/>
    <w:rsid w:val="00303CBB"/>
    <w:rsid w:val="00303E73"/>
    <w:rsid w:val="003041C1"/>
    <w:rsid w:val="00304AA3"/>
    <w:rsid w:val="003054E2"/>
    <w:rsid w:val="00305EB8"/>
    <w:rsid w:val="003067FD"/>
    <w:rsid w:val="003069C1"/>
    <w:rsid w:val="00306A84"/>
    <w:rsid w:val="00306DD1"/>
    <w:rsid w:val="003076B1"/>
    <w:rsid w:val="00310C4A"/>
    <w:rsid w:val="003111A7"/>
    <w:rsid w:val="003115B2"/>
    <w:rsid w:val="00311BEF"/>
    <w:rsid w:val="00311C38"/>
    <w:rsid w:val="00311DD6"/>
    <w:rsid w:val="00312398"/>
    <w:rsid w:val="00313046"/>
    <w:rsid w:val="003133AC"/>
    <w:rsid w:val="003134DD"/>
    <w:rsid w:val="00313738"/>
    <w:rsid w:val="00314A43"/>
    <w:rsid w:val="00315174"/>
    <w:rsid w:val="003154DD"/>
    <w:rsid w:val="00317A67"/>
    <w:rsid w:val="0032005F"/>
    <w:rsid w:val="0032027E"/>
    <w:rsid w:val="003215FC"/>
    <w:rsid w:val="00321B97"/>
    <w:rsid w:val="00322D8B"/>
    <w:rsid w:val="00323174"/>
    <w:rsid w:val="00324551"/>
    <w:rsid w:val="00324786"/>
    <w:rsid w:val="00324CCA"/>
    <w:rsid w:val="00325136"/>
    <w:rsid w:val="0032551E"/>
    <w:rsid w:val="0032731D"/>
    <w:rsid w:val="00327E2B"/>
    <w:rsid w:val="003305D3"/>
    <w:rsid w:val="00330678"/>
    <w:rsid w:val="003313B4"/>
    <w:rsid w:val="00331D76"/>
    <w:rsid w:val="00332123"/>
    <w:rsid w:val="00332817"/>
    <w:rsid w:val="00332BCE"/>
    <w:rsid w:val="003331C2"/>
    <w:rsid w:val="00334D38"/>
    <w:rsid w:val="00335338"/>
    <w:rsid w:val="003353EC"/>
    <w:rsid w:val="00335684"/>
    <w:rsid w:val="00336BF6"/>
    <w:rsid w:val="00337A63"/>
    <w:rsid w:val="00337AD9"/>
    <w:rsid w:val="00337CCA"/>
    <w:rsid w:val="0034133D"/>
    <w:rsid w:val="00341E90"/>
    <w:rsid w:val="003423CD"/>
    <w:rsid w:val="00342816"/>
    <w:rsid w:val="00342AD0"/>
    <w:rsid w:val="00342F91"/>
    <w:rsid w:val="00343483"/>
    <w:rsid w:val="00343ED9"/>
    <w:rsid w:val="003440F0"/>
    <w:rsid w:val="00344E5B"/>
    <w:rsid w:val="00344E9D"/>
    <w:rsid w:val="00345476"/>
    <w:rsid w:val="0034580F"/>
    <w:rsid w:val="00345CB5"/>
    <w:rsid w:val="003465F5"/>
    <w:rsid w:val="00346A53"/>
    <w:rsid w:val="00347438"/>
    <w:rsid w:val="003474F7"/>
    <w:rsid w:val="00347DF0"/>
    <w:rsid w:val="003504E4"/>
    <w:rsid w:val="00350913"/>
    <w:rsid w:val="00350A16"/>
    <w:rsid w:val="00350ECD"/>
    <w:rsid w:val="003516B8"/>
    <w:rsid w:val="003519A8"/>
    <w:rsid w:val="00351F85"/>
    <w:rsid w:val="0035217B"/>
    <w:rsid w:val="00352912"/>
    <w:rsid w:val="00352D77"/>
    <w:rsid w:val="00353508"/>
    <w:rsid w:val="00354405"/>
    <w:rsid w:val="003553B7"/>
    <w:rsid w:val="00355E37"/>
    <w:rsid w:val="00357857"/>
    <w:rsid w:val="003579B6"/>
    <w:rsid w:val="00357BB2"/>
    <w:rsid w:val="00357CF3"/>
    <w:rsid w:val="00357FC0"/>
    <w:rsid w:val="0036077B"/>
    <w:rsid w:val="0036151D"/>
    <w:rsid w:val="00361556"/>
    <w:rsid w:val="00362061"/>
    <w:rsid w:val="00362216"/>
    <w:rsid w:val="003623A9"/>
    <w:rsid w:val="003632AD"/>
    <w:rsid w:val="003635D2"/>
    <w:rsid w:val="003635F7"/>
    <w:rsid w:val="0036471D"/>
    <w:rsid w:val="00365DFA"/>
    <w:rsid w:val="00365FF2"/>
    <w:rsid w:val="00366042"/>
    <w:rsid w:val="00366ACF"/>
    <w:rsid w:val="00366B85"/>
    <w:rsid w:val="00367B37"/>
    <w:rsid w:val="00370333"/>
    <w:rsid w:val="003714AA"/>
    <w:rsid w:val="003715A4"/>
    <w:rsid w:val="003718A3"/>
    <w:rsid w:val="00372AFF"/>
    <w:rsid w:val="00373B6B"/>
    <w:rsid w:val="00374D95"/>
    <w:rsid w:val="00374DC3"/>
    <w:rsid w:val="0037528B"/>
    <w:rsid w:val="003752E9"/>
    <w:rsid w:val="003753AE"/>
    <w:rsid w:val="00375BEC"/>
    <w:rsid w:val="00376680"/>
    <w:rsid w:val="00376E08"/>
    <w:rsid w:val="003776D6"/>
    <w:rsid w:val="003777C4"/>
    <w:rsid w:val="00380178"/>
    <w:rsid w:val="0038050A"/>
    <w:rsid w:val="003806E7"/>
    <w:rsid w:val="00380819"/>
    <w:rsid w:val="00380C70"/>
    <w:rsid w:val="0038320C"/>
    <w:rsid w:val="00383472"/>
    <w:rsid w:val="003839D5"/>
    <w:rsid w:val="00383D4D"/>
    <w:rsid w:val="003847CB"/>
    <w:rsid w:val="003849DF"/>
    <w:rsid w:val="00384E22"/>
    <w:rsid w:val="00385479"/>
    <w:rsid w:val="003856F7"/>
    <w:rsid w:val="00386BE1"/>
    <w:rsid w:val="00386FE9"/>
    <w:rsid w:val="00390852"/>
    <w:rsid w:val="00391415"/>
    <w:rsid w:val="0039144D"/>
    <w:rsid w:val="00391BB0"/>
    <w:rsid w:val="00393A08"/>
    <w:rsid w:val="00394EFB"/>
    <w:rsid w:val="00394FDB"/>
    <w:rsid w:val="003959B8"/>
    <w:rsid w:val="00395B60"/>
    <w:rsid w:val="003964B7"/>
    <w:rsid w:val="00396FF7"/>
    <w:rsid w:val="00397383"/>
    <w:rsid w:val="00397494"/>
    <w:rsid w:val="00397C1C"/>
    <w:rsid w:val="00397D2D"/>
    <w:rsid w:val="003A0987"/>
    <w:rsid w:val="003A0DFA"/>
    <w:rsid w:val="003A1239"/>
    <w:rsid w:val="003A1757"/>
    <w:rsid w:val="003A23A3"/>
    <w:rsid w:val="003A3885"/>
    <w:rsid w:val="003A3CFC"/>
    <w:rsid w:val="003A432B"/>
    <w:rsid w:val="003A5678"/>
    <w:rsid w:val="003A5DB8"/>
    <w:rsid w:val="003A63D7"/>
    <w:rsid w:val="003A66DE"/>
    <w:rsid w:val="003A6C7D"/>
    <w:rsid w:val="003A7020"/>
    <w:rsid w:val="003A79D5"/>
    <w:rsid w:val="003A7F9C"/>
    <w:rsid w:val="003B0089"/>
    <w:rsid w:val="003B0401"/>
    <w:rsid w:val="003B045B"/>
    <w:rsid w:val="003B04E1"/>
    <w:rsid w:val="003B1F12"/>
    <w:rsid w:val="003B2132"/>
    <w:rsid w:val="003B2E32"/>
    <w:rsid w:val="003B3B30"/>
    <w:rsid w:val="003B3DB2"/>
    <w:rsid w:val="003B4EE4"/>
    <w:rsid w:val="003B50F0"/>
    <w:rsid w:val="003B539A"/>
    <w:rsid w:val="003B5697"/>
    <w:rsid w:val="003B5934"/>
    <w:rsid w:val="003B5C25"/>
    <w:rsid w:val="003B6506"/>
    <w:rsid w:val="003B7566"/>
    <w:rsid w:val="003B7B12"/>
    <w:rsid w:val="003B7BD0"/>
    <w:rsid w:val="003C0027"/>
    <w:rsid w:val="003C08D8"/>
    <w:rsid w:val="003C0F44"/>
    <w:rsid w:val="003C117C"/>
    <w:rsid w:val="003C2AF6"/>
    <w:rsid w:val="003C2DB3"/>
    <w:rsid w:val="003C3AFE"/>
    <w:rsid w:val="003C3D53"/>
    <w:rsid w:val="003C3D6B"/>
    <w:rsid w:val="003C3F06"/>
    <w:rsid w:val="003C3F15"/>
    <w:rsid w:val="003C3FC8"/>
    <w:rsid w:val="003C42EB"/>
    <w:rsid w:val="003C4F70"/>
    <w:rsid w:val="003C509C"/>
    <w:rsid w:val="003C5193"/>
    <w:rsid w:val="003C5BC0"/>
    <w:rsid w:val="003C6526"/>
    <w:rsid w:val="003C6B9D"/>
    <w:rsid w:val="003C6C6A"/>
    <w:rsid w:val="003C6CBF"/>
    <w:rsid w:val="003C6F85"/>
    <w:rsid w:val="003C72E7"/>
    <w:rsid w:val="003C73DE"/>
    <w:rsid w:val="003C7519"/>
    <w:rsid w:val="003C7D37"/>
    <w:rsid w:val="003C7DA5"/>
    <w:rsid w:val="003D0418"/>
    <w:rsid w:val="003D27F0"/>
    <w:rsid w:val="003D301D"/>
    <w:rsid w:val="003D4D6B"/>
    <w:rsid w:val="003D5E6F"/>
    <w:rsid w:val="003D6954"/>
    <w:rsid w:val="003D6BFC"/>
    <w:rsid w:val="003D6DE9"/>
    <w:rsid w:val="003D7DD6"/>
    <w:rsid w:val="003E0580"/>
    <w:rsid w:val="003E0652"/>
    <w:rsid w:val="003E0E82"/>
    <w:rsid w:val="003E124B"/>
    <w:rsid w:val="003E149B"/>
    <w:rsid w:val="003E1644"/>
    <w:rsid w:val="003E2C71"/>
    <w:rsid w:val="003E3DA7"/>
    <w:rsid w:val="003E4877"/>
    <w:rsid w:val="003E4A44"/>
    <w:rsid w:val="003E5568"/>
    <w:rsid w:val="003E5D13"/>
    <w:rsid w:val="003E61E3"/>
    <w:rsid w:val="003E6635"/>
    <w:rsid w:val="003E6943"/>
    <w:rsid w:val="003E73CB"/>
    <w:rsid w:val="003E75C7"/>
    <w:rsid w:val="003E7AFA"/>
    <w:rsid w:val="003E7E56"/>
    <w:rsid w:val="003E7E63"/>
    <w:rsid w:val="003F3209"/>
    <w:rsid w:val="003F3432"/>
    <w:rsid w:val="003F39DD"/>
    <w:rsid w:val="003F4ADF"/>
    <w:rsid w:val="003F5779"/>
    <w:rsid w:val="003F6206"/>
    <w:rsid w:val="003F666C"/>
    <w:rsid w:val="003F685A"/>
    <w:rsid w:val="003F6C6B"/>
    <w:rsid w:val="003F7E88"/>
    <w:rsid w:val="00400791"/>
    <w:rsid w:val="00400D80"/>
    <w:rsid w:val="004014FB"/>
    <w:rsid w:val="00401F2A"/>
    <w:rsid w:val="0040248B"/>
    <w:rsid w:val="00402900"/>
    <w:rsid w:val="00402D97"/>
    <w:rsid w:val="00402DAC"/>
    <w:rsid w:val="00403509"/>
    <w:rsid w:val="00403A5B"/>
    <w:rsid w:val="004048DB"/>
    <w:rsid w:val="0040499E"/>
    <w:rsid w:val="00405363"/>
    <w:rsid w:val="00405437"/>
    <w:rsid w:val="004060C4"/>
    <w:rsid w:val="00406538"/>
    <w:rsid w:val="00407B30"/>
    <w:rsid w:val="00407E60"/>
    <w:rsid w:val="004102BB"/>
    <w:rsid w:val="0041038C"/>
    <w:rsid w:val="00410D51"/>
    <w:rsid w:val="0041167C"/>
    <w:rsid w:val="004119B8"/>
    <w:rsid w:val="00411EB6"/>
    <w:rsid w:val="004121C4"/>
    <w:rsid w:val="004124C9"/>
    <w:rsid w:val="004128B7"/>
    <w:rsid w:val="00412DA0"/>
    <w:rsid w:val="00412DBD"/>
    <w:rsid w:val="00412EEA"/>
    <w:rsid w:val="004134DD"/>
    <w:rsid w:val="00413561"/>
    <w:rsid w:val="0041360C"/>
    <w:rsid w:val="00414C52"/>
    <w:rsid w:val="004152E4"/>
    <w:rsid w:val="004155E9"/>
    <w:rsid w:val="00415F42"/>
    <w:rsid w:val="00416198"/>
    <w:rsid w:val="00416B21"/>
    <w:rsid w:val="00416F61"/>
    <w:rsid w:val="0041734C"/>
    <w:rsid w:val="00420811"/>
    <w:rsid w:val="00421C7D"/>
    <w:rsid w:val="00421FDE"/>
    <w:rsid w:val="004236CD"/>
    <w:rsid w:val="00423979"/>
    <w:rsid w:val="00423BDC"/>
    <w:rsid w:val="00423BFB"/>
    <w:rsid w:val="0042400E"/>
    <w:rsid w:val="00424842"/>
    <w:rsid w:val="00424C8D"/>
    <w:rsid w:val="00424F97"/>
    <w:rsid w:val="00425D01"/>
    <w:rsid w:val="00425FC0"/>
    <w:rsid w:val="0042651C"/>
    <w:rsid w:val="004268D8"/>
    <w:rsid w:val="00426AB6"/>
    <w:rsid w:val="00426CC0"/>
    <w:rsid w:val="00426E97"/>
    <w:rsid w:val="00427305"/>
    <w:rsid w:val="004275F1"/>
    <w:rsid w:val="004277D8"/>
    <w:rsid w:val="004279F1"/>
    <w:rsid w:val="00431B75"/>
    <w:rsid w:val="004321EF"/>
    <w:rsid w:val="00432201"/>
    <w:rsid w:val="0043353D"/>
    <w:rsid w:val="004336C7"/>
    <w:rsid w:val="004340C4"/>
    <w:rsid w:val="004340CD"/>
    <w:rsid w:val="0043420F"/>
    <w:rsid w:val="00434BEA"/>
    <w:rsid w:val="00434DE8"/>
    <w:rsid w:val="00435111"/>
    <w:rsid w:val="004358F0"/>
    <w:rsid w:val="00435D50"/>
    <w:rsid w:val="004363AA"/>
    <w:rsid w:val="004366C9"/>
    <w:rsid w:val="00441725"/>
    <w:rsid w:val="00441801"/>
    <w:rsid w:val="00442284"/>
    <w:rsid w:val="0044242C"/>
    <w:rsid w:val="0044256C"/>
    <w:rsid w:val="00442905"/>
    <w:rsid w:val="00442AF0"/>
    <w:rsid w:val="0044326B"/>
    <w:rsid w:val="004438D8"/>
    <w:rsid w:val="004446F5"/>
    <w:rsid w:val="004452E5"/>
    <w:rsid w:val="004466B6"/>
    <w:rsid w:val="00447F3F"/>
    <w:rsid w:val="00450000"/>
    <w:rsid w:val="0045055D"/>
    <w:rsid w:val="004505A4"/>
    <w:rsid w:val="0045192B"/>
    <w:rsid w:val="00452509"/>
    <w:rsid w:val="004530B0"/>
    <w:rsid w:val="004532B8"/>
    <w:rsid w:val="0045346D"/>
    <w:rsid w:val="0045366A"/>
    <w:rsid w:val="004549B9"/>
    <w:rsid w:val="004551C1"/>
    <w:rsid w:val="00456409"/>
    <w:rsid w:val="00456DA6"/>
    <w:rsid w:val="00456FDF"/>
    <w:rsid w:val="004578BC"/>
    <w:rsid w:val="00457B29"/>
    <w:rsid w:val="00457DCB"/>
    <w:rsid w:val="00457EAB"/>
    <w:rsid w:val="00460592"/>
    <w:rsid w:val="00460DF7"/>
    <w:rsid w:val="004616F9"/>
    <w:rsid w:val="00462546"/>
    <w:rsid w:val="00462FA1"/>
    <w:rsid w:val="00464554"/>
    <w:rsid w:val="0046461D"/>
    <w:rsid w:val="00464CD3"/>
    <w:rsid w:val="00464DB2"/>
    <w:rsid w:val="0046529D"/>
    <w:rsid w:val="004653B4"/>
    <w:rsid w:val="00465443"/>
    <w:rsid w:val="00466A8F"/>
    <w:rsid w:val="00467B6B"/>
    <w:rsid w:val="00470FBB"/>
    <w:rsid w:val="00471207"/>
    <w:rsid w:val="00471515"/>
    <w:rsid w:val="00471AC9"/>
    <w:rsid w:val="00472508"/>
    <w:rsid w:val="00472C2E"/>
    <w:rsid w:val="00472E59"/>
    <w:rsid w:val="004730EE"/>
    <w:rsid w:val="004731B3"/>
    <w:rsid w:val="00473620"/>
    <w:rsid w:val="00473868"/>
    <w:rsid w:val="00473EC3"/>
    <w:rsid w:val="00473ED8"/>
    <w:rsid w:val="00474148"/>
    <w:rsid w:val="004744EE"/>
    <w:rsid w:val="004747D1"/>
    <w:rsid w:val="00474A5F"/>
    <w:rsid w:val="00475706"/>
    <w:rsid w:val="00475BE8"/>
    <w:rsid w:val="00476195"/>
    <w:rsid w:val="00477118"/>
    <w:rsid w:val="00480CFE"/>
    <w:rsid w:val="00480D5E"/>
    <w:rsid w:val="00480E6F"/>
    <w:rsid w:val="00481715"/>
    <w:rsid w:val="004822D6"/>
    <w:rsid w:val="00482342"/>
    <w:rsid w:val="004838CB"/>
    <w:rsid w:val="00484E6D"/>
    <w:rsid w:val="00485295"/>
    <w:rsid w:val="00486BD1"/>
    <w:rsid w:val="00486D8F"/>
    <w:rsid w:val="004873D7"/>
    <w:rsid w:val="00487446"/>
    <w:rsid w:val="0048797B"/>
    <w:rsid w:val="004910EF"/>
    <w:rsid w:val="00491203"/>
    <w:rsid w:val="00491308"/>
    <w:rsid w:val="004918BF"/>
    <w:rsid w:val="00491980"/>
    <w:rsid w:val="0049304C"/>
    <w:rsid w:val="00493AE2"/>
    <w:rsid w:val="00493B04"/>
    <w:rsid w:val="00494723"/>
    <w:rsid w:val="00495858"/>
    <w:rsid w:val="00496BE5"/>
    <w:rsid w:val="00496CAE"/>
    <w:rsid w:val="00497394"/>
    <w:rsid w:val="004977F8"/>
    <w:rsid w:val="004A05E6"/>
    <w:rsid w:val="004A0BAC"/>
    <w:rsid w:val="004A0BB6"/>
    <w:rsid w:val="004A12A5"/>
    <w:rsid w:val="004A19CF"/>
    <w:rsid w:val="004A23E6"/>
    <w:rsid w:val="004A245B"/>
    <w:rsid w:val="004A3048"/>
    <w:rsid w:val="004A38A8"/>
    <w:rsid w:val="004A4001"/>
    <w:rsid w:val="004A515B"/>
    <w:rsid w:val="004A5A84"/>
    <w:rsid w:val="004A5D46"/>
    <w:rsid w:val="004A6280"/>
    <w:rsid w:val="004A67B3"/>
    <w:rsid w:val="004A69BA"/>
    <w:rsid w:val="004A6D0A"/>
    <w:rsid w:val="004A7F28"/>
    <w:rsid w:val="004B00B9"/>
    <w:rsid w:val="004B09E3"/>
    <w:rsid w:val="004B0C35"/>
    <w:rsid w:val="004B142D"/>
    <w:rsid w:val="004B184D"/>
    <w:rsid w:val="004B2659"/>
    <w:rsid w:val="004B3EBA"/>
    <w:rsid w:val="004B3FDA"/>
    <w:rsid w:val="004B499D"/>
    <w:rsid w:val="004B55E5"/>
    <w:rsid w:val="004B6857"/>
    <w:rsid w:val="004B6901"/>
    <w:rsid w:val="004B7588"/>
    <w:rsid w:val="004B75CC"/>
    <w:rsid w:val="004C0AD5"/>
    <w:rsid w:val="004C0FE3"/>
    <w:rsid w:val="004C1EC2"/>
    <w:rsid w:val="004C2DE8"/>
    <w:rsid w:val="004C367F"/>
    <w:rsid w:val="004C439D"/>
    <w:rsid w:val="004C44AB"/>
    <w:rsid w:val="004C4FC3"/>
    <w:rsid w:val="004C509A"/>
    <w:rsid w:val="004C53FD"/>
    <w:rsid w:val="004C5C10"/>
    <w:rsid w:val="004C6053"/>
    <w:rsid w:val="004C6FC7"/>
    <w:rsid w:val="004C794B"/>
    <w:rsid w:val="004D070F"/>
    <w:rsid w:val="004D0B65"/>
    <w:rsid w:val="004D1038"/>
    <w:rsid w:val="004D1377"/>
    <w:rsid w:val="004D1D10"/>
    <w:rsid w:val="004D1E87"/>
    <w:rsid w:val="004D2753"/>
    <w:rsid w:val="004D29D4"/>
    <w:rsid w:val="004D2A08"/>
    <w:rsid w:val="004D2E22"/>
    <w:rsid w:val="004D3B95"/>
    <w:rsid w:val="004D3DC3"/>
    <w:rsid w:val="004D3ECB"/>
    <w:rsid w:val="004D4353"/>
    <w:rsid w:val="004D43BB"/>
    <w:rsid w:val="004D455F"/>
    <w:rsid w:val="004D4966"/>
    <w:rsid w:val="004D4ABB"/>
    <w:rsid w:val="004D52BD"/>
    <w:rsid w:val="004D548B"/>
    <w:rsid w:val="004D58C0"/>
    <w:rsid w:val="004D58E7"/>
    <w:rsid w:val="004D5B4C"/>
    <w:rsid w:val="004D5F59"/>
    <w:rsid w:val="004D6865"/>
    <w:rsid w:val="004D6C9D"/>
    <w:rsid w:val="004D7671"/>
    <w:rsid w:val="004D789F"/>
    <w:rsid w:val="004D7D32"/>
    <w:rsid w:val="004D7E2A"/>
    <w:rsid w:val="004E0236"/>
    <w:rsid w:val="004E05D4"/>
    <w:rsid w:val="004E16CD"/>
    <w:rsid w:val="004E1748"/>
    <w:rsid w:val="004E1EAF"/>
    <w:rsid w:val="004E3B0A"/>
    <w:rsid w:val="004E43E2"/>
    <w:rsid w:val="004E5838"/>
    <w:rsid w:val="004E5DB4"/>
    <w:rsid w:val="004E641F"/>
    <w:rsid w:val="004E7170"/>
    <w:rsid w:val="004E7B5F"/>
    <w:rsid w:val="004E7BCF"/>
    <w:rsid w:val="004F00B2"/>
    <w:rsid w:val="004F0D3A"/>
    <w:rsid w:val="004F13E4"/>
    <w:rsid w:val="004F1BB9"/>
    <w:rsid w:val="004F283F"/>
    <w:rsid w:val="004F2B33"/>
    <w:rsid w:val="004F3145"/>
    <w:rsid w:val="004F396B"/>
    <w:rsid w:val="004F4595"/>
    <w:rsid w:val="004F4683"/>
    <w:rsid w:val="004F5302"/>
    <w:rsid w:val="004F5B6B"/>
    <w:rsid w:val="004F63EE"/>
    <w:rsid w:val="004F6F9A"/>
    <w:rsid w:val="004F76B5"/>
    <w:rsid w:val="004F7E0D"/>
    <w:rsid w:val="00501643"/>
    <w:rsid w:val="00502329"/>
    <w:rsid w:val="005025B5"/>
    <w:rsid w:val="005029A7"/>
    <w:rsid w:val="00502C78"/>
    <w:rsid w:val="00502DDB"/>
    <w:rsid w:val="005041E3"/>
    <w:rsid w:val="00504336"/>
    <w:rsid w:val="005045B0"/>
    <w:rsid w:val="00505FC0"/>
    <w:rsid w:val="00506396"/>
    <w:rsid w:val="005063BF"/>
    <w:rsid w:val="00506663"/>
    <w:rsid w:val="005067F1"/>
    <w:rsid w:val="005071B3"/>
    <w:rsid w:val="00507907"/>
    <w:rsid w:val="00507E72"/>
    <w:rsid w:val="005101E6"/>
    <w:rsid w:val="00510A9B"/>
    <w:rsid w:val="00510E27"/>
    <w:rsid w:val="00510E6D"/>
    <w:rsid w:val="0051104D"/>
    <w:rsid w:val="005126B5"/>
    <w:rsid w:val="00512BE6"/>
    <w:rsid w:val="0051311A"/>
    <w:rsid w:val="00513254"/>
    <w:rsid w:val="00513490"/>
    <w:rsid w:val="00513C50"/>
    <w:rsid w:val="005157ED"/>
    <w:rsid w:val="00515D91"/>
    <w:rsid w:val="0051649A"/>
    <w:rsid w:val="005166EA"/>
    <w:rsid w:val="005174CF"/>
    <w:rsid w:val="005202B4"/>
    <w:rsid w:val="00520DBA"/>
    <w:rsid w:val="00521917"/>
    <w:rsid w:val="00522696"/>
    <w:rsid w:val="005227ED"/>
    <w:rsid w:val="0052289D"/>
    <w:rsid w:val="00522A89"/>
    <w:rsid w:val="00522B9F"/>
    <w:rsid w:val="00522E00"/>
    <w:rsid w:val="00522E81"/>
    <w:rsid w:val="005238E0"/>
    <w:rsid w:val="005238F9"/>
    <w:rsid w:val="00523D57"/>
    <w:rsid w:val="0052492F"/>
    <w:rsid w:val="00524973"/>
    <w:rsid w:val="005250BC"/>
    <w:rsid w:val="00525135"/>
    <w:rsid w:val="005252D6"/>
    <w:rsid w:val="00525439"/>
    <w:rsid w:val="00525D5B"/>
    <w:rsid w:val="00526BAE"/>
    <w:rsid w:val="00526C52"/>
    <w:rsid w:val="00526E9A"/>
    <w:rsid w:val="0052740B"/>
    <w:rsid w:val="00527554"/>
    <w:rsid w:val="00527B1D"/>
    <w:rsid w:val="005302E4"/>
    <w:rsid w:val="005303CD"/>
    <w:rsid w:val="005304C5"/>
    <w:rsid w:val="00530E2C"/>
    <w:rsid w:val="00531661"/>
    <w:rsid w:val="00532D2F"/>
    <w:rsid w:val="00533955"/>
    <w:rsid w:val="00533C1F"/>
    <w:rsid w:val="00534967"/>
    <w:rsid w:val="005357AB"/>
    <w:rsid w:val="00535B9A"/>
    <w:rsid w:val="00535D11"/>
    <w:rsid w:val="00535E66"/>
    <w:rsid w:val="00535EC2"/>
    <w:rsid w:val="00536034"/>
    <w:rsid w:val="005361E5"/>
    <w:rsid w:val="00536263"/>
    <w:rsid w:val="0053782A"/>
    <w:rsid w:val="0054008F"/>
    <w:rsid w:val="005406E4"/>
    <w:rsid w:val="00540C08"/>
    <w:rsid w:val="00541178"/>
    <w:rsid w:val="005416A8"/>
    <w:rsid w:val="00542548"/>
    <w:rsid w:val="00542568"/>
    <w:rsid w:val="00542BF9"/>
    <w:rsid w:val="00543310"/>
    <w:rsid w:val="00544A45"/>
    <w:rsid w:val="00544D72"/>
    <w:rsid w:val="0054553B"/>
    <w:rsid w:val="0054564D"/>
    <w:rsid w:val="00545990"/>
    <w:rsid w:val="005459DC"/>
    <w:rsid w:val="00545B35"/>
    <w:rsid w:val="00545CDC"/>
    <w:rsid w:val="00546BAF"/>
    <w:rsid w:val="00546DF7"/>
    <w:rsid w:val="005471BA"/>
    <w:rsid w:val="005472EA"/>
    <w:rsid w:val="005474F0"/>
    <w:rsid w:val="005479EA"/>
    <w:rsid w:val="0055089B"/>
    <w:rsid w:val="0055114C"/>
    <w:rsid w:val="00551320"/>
    <w:rsid w:val="005518B6"/>
    <w:rsid w:val="00551973"/>
    <w:rsid w:val="00551C03"/>
    <w:rsid w:val="00551E12"/>
    <w:rsid w:val="00551F30"/>
    <w:rsid w:val="00552BF4"/>
    <w:rsid w:val="0055358F"/>
    <w:rsid w:val="00554937"/>
    <w:rsid w:val="0055536F"/>
    <w:rsid w:val="00556CE3"/>
    <w:rsid w:val="005576F2"/>
    <w:rsid w:val="00557A37"/>
    <w:rsid w:val="00557D74"/>
    <w:rsid w:val="005600A2"/>
    <w:rsid w:val="00561044"/>
    <w:rsid w:val="00562108"/>
    <w:rsid w:val="00562AA9"/>
    <w:rsid w:val="00562BF9"/>
    <w:rsid w:val="00563BB4"/>
    <w:rsid w:val="00563CF9"/>
    <w:rsid w:val="005641DC"/>
    <w:rsid w:val="00564B3C"/>
    <w:rsid w:val="00564B9D"/>
    <w:rsid w:val="00565781"/>
    <w:rsid w:val="00565A49"/>
    <w:rsid w:val="00565E04"/>
    <w:rsid w:val="005664A1"/>
    <w:rsid w:val="0056675D"/>
    <w:rsid w:val="005668F8"/>
    <w:rsid w:val="00566954"/>
    <w:rsid w:val="0057106D"/>
    <w:rsid w:val="005710AC"/>
    <w:rsid w:val="00571CDC"/>
    <w:rsid w:val="00572548"/>
    <w:rsid w:val="0057394D"/>
    <w:rsid w:val="005740F2"/>
    <w:rsid w:val="00574101"/>
    <w:rsid w:val="00574317"/>
    <w:rsid w:val="005743DB"/>
    <w:rsid w:val="00574E31"/>
    <w:rsid w:val="00575F6B"/>
    <w:rsid w:val="0057672C"/>
    <w:rsid w:val="0057699C"/>
    <w:rsid w:val="00576AAF"/>
    <w:rsid w:val="00577365"/>
    <w:rsid w:val="00577549"/>
    <w:rsid w:val="00577A03"/>
    <w:rsid w:val="005805ED"/>
    <w:rsid w:val="0058061B"/>
    <w:rsid w:val="005806C7"/>
    <w:rsid w:val="00580747"/>
    <w:rsid w:val="00580B06"/>
    <w:rsid w:val="00582CB7"/>
    <w:rsid w:val="00583678"/>
    <w:rsid w:val="005841BB"/>
    <w:rsid w:val="00584A49"/>
    <w:rsid w:val="005850E9"/>
    <w:rsid w:val="00585828"/>
    <w:rsid w:val="00585937"/>
    <w:rsid w:val="005859DB"/>
    <w:rsid w:val="0058694B"/>
    <w:rsid w:val="00586AD6"/>
    <w:rsid w:val="00586E44"/>
    <w:rsid w:val="00587103"/>
    <w:rsid w:val="00590471"/>
    <w:rsid w:val="005919BB"/>
    <w:rsid w:val="00591B64"/>
    <w:rsid w:val="00591FE6"/>
    <w:rsid w:val="0059219E"/>
    <w:rsid w:val="005927B3"/>
    <w:rsid w:val="00592DAA"/>
    <w:rsid w:val="0059319D"/>
    <w:rsid w:val="005931E2"/>
    <w:rsid w:val="005933D0"/>
    <w:rsid w:val="00594274"/>
    <w:rsid w:val="0059485B"/>
    <w:rsid w:val="00595363"/>
    <w:rsid w:val="00596917"/>
    <w:rsid w:val="00596924"/>
    <w:rsid w:val="00596D36"/>
    <w:rsid w:val="0059763E"/>
    <w:rsid w:val="00597746"/>
    <w:rsid w:val="00597D37"/>
    <w:rsid w:val="00597E02"/>
    <w:rsid w:val="005A0209"/>
    <w:rsid w:val="005A083D"/>
    <w:rsid w:val="005A08DE"/>
    <w:rsid w:val="005A1E56"/>
    <w:rsid w:val="005A4078"/>
    <w:rsid w:val="005A51C0"/>
    <w:rsid w:val="005A52DA"/>
    <w:rsid w:val="005A58DC"/>
    <w:rsid w:val="005A5DC1"/>
    <w:rsid w:val="005A69A0"/>
    <w:rsid w:val="005A6A6A"/>
    <w:rsid w:val="005A6AA7"/>
    <w:rsid w:val="005A7890"/>
    <w:rsid w:val="005B05CD"/>
    <w:rsid w:val="005B0735"/>
    <w:rsid w:val="005B1911"/>
    <w:rsid w:val="005B1C15"/>
    <w:rsid w:val="005B1D2D"/>
    <w:rsid w:val="005B1EB8"/>
    <w:rsid w:val="005B225E"/>
    <w:rsid w:val="005B37EF"/>
    <w:rsid w:val="005B3816"/>
    <w:rsid w:val="005B3C4D"/>
    <w:rsid w:val="005B47ED"/>
    <w:rsid w:val="005B4999"/>
    <w:rsid w:val="005B4A2C"/>
    <w:rsid w:val="005B5340"/>
    <w:rsid w:val="005B554A"/>
    <w:rsid w:val="005B6EE5"/>
    <w:rsid w:val="005B73FF"/>
    <w:rsid w:val="005B781C"/>
    <w:rsid w:val="005B7B93"/>
    <w:rsid w:val="005C070A"/>
    <w:rsid w:val="005C09FF"/>
    <w:rsid w:val="005C0BE0"/>
    <w:rsid w:val="005C11B1"/>
    <w:rsid w:val="005C1D87"/>
    <w:rsid w:val="005C1F9C"/>
    <w:rsid w:val="005C2160"/>
    <w:rsid w:val="005C2881"/>
    <w:rsid w:val="005C2B75"/>
    <w:rsid w:val="005C32DC"/>
    <w:rsid w:val="005C334D"/>
    <w:rsid w:val="005C392D"/>
    <w:rsid w:val="005C3982"/>
    <w:rsid w:val="005C4005"/>
    <w:rsid w:val="005C4A6E"/>
    <w:rsid w:val="005C5E41"/>
    <w:rsid w:val="005C5EDD"/>
    <w:rsid w:val="005C6607"/>
    <w:rsid w:val="005C71BE"/>
    <w:rsid w:val="005C734D"/>
    <w:rsid w:val="005C77C4"/>
    <w:rsid w:val="005C7C08"/>
    <w:rsid w:val="005C7E1A"/>
    <w:rsid w:val="005D17D0"/>
    <w:rsid w:val="005D31FB"/>
    <w:rsid w:val="005D37D4"/>
    <w:rsid w:val="005D3B0C"/>
    <w:rsid w:val="005D49EE"/>
    <w:rsid w:val="005D70FF"/>
    <w:rsid w:val="005D71EA"/>
    <w:rsid w:val="005D7474"/>
    <w:rsid w:val="005E0E68"/>
    <w:rsid w:val="005E1170"/>
    <w:rsid w:val="005E136E"/>
    <w:rsid w:val="005E13B4"/>
    <w:rsid w:val="005E2692"/>
    <w:rsid w:val="005E30A4"/>
    <w:rsid w:val="005E3146"/>
    <w:rsid w:val="005E31BD"/>
    <w:rsid w:val="005E3595"/>
    <w:rsid w:val="005E3909"/>
    <w:rsid w:val="005E3E06"/>
    <w:rsid w:val="005E3FFB"/>
    <w:rsid w:val="005E44FD"/>
    <w:rsid w:val="005E46BF"/>
    <w:rsid w:val="005E5472"/>
    <w:rsid w:val="005E56C4"/>
    <w:rsid w:val="005E5915"/>
    <w:rsid w:val="005E5D81"/>
    <w:rsid w:val="005E6142"/>
    <w:rsid w:val="005E6E10"/>
    <w:rsid w:val="005E7420"/>
    <w:rsid w:val="005E78FE"/>
    <w:rsid w:val="005F01B7"/>
    <w:rsid w:val="005F03DB"/>
    <w:rsid w:val="005F07D1"/>
    <w:rsid w:val="005F0AAF"/>
    <w:rsid w:val="005F0BF2"/>
    <w:rsid w:val="005F1549"/>
    <w:rsid w:val="005F1674"/>
    <w:rsid w:val="005F2D31"/>
    <w:rsid w:val="005F318A"/>
    <w:rsid w:val="005F3315"/>
    <w:rsid w:val="005F393B"/>
    <w:rsid w:val="005F4C5B"/>
    <w:rsid w:val="005F5ABC"/>
    <w:rsid w:val="005F61B7"/>
    <w:rsid w:val="005F664A"/>
    <w:rsid w:val="005F6A3B"/>
    <w:rsid w:val="005F7099"/>
    <w:rsid w:val="005F7312"/>
    <w:rsid w:val="005F74B5"/>
    <w:rsid w:val="005F7649"/>
    <w:rsid w:val="005F7F25"/>
    <w:rsid w:val="005F7F51"/>
    <w:rsid w:val="006005B4"/>
    <w:rsid w:val="00600901"/>
    <w:rsid w:val="006010A2"/>
    <w:rsid w:val="00601A93"/>
    <w:rsid w:val="00601C73"/>
    <w:rsid w:val="00601FA0"/>
    <w:rsid w:val="0060239C"/>
    <w:rsid w:val="0060470D"/>
    <w:rsid w:val="00604972"/>
    <w:rsid w:val="006049D3"/>
    <w:rsid w:val="006053E0"/>
    <w:rsid w:val="0060597B"/>
    <w:rsid w:val="00605ED7"/>
    <w:rsid w:val="00605FBA"/>
    <w:rsid w:val="00607BA4"/>
    <w:rsid w:val="00610420"/>
    <w:rsid w:val="00610742"/>
    <w:rsid w:val="00610ECF"/>
    <w:rsid w:val="00611EED"/>
    <w:rsid w:val="0061268D"/>
    <w:rsid w:val="00612910"/>
    <w:rsid w:val="00612BEB"/>
    <w:rsid w:val="00613021"/>
    <w:rsid w:val="006130C6"/>
    <w:rsid w:val="00614627"/>
    <w:rsid w:val="00614FC4"/>
    <w:rsid w:val="00616270"/>
    <w:rsid w:val="00616609"/>
    <w:rsid w:val="00617105"/>
    <w:rsid w:val="006200D6"/>
    <w:rsid w:val="00620E77"/>
    <w:rsid w:val="00621603"/>
    <w:rsid w:val="0062182A"/>
    <w:rsid w:val="00621ADC"/>
    <w:rsid w:val="00621E58"/>
    <w:rsid w:val="00621EA6"/>
    <w:rsid w:val="006220A9"/>
    <w:rsid w:val="00622849"/>
    <w:rsid w:val="00622F08"/>
    <w:rsid w:val="00623167"/>
    <w:rsid w:val="006235A4"/>
    <w:rsid w:val="006237CE"/>
    <w:rsid w:val="00623B0D"/>
    <w:rsid w:val="006248BB"/>
    <w:rsid w:val="00624AE3"/>
    <w:rsid w:val="0062670B"/>
    <w:rsid w:val="00626F8B"/>
    <w:rsid w:val="00627581"/>
    <w:rsid w:val="00627E38"/>
    <w:rsid w:val="00630424"/>
    <w:rsid w:val="00630CC3"/>
    <w:rsid w:val="0063124E"/>
    <w:rsid w:val="0063164E"/>
    <w:rsid w:val="0063217D"/>
    <w:rsid w:val="0063289B"/>
    <w:rsid w:val="00633245"/>
    <w:rsid w:val="006332CF"/>
    <w:rsid w:val="0063477B"/>
    <w:rsid w:val="006350B5"/>
    <w:rsid w:val="00635741"/>
    <w:rsid w:val="00636148"/>
    <w:rsid w:val="006372ED"/>
    <w:rsid w:val="006375CA"/>
    <w:rsid w:val="00637918"/>
    <w:rsid w:val="00640750"/>
    <w:rsid w:val="006409E1"/>
    <w:rsid w:val="00640DB7"/>
    <w:rsid w:val="00641138"/>
    <w:rsid w:val="006417B3"/>
    <w:rsid w:val="006426D2"/>
    <w:rsid w:val="006428E5"/>
    <w:rsid w:val="006446CB"/>
    <w:rsid w:val="00644A4E"/>
    <w:rsid w:val="00644F17"/>
    <w:rsid w:val="00645551"/>
    <w:rsid w:val="00645D84"/>
    <w:rsid w:val="00646207"/>
    <w:rsid w:val="006471C2"/>
    <w:rsid w:val="00650127"/>
    <w:rsid w:val="00651801"/>
    <w:rsid w:val="00651857"/>
    <w:rsid w:val="006534DB"/>
    <w:rsid w:val="0065350E"/>
    <w:rsid w:val="00653B5C"/>
    <w:rsid w:val="00654F50"/>
    <w:rsid w:val="00655782"/>
    <w:rsid w:val="00655838"/>
    <w:rsid w:val="00655AB7"/>
    <w:rsid w:val="00656CD2"/>
    <w:rsid w:val="00656EBD"/>
    <w:rsid w:val="00657D51"/>
    <w:rsid w:val="00660DB1"/>
    <w:rsid w:val="00660F9F"/>
    <w:rsid w:val="00661BB9"/>
    <w:rsid w:val="00662951"/>
    <w:rsid w:val="006629EA"/>
    <w:rsid w:val="00662CDF"/>
    <w:rsid w:val="0066319A"/>
    <w:rsid w:val="00663783"/>
    <w:rsid w:val="00663948"/>
    <w:rsid w:val="00663DB5"/>
    <w:rsid w:val="006640A8"/>
    <w:rsid w:val="0066421D"/>
    <w:rsid w:val="006658E4"/>
    <w:rsid w:val="006661AB"/>
    <w:rsid w:val="0066673D"/>
    <w:rsid w:val="00666C93"/>
    <w:rsid w:val="00666DE0"/>
    <w:rsid w:val="00667335"/>
    <w:rsid w:val="006675E0"/>
    <w:rsid w:val="0066766B"/>
    <w:rsid w:val="0067008B"/>
    <w:rsid w:val="00670130"/>
    <w:rsid w:val="006705C6"/>
    <w:rsid w:val="0067096D"/>
    <w:rsid w:val="006710B8"/>
    <w:rsid w:val="006712BC"/>
    <w:rsid w:val="00671802"/>
    <w:rsid w:val="0067224A"/>
    <w:rsid w:val="00672EE2"/>
    <w:rsid w:val="00672EFD"/>
    <w:rsid w:val="0067349F"/>
    <w:rsid w:val="006736BE"/>
    <w:rsid w:val="0067582C"/>
    <w:rsid w:val="00675E28"/>
    <w:rsid w:val="006763E1"/>
    <w:rsid w:val="006771DE"/>
    <w:rsid w:val="00677278"/>
    <w:rsid w:val="00677283"/>
    <w:rsid w:val="00680617"/>
    <w:rsid w:val="006807D8"/>
    <w:rsid w:val="006809CB"/>
    <w:rsid w:val="00680AC7"/>
    <w:rsid w:val="00680F75"/>
    <w:rsid w:val="00681647"/>
    <w:rsid w:val="00681A21"/>
    <w:rsid w:val="00681C85"/>
    <w:rsid w:val="00681F26"/>
    <w:rsid w:val="0068253A"/>
    <w:rsid w:val="006826F0"/>
    <w:rsid w:val="00682B92"/>
    <w:rsid w:val="0068345A"/>
    <w:rsid w:val="006834DA"/>
    <w:rsid w:val="006838AC"/>
    <w:rsid w:val="00684119"/>
    <w:rsid w:val="00686777"/>
    <w:rsid w:val="00686F54"/>
    <w:rsid w:val="006874BB"/>
    <w:rsid w:val="006877EC"/>
    <w:rsid w:val="00687DBF"/>
    <w:rsid w:val="00687DC5"/>
    <w:rsid w:val="00690129"/>
    <w:rsid w:val="006905C6"/>
    <w:rsid w:val="006905EC"/>
    <w:rsid w:val="00690797"/>
    <w:rsid w:val="00690CAF"/>
    <w:rsid w:val="00690DB3"/>
    <w:rsid w:val="00692677"/>
    <w:rsid w:val="00692A47"/>
    <w:rsid w:val="00693AE8"/>
    <w:rsid w:val="006946B0"/>
    <w:rsid w:val="006948FA"/>
    <w:rsid w:val="00695197"/>
    <w:rsid w:val="00695221"/>
    <w:rsid w:val="00695F29"/>
    <w:rsid w:val="0069634C"/>
    <w:rsid w:val="00696FC7"/>
    <w:rsid w:val="0069707F"/>
    <w:rsid w:val="00697A70"/>
    <w:rsid w:val="00697C2D"/>
    <w:rsid w:val="006A03DA"/>
    <w:rsid w:val="006A06E5"/>
    <w:rsid w:val="006A07B0"/>
    <w:rsid w:val="006A08AB"/>
    <w:rsid w:val="006A1105"/>
    <w:rsid w:val="006A1AC4"/>
    <w:rsid w:val="006A2B66"/>
    <w:rsid w:val="006A3404"/>
    <w:rsid w:val="006A3573"/>
    <w:rsid w:val="006A3B27"/>
    <w:rsid w:val="006A41DB"/>
    <w:rsid w:val="006A43EC"/>
    <w:rsid w:val="006A4497"/>
    <w:rsid w:val="006A46FD"/>
    <w:rsid w:val="006A4942"/>
    <w:rsid w:val="006A4C03"/>
    <w:rsid w:val="006A5768"/>
    <w:rsid w:val="006A5D43"/>
    <w:rsid w:val="006A6298"/>
    <w:rsid w:val="006A62EB"/>
    <w:rsid w:val="006A66B0"/>
    <w:rsid w:val="006A7DC0"/>
    <w:rsid w:val="006B0598"/>
    <w:rsid w:val="006B0603"/>
    <w:rsid w:val="006B0960"/>
    <w:rsid w:val="006B25EA"/>
    <w:rsid w:val="006B292C"/>
    <w:rsid w:val="006B3112"/>
    <w:rsid w:val="006B3681"/>
    <w:rsid w:val="006B4093"/>
    <w:rsid w:val="006B4194"/>
    <w:rsid w:val="006B43CA"/>
    <w:rsid w:val="006B514C"/>
    <w:rsid w:val="006B54A3"/>
    <w:rsid w:val="006B55B7"/>
    <w:rsid w:val="006B56DE"/>
    <w:rsid w:val="006B5BE4"/>
    <w:rsid w:val="006B5C4A"/>
    <w:rsid w:val="006B64AA"/>
    <w:rsid w:val="006B6653"/>
    <w:rsid w:val="006B692D"/>
    <w:rsid w:val="006B7040"/>
    <w:rsid w:val="006B73B3"/>
    <w:rsid w:val="006B7CD8"/>
    <w:rsid w:val="006C0349"/>
    <w:rsid w:val="006C0DA0"/>
    <w:rsid w:val="006C2797"/>
    <w:rsid w:val="006C4956"/>
    <w:rsid w:val="006C5026"/>
    <w:rsid w:val="006C5D60"/>
    <w:rsid w:val="006C706B"/>
    <w:rsid w:val="006C70E0"/>
    <w:rsid w:val="006C7725"/>
    <w:rsid w:val="006C7C13"/>
    <w:rsid w:val="006D020E"/>
    <w:rsid w:val="006D087E"/>
    <w:rsid w:val="006D11E2"/>
    <w:rsid w:val="006D22E1"/>
    <w:rsid w:val="006D3000"/>
    <w:rsid w:val="006D3AAC"/>
    <w:rsid w:val="006D414C"/>
    <w:rsid w:val="006D4624"/>
    <w:rsid w:val="006D4C06"/>
    <w:rsid w:val="006D4D24"/>
    <w:rsid w:val="006D5265"/>
    <w:rsid w:val="006D6035"/>
    <w:rsid w:val="006D6581"/>
    <w:rsid w:val="006D67C5"/>
    <w:rsid w:val="006D7666"/>
    <w:rsid w:val="006E0069"/>
    <w:rsid w:val="006E1087"/>
    <w:rsid w:val="006E15FC"/>
    <w:rsid w:val="006E2845"/>
    <w:rsid w:val="006E29C9"/>
    <w:rsid w:val="006E3078"/>
    <w:rsid w:val="006E3FAA"/>
    <w:rsid w:val="006E4845"/>
    <w:rsid w:val="006E49D7"/>
    <w:rsid w:val="006E5858"/>
    <w:rsid w:val="006E59E7"/>
    <w:rsid w:val="006E5EAD"/>
    <w:rsid w:val="006E62EC"/>
    <w:rsid w:val="006E67F1"/>
    <w:rsid w:val="006E6FCC"/>
    <w:rsid w:val="006E7DE1"/>
    <w:rsid w:val="006F06B1"/>
    <w:rsid w:val="006F079E"/>
    <w:rsid w:val="006F1921"/>
    <w:rsid w:val="006F1DFF"/>
    <w:rsid w:val="006F2B38"/>
    <w:rsid w:val="006F2BE5"/>
    <w:rsid w:val="006F2FBA"/>
    <w:rsid w:val="006F3668"/>
    <w:rsid w:val="006F36A1"/>
    <w:rsid w:val="006F4788"/>
    <w:rsid w:val="006F4D83"/>
    <w:rsid w:val="006F4E3A"/>
    <w:rsid w:val="006F5C8F"/>
    <w:rsid w:val="006F6600"/>
    <w:rsid w:val="006F6800"/>
    <w:rsid w:val="006F7083"/>
    <w:rsid w:val="006F746C"/>
    <w:rsid w:val="007008BF"/>
    <w:rsid w:val="007013A4"/>
    <w:rsid w:val="00702AD2"/>
    <w:rsid w:val="00702F9C"/>
    <w:rsid w:val="00703560"/>
    <w:rsid w:val="007036D1"/>
    <w:rsid w:val="00703C29"/>
    <w:rsid w:val="00703DAC"/>
    <w:rsid w:val="00703F59"/>
    <w:rsid w:val="007042A3"/>
    <w:rsid w:val="00704335"/>
    <w:rsid w:val="00705060"/>
    <w:rsid w:val="007050C6"/>
    <w:rsid w:val="007051C8"/>
    <w:rsid w:val="007053AA"/>
    <w:rsid w:val="007056F8"/>
    <w:rsid w:val="00705C16"/>
    <w:rsid w:val="00707E4E"/>
    <w:rsid w:val="007103F2"/>
    <w:rsid w:val="007106D7"/>
    <w:rsid w:val="00710E85"/>
    <w:rsid w:val="00711732"/>
    <w:rsid w:val="007119C9"/>
    <w:rsid w:val="00711EB7"/>
    <w:rsid w:val="00712403"/>
    <w:rsid w:val="00712692"/>
    <w:rsid w:val="00713CC0"/>
    <w:rsid w:val="00714BCE"/>
    <w:rsid w:val="00714CCD"/>
    <w:rsid w:val="007151AF"/>
    <w:rsid w:val="0071598C"/>
    <w:rsid w:val="0071619F"/>
    <w:rsid w:val="00716ADF"/>
    <w:rsid w:val="00717621"/>
    <w:rsid w:val="007177BB"/>
    <w:rsid w:val="00720247"/>
    <w:rsid w:val="0072070B"/>
    <w:rsid w:val="00720878"/>
    <w:rsid w:val="00720C27"/>
    <w:rsid w:val="00720FB4"/>
    <w:rsid w:val="007214E2"/>
    <w:rsid w:val="00721F69"/>
    <w:rsid w:val="007228C8"/>
    <w:rsid w:val="00722B7B"/>
    <w:rsid w:val="00723770"/>
    <w:rsid w:val="007241A8"/>
    <w:rsid w:val="007244B0"/>
    <w:rsid w:val="00724D96"/>
    <w:rsid w:val="00726043"/>
    <w:rsid w:val="0072625B"/>
    <w:rsid w:val="00726448"/>
    <w:rsid w:val="007270B9"/>
    <w:rsid w:val="0072768C"/>
    <w:rsid w:val="00727BFF"/>
    <w:rsid w:val="00730688"/>
    <w:rsid w:val="00730E5C"/>
    <w:rsid w:val="0073145A"/>
    <w:rsid w:val="00731AAD"/>
    <w:rsid w:val="0073240C"/>
    <w:rsid w:val="00733C78"/>
    <w:rsid w:val="00735895"/>
    <w:rsid w:val="007359F8"/>
    <w:rsid w:val="00735B23"/>
    <w:rsid w:val="007363F9"/>
    <w:rsid w:val="00736516"/>
    <w:rsid w:val="0073684C"/>
    <w:rsid w:val="00736946"/>
    <w:rsid w:val="00736D36"/>
    <w:rsid w:val="00736EF3"/>
    <w:rsid w:val="00737DCE"/>
    <w:rsid w:val="00737E1F"/>
    <w:rsid w:val="00737EFC"/>
    <w:rsid w:val="00737F8F"/>
    <w:rsid w:val="00740004"/>
    <w:rsid w:val="00740330"/>
    <w:rsid w:val="00740AD1"/>
    <w:rsid w:val="00741A95"/>
    <w:rsid w:val="00741BFB"/>
    <w:rsid w:val="00741D0E"/>
    <w:rsid w:val="00742389"/>
    <w:rsid w:val="007425E0"/>
    <w:rsid w:val="00742897"/>
    <w:rsid w:val="00742DDE"/>
    <w:rsid w:val="00742E2A"/>
    <w:rsid w:val="00743182"/>
    <w:rsid w:val="0074458A"/>
    <w:rsid w:val="00744B97"/>
    <w:rsid w:val="00744CC7"/>
    <w:rsid w:val="007456D2"/>
    <w:rsid w:val="00745797"/>
    <w:rsid w:val="00745898"/>
    <w:rsid w:val="00745DA2"/>
    <w:rsid w:val="00745EFD"/>
    <w:rsid w:val="007465BA"/>
    <w:rsid w:val="00746E8B"/>
    <w:rsid w:val="00747CBD"/>
    <w:rsid w:val="00750008"/>
    <w:rsid w:val="00750E43"/>
    <w:rsid w:val="0075120C"/>
    <w:rsid w:val="0075149F"/>
    <w:rsid w:val="007515CE"/>
    <w:rsid w:val="00751D2A"/>
    <w:rsid w:val="00751EBF"/>
    <w:rsid w:val="00752063"/>
    <w:rsid w:val="00752A9B"/>
    <w:rsid w:val="00752A9C"/>
    <w:rsid w:val="0075336B"/>
    <w:rsid w:val="00754918"/>
    <w:rsid w:val="0075496A"/>
    <w:rsid w:val="00754B3B"/>
    <w:rsid w:val="00755074"/>
    <w:rsid w:val="00755808"/>
    <w:rsid w:val="007559F9"/>
    <w:rsid w:val="00755CDD"/>
    <w:rsid w:val="00756906"/>
    <w:rsid w:val="00757B78"/>
    <w:rsid w:val="00760A3C"/>
    <w:rsid w:val="00760ADE"/>
    <w:rsid w:val="007617F6"/>
    <w:rsid w:val="0076188E"/>
    <w:rsid w:val="00762CD7"/>
    <w:rsid w:val="00762ED4"/>
    <w:rsid w:val="00763888"/>
    <w:rsid w:val="0076408D"/>
    <w:rsid w:val="00764169"/>
    <w:rsid w:val="007641BD"/>
    <w:rsid w:val="00764EFD"/>
    <w:rsid w:val="00765327"/>
    <w:rsid w:val="007658F4"/>
    <w:rsid w:val="00766028"/>
    <w:rsid w:val="00766DAD"/>
    <w:rsid w:val="0076703D"/>
    <w:rsid w:val="007704FA"/>
    <w:rsid w:val="00770D48"/>
    <w:rsid w:val="00770D87"/>
    <w:rsid w:val="00770FD2"/>
    <w:rsid w:val="00772331"/>
    <w:rsid w:val="007728C7"/>
    <w:rsid w:val="00772AD7"/>
    <w:rsid w:val="0077301A"/>
    <w:rsid w:val="00773267"/>
    <w:rsid w:val="007738F8"/>
    <w:rsid w:val="00773C0D"/>
    <w:rsid w:val="00774FBE"/>
    <w:rsid w:val="007752B1"/>
    <w:rsid w:val="00775EA2"/>
    <w:rsid w:val="007761B0"/>
    <w:rsid w:val="0077668E"/>
    <w:rsid w:val="0077748F"/>
    <w:rsid w:val="00777FF8"/>
    <w:rsid w:val="00781544"/>
    <w:rsid w:val="00781F11"/>
    <w:rsid w:val="00781FCA"/>
    <w:rsid w:val="007821F5"/>
    <w:rsid w:val="007822DB"/>
    <w:rsid w:val="00782377"/>
    <w:rsid w:val="0078238F"/>
    <w:rsid w:val="007828F7"/>
    <w:rsid w:val="00782918"/>
    <w:rsid w:val="00782C9D"/>
    <w:rsid w:val="00784036"/>
    <w:rsid w:val="007843A8"/>
    <w:rsid w:val="0078449F"/>
    <w:rsid w:val="00784F51"/>
    <w:rsid w:val="007854D7"/>
    <w:rsid w:val="00785982"/>
    <w:rsid w:val="007859DD"/>
    <w:rsid w:val="00786447"/>
    <w:rsid w:val="00786737"/>
    <w:rsid w:val="00786EF4"/>
    <w:rsid w:val="00786F5E"/>
    <w:rsid w:val="00787368"/>
    <w:rsid w:val="007874D3"/>
    <w:rsid w:val="00787891"/>
    <w:rsid w:val="0079050F"/>
    <w:rsid w:val="00790997"/>
    <w:rsid w:val="00791082"/>
    <w:rsid w:val="00791F31"/>
    <w:rsid w:val="00792CFD"/>
    <w:rsid w:val="00792E24"/>
    <w:rsid w:val="00793065"/>
    <w:rsid w:val="00793239"/>
    <w:rsid w:val="007934A9"/>
    <w:rsid w:val="00793C47"/>
    <w:rsid w:val="00793F2A"/>
    <w:rsid w:val="00794073"/>
    <w:rsid w:val="00794158"/>
    <w:rsid w:val="00794FB9"/>
    <w:rsid w:val="00795109"/>
    <w:rsid w:val="0079534D"/>
    <w:rsid w:val="007958B6"/>
    <w:rsid w:val="00796B2A"/>
    <w:rsid w:val="00797723"/>
    <w:rsid w:val="00797EE4"/>
    <w:rsid w:val="007A02CF"/>
    <w:rsid w:val="007A0353"/>
    <w:rsid w:val="007A04C2"/>
    <w:rsid w:val="007A07C0"/>
    <w:rsid w:val="007A0DF6"/>
    <w:rsid w:val="007A15FF"/>
    <w:rsid w:val="007A1D41"/>
    <w:rsid w:val="007A1DCA"/>
    <w:rsid w:val="007A1F4A"/>
    <w:rsid w:val="007A24A8"/>
    <w:rsid w:val="007A25B3"/>
    <w:rsid w:val="007A2EA3"/>
    <w:rsid w:val="007A2EA8"/>
    <w:rsid w:val="007A396E"/>
    <w:rsid w:val="007A3B64"/>
    <w:rsid w:val="007A3E8A"/>
    <w:rsid w:val="007A467E"/>
    <w:rsid w:val="007A53CB"/>
    <w:rsid w:val="007A5A81"/>
    <w:rsid w:val="007A5CE0"/>
    <w:rsid w:val="007A5EE9"/>
    <w:rsid w:val="007A7343"/>
    <w:rsid w:val="007A74B7"/>
    <w:rsid w:val="007A7BC9"/>
    <w:rsid w:val="007A7E28"/>
    <w:rsid w:val="007B0497"/>
    <w:rsid w:val="007B073A"/>
    <w:rsid w:val="007B0F40"/>
    <w:rsid w:val="007B2A32"/>
    <w:rsid w:val="007B306D"/>
    <w:rsid w:val="007B32D1"/>
    <w:rsid w:val="007B3336"/>
    <w:rsid w:val="007B3CB6"/>
    <w:rsid w:val="007B3CCA"/>
    <w:rsid w:val="007B3E2B"/>
    <w:rsid w:val="007B48E1"/>
    <w:rsid w:val="007B589C"/>
    <w:rsid w:val="007B68B9"/>
    <w:rsid w:val="007B6D65"/>
    <w:rsid w:val="007B7184"/>
    <w:rsid w:val="007B743D"/>
    <w:rsid w:val="007C02F0"/>
    <w:rsid w:val="007C04E1"/>
    <w:rsid w:val="007C04EB"/>
    <w:rsid w:val="007C0828"/>
    <w:rsid w:val="007C0D75"/>
    <w:rsid w:val="007C1C8A"/>
    <w:rsid w:val="007C2482"/>
    <w:rsid w:val="007C26A1"/>
    <w:rsid w:val="007C2B52"/>
    <w:rsid w:val="007C337D"/>
    <w:rsid w:val="007C3A0A"/>
    <w:rsid w:val="007C3BF6"/>
    <w:rsid w:val="007C3FEF"/>
    <w:rsid w:val="007C4966"/>
    <w:rsid w:val="007C6D3F"/>
    <w:rsid w:val="007C6DCB"/>
    <w:rsid w:val="007C712E"/>
    <w:rsid w:val="007C7897"/>
    <w:rsid w:val="007C7FC9"/>
    <w:rsid w:val="007D0A3E"/>
    <w:rsid w:val="007D1100"/>
    <w:rsid w:val="007D1BFC"/>
    <w:rsid w:val="007D1CA9"/>
    <w:rsid w:val="007D214D"/>
    <w:rsid w:val="007D2398"/>
    <w:rsid w:val="007D2457"/>
    <w:rsid w:val="007D3FED"/>
    <w:rsid w:val="007D441E"/>
    <w:rsid w:val="007D456F"/>
    <w:rsid w:val="007D59D8"/>
    <w:rsid w:val="007D6568"/>
    <w:rsid w:val="007D6AE0"/>
    <w:rsid w:val="007D72ED"/>
    <w:rsid w:val="007D79F7"/>
    <w:rsid w:val="007E0450"/>
    <w:rsid w:val="007E0650"/>
    <w:rsid w:val="007E2211"/>
    <w:rsid w:val="007E29FC"/>
    <w:rsid w:val="007E2A9B"/>
    <w:rsid w:val="007E2CC2"/>
    <w:rsid w:val="007E33E0"/>
    <w:rsid w:val="007E35C7"/>
    <w:rsid w:val="007E4264"/>
    <w:rsid w:val="007E4E6D"/>
    <w:rsid w:val="007E545D"/>
    <w:rsid w:val="007E5DEF"/>
    <w:rsid w:val="007E5E1D"/>
    <w:rsid w:val="007E6B12"/>
    <w:rsid w:val="007E6C2E"/>
    <w:rsid w:val="007E7937"/>
    <w:rsid w:val="007E7AFB"/>
    <w:rsid w:val="007F02C0"/>
    <w:rsid w:val="007F0ACE"/>
    <w:rsid w:val="007F192C"/>
    <w:rsid w:val="007F196F"/>
    <w:rsid w:val="007F2D93"/>
    <w:rsid w:val="007F3A90"/>
    <w:rsid w:val="007F407A"/>
    <w:rsid w:val="007F46E5"/>
    <w:rsid w:val="007F4803"/>
    <w:rsid w:val="007F4974"/>
    <w:rsid w:val="007F4BC2"/>
    <w:rsid w:val="007F4CB0"/>
    <w:rsid w:val="007F521F"/>
    <w:rsid w:val="007F5265"/>
    <w:rsid w:val="007F53AB"/>
    <w:rsid w:val="007F5669"/>
    <w:rsid w:val="007F652C"/>
    <w:rsid w:val="007F6AB6"/>
    <w:rsid w:val="007F6CDA"/>
    <w:rsid w:val="007F73B0"/>
    <w:rsid w:val="00800D9F"/>
    <w:rsid w:val="00801CB1"/>
    <w:rsid w:val="00802A01"/>
    <w:rsid w:val="00802C42"/>
    <w:rsid w:val="00803790"/>
    <w:rsid w:val="008041E5"/>
    <w:rsid w:val="008046D5"/>
    <w:rsid w:val="00805E5E"/>
    <w:rsid w:val="008061F4"/>
    <w:rsid w:val="00806277"/>
    <w:rsid w:val="00806B16"/>
    <w:rsid w:val="00806B3A"/>
    <w:rsid w:val="0080762C"/>
    <w:rsid w:val="00807A2F"/>
    <w:rsid w:val="00810D87"/>
    <w:rsid w:val="00811613"/>
    <w:rsid w:val="008117AD"/>
    <w:rsid w:val="00811D72"/>
    <w:rsid w:val="008122CB"/>
    <w:rsid w:val="008148FE"/>
    <w:rsid w:val="008159B8"/>
    <w:rsid w:val="00815F54"/>
    <w:rsid w:val="00816644"/>
    <w:rsid w:val="00820107"/>
    <w:rsid w:val="0082239E"/>
    <w:rsid w:val="008228D0"/>
    <w:rsid w:val="00822A76"/>
    <w:rsid w:val="00822F27"/>
    <w:rsid w:val="00824591"/>
    <w:rsid w:val="00824907"/>
    <w:rsid w:val="00824A8C"/>
    <w:rsid w:val="00824E3A"/>
    <w:rsid w:val="00825084"/>
    <w:rsid w:val="008257B9"/>
    <w:rsid w:val="00825AEA"/>
    <w:rsid w:val="00825C7D"/>
    <w:rsid w:val="0082603B"/>
    <w:rsid w:val="0082716F"/>
    <w:rsid w:val="0082738F"/>
    <w:rsid w:val="0083040F"/>
    <w:rsid w:val="00830911"/>
    <w:rsid w:val="008315FA"/>
    <w:rsid w:val="0083199A"/>
    <w:rsid w:val="00831B10"/>
    <w:rsid w:val="0083374C"/>
    <w:rsid w:val="008342D5"/>
    <w:rsid w:val="00835781"/>
    <w:rsid w:val="008357EF"/>
    <w:rsid w:val="00835ED6"/>
    <w:rsid w:val="00836AF5"/>
    <w:rsid w:val="0083713E"/>
    <w:rsid w:val="008376E2"/>
    <w:rsid w:val="0083779B"/>
    <w:rsid w:val="00837B02"/>
    <w:rsid w:val="00837D89"/>
    <w:rsid w:val="00837DFB"/>
    <w:rsid w:val="00840C40"/>
    <w:rsid w:val="008414C6"/>
    <w:rsid w:val="008416A8"/>
    <w:rsid w:val="00841F8C"/>
    <w:rsid w:val="00843130"/>
    <w:rsid w:val="00843D53"/>
    <w:rsid w:val="00843E6F"/>
    <w:rsid w:val="008447C2"/>
    <w:rsid w:val="0084511D"/>
    <w:rsid w:val="00845243"/>
    <w:rsid w:val="0084588A"/>
    <w:rsid w:val="0084629F"/>
    <w:rsid w:val="00846C1D"/>
    <w:rsid w:val="00847B3E"/>
    <w:rsid w:val="00847FCA"/>
    <w:rsid w:val="008501EB"/>
    <w:rsid w:val="008516F4"/>
    <w:rsid w:val="00851A10"/>
    <w:rsid w:val="00851AD7"/>
    <w:rsid w:val="00851F26"/>
    <w:rsid w:val="00852783"/>
    <w:rsid w:val="00852AFE"/>
    <w:rsid w:val="008543DE"/>
    <w:rsid w:val="00855173"/>
    <w:rsid w:val="008559A5"/>
    <w:rsid w:val="008562F1"/>
    <w:rsid w:val="00856B0E"/>
    <w:rsid w:val="00856C49"/>
    <w:rsid w:val="00856F42"/>
    <w:rsid w:val="008601E0"/>
    <w:rsid w:val="008603C6"/>
    <w:rsid w:val="008609BB"/>
    <w:rsid w:val="00861365"/>
    <w:rsid w:val="00861910"/>
    <w:rsid w:val="00861D39"/>
    <w:rsid w:val="00863118"/>
    <w:rsid w:val="00863DCE"/>
    <w:rsid w:val="00864750"/>
    <w:rsid w:val="00864C50"/>
    <w:rsid w:val="00864D49"/>
    <w:rsid w:val="00864D5C"/>
    <w:rsid w:val="00865B3D"/>
    <w:rsid w:val="0086620F"/>
    <w:rsid w:val="00866331"/>
    <w:rsid w:val="0086649D"/>
    <w:rsid w:val="0086651C"/>
    <w:rsid w:val="00867B5C"/>
    <w:rsid w:val="008712A6"/>
    <w:rsid w:val="008712D5"/>
    <w:rsid w:val="00871350"/>
    <w:rsid w:val="00871603"/>
    <w:rsid w:val="00871F1E"/>
    <w:rsid w:val="00872678"/>
    <w:rsid w:val="00872D79"/>
    <w:rsid w:val="00872E3D"/>
    <w:rsid w:val="008732BB"/>
    <w:rsid w:val="00873380"/>
    <w:rsid w:val="00873556"/>
    <w:rsid w:val="00873E26"/>
    <w:rsid w:val="00873E55"/>
    <w:rsid w:val="008751A7"/>
    <w:rsid w:val="0087577B"/>
    <w:rsid w:val="00875E99"/>
    <w:rsid w:val="00875F84"/>
    <w:rsid w:val="0087656B"/>
    <w:rsid w:val="00876C93"/>
    <w:rsid w:val="00876D2F"/>
    <w:rsid w:val="0087752B"/>
    <w:rsid w:val="008775D4"/>
    <w:rsid w:val="00877F8A"/>
    <w:rsid w:val="008807FC"/>
    <w:rsid w:val="00882015"/>
    <w:rsid w:val="008825D0"/>
    <w:rsid w:val="00882F91"/>
    <w:rsid w:val="0088308C"/>
    <w:rsid w:val="008838C2"/>
    <w:rsid w:val="008842B7"/>
    <w:rsid w:val="00885946"/>
    <w:rsid w:val="00885D21"/>
    <w:rsid w:val="0088654A"/>
    <w:rsid w:val="00886604"/>
    <w:rsid w:val="008875B1"/>
    <w:rsid w:val="00887828"/>
    <w:rsid w:val="008878C4"/>
    <w:rsid w:val="00887E8F"/>
    <w:rsid w:val="0089097D"/>
    <w:rsid w:val="00891267"/>
    <w:rsid w:val="00891FEC"/>
    <w:rsid w:val="00892192"/>
    <w:rsid w:val="00892431"/>
    <w:rsid w:val="00892B5E"/>
    <w:rsid w:val="00894475"/>
    <w:rsid w:val="00894DA4"/>
    <w:rsid w:val="0089544E"/>
    <w:rsid w:val="008956E0"/>
    <w:rsid w:val="0089692A"/>
    <w:rsid w:val="008977BF"/>
    <w:rsid w:val="008A18D4"/>
    <w:rsid w:val="008A192F"/>
    <w:rsid w:val="008A1A23"/>
    <w:rsid w:val="008A2AB3"/>
    <w:rsid w:val="008A3148"/>
    <w:rsid w:val="008A39D3"/>
    <w:rsid w:val="008A3A28"/>
    <w:rsid w:val="008A41F0"/>
    <w:rsid w:val="008A4703"/>
    <w:rsid w:val="008A62B8"/>
    <w:rsid w:val="008A698C"/>
    <w:rsid w:val="008A6A03"/>
    <w:rsid w:val="008A6C6F"/>
    <w:rsid w:val="008A7202"/>
    <w:rsid w:val="008A72A6"/>
    <w:rsid w:val="008A7606"/>
    <w:rsid w:val="008B139D"/>
    <w:rsid w:val="008B17EB"/>
    <w:rsid w:val="008B1A08"/>
    <w:rsid w:val="008B1C78"/>
    <w:rsid w:val="008B228A"/>
    <w:rsid w:val="008B22D3"/>
    <w:rsid w:val="008B39EC"/>
    <w:rsid w:val="008B3C18"/>
    <w:rsid w:val="008B4521"/>
    <w:rsid w:val="008B49BA"/>
    <w:rsid w:val="008B4D7E"/>
    <w:rsid w:val="008B51CA"/>
    <w:rsid w:val="008B55CB"/>
    <w:rsid w:val="008B5777"/>
    <w:rsid w:val="008B6B46"/>
    <w:rsid w:val="008B7595"/>
    <w:rsid w:val="008C0857"/>
    <w:rsid w:val="008C0B72"/>
    <w:rsid w:val="008C28F4"/>
    <w:rsid w:val="008C2AF1"/>
    <w:rsid w:val="008C2F11"/>
    <w:rsid w:val="008C4667"/>
    <w:rsid w:val="008C47AD"/>
    <w:rsid w:val="008C4D73"/>
    <w:rsid w:val="008C50C5"/>
    <w:rsid w:val="008C6204"/>
    <w:rsid w:val="008C642E"/>
    <w:rsid w:val="008C6531"/>
    <w:rsid w:val="008C7099"/>
    <w:rsid w:val="008D01A0"/>
    <w:rsid w:val="008D0391"/>
    <w:rsid w:val="008D11B5"/>
    <w:rsid w:val="008D12E1"/>
    <w:rsid w:val="008D1311"/>
    <w:rsid w:val="008D1DD6"/>
    <w:rsid w:val="008D5242"/>
    <w:rsid w:val="008D601F"/>
    <w:rsid w:val="008D64CD"/>
    <w:rsid w:val="008D7CF9"/>
    <w:rsid w:val="008E06A2"/>
    <w:rsid w:val="008E0E5F"/>
    <w:rsid w:val="008E1B64"/>
    <w:rsid w:val="008E1D47"/>
    <w:rsid w:val="008E222F"/>
    <w:rsid w:val="008E2DF7"/>
    <w:rsid w:val="008E47B8"/>
    <w:rsid w:val="008E5532"/>
    <w:rsid w:val="008E5F7E"/>
    <w:rsid w:val="008E6F2E"/>
    <w:rsid w:val="008E70B7"/>
    <w:rsid w:val="008E7BAB"/>
    <w:rsid w:val="008E7D83"/>
    <w:rsid w:val="008F0154"/>
    <w:rsid w:val="008F0AD6"/>
    <w:rsid w:val="008F2021"/>
    <w:rsid w:val="008F27A7"/>
    <w:rsid w:val="008F2C0E"/>
    <w:rsid w:val="008F384E"/>
    <w:rsid w:val="008F3F56"/>
    <w:rsid w:val="008F4321"/>
    <w:rsid w:val="008F5390"/>
    <w:rsid w:val="008F5B4E"/>
    <w:rsid w:val="008F63A3"/>
    <w:rsid w:val="008F6C86"/>
    <w:rsid w:val="008F6F7F"/>
    <w:rsid w:val="008F772B"/>
    <w:rsid w:val="008F7891"/>
    <w:rsid w:val="008F78A9"/>
    <w:rsid w:val="008F7C3E"/>
    <w:rsid w:val="00902386"/>
    <w:rsid w:val="00902418"/>
    <w:rsid w:val="00902530"/>
    <w:rsid w:val="009026AC"/>
    <w:rsid w:val="00902CF8"/>
    <w:rsid w:val="00902F24"/>
    <w:rsid w:val="00902F41"/>
    <w:rsid w:val="0090302D"/>
    <w:rsid w:val="00903FE7"/>
    <w:rsid w:val="00904F01"/>
    <w:rsid w:val="009065AE"/>
    <w:rsid w:val="00906C02"/>
    <w:rsid w:val="00907836"/>
    <w:rsid w:val="00907BB0"/>
    <w:rsid w:val="00907CEE"/>
    <w:rsid w:val="009106B2"/>
    <w:rsid w:val="0091146A"/>
    <w:rsid w:val="009117C4"/>
    <w:rsid w:val="00911D38"/>
    <w:rsid w:val="009135CF"/>
    <w:rsid w:val="00913B2D"/>
    <w:rsid w:val="00914199"/>
    <w:rsid w:val="009141BF"/>
    <w:rsid w:val="00914FDD"/>
    <w:rsid w:val="00915ED1"/>
    <w:rsid w:val="00916305"/>
    <w:rsid w:val="0091642F"/>
    <w:rsid w:val="00916AEA"/>
    <w:rsid w:val="00917299"/>
    <w:rsid w:val="00917406"/>
    <w:rsid w:val="009175B2"/>
    <w:rsid w:val="009175FC"/>
    <w:rsid w:val="00917946"/>
    <w:rsid w:val="00917AB0"/>
    <w:rsid w:val="009204BE"/>
    <w:rsid w:val="009205D4"/>
    <w:rsid w:val="00921349"/>
    <w:rsid w:val="009217C9"/>
    <w:rsid w:val="00921938"/>
    <w:rsid w:val="00922C90"/>
    <w:rsid w:val="00922FDB"/>
    <w:rsid w:val="009235E7"/>
    <w:rsid w:val="00925633"/>
    <w:rsid w:val="00925E72"/>
    <w:rsid w:val="00926030"/>
    <w:rsid w:val="00926939"/>
    <w:rsid w:val="009272E3"/>
    <w:rsid w:val="009275BA"/>
    <w:rsid w:val="00927AF3"/>
    <w:rsid w:val="00927C56"/>
    <w:rsid w:val="009303BA"/>
    <w:rsid w:val="009313F5"/>
    <w:rsid w:val="0093223A"/>
    <w:rsid w:val="0093224F"/>
    <w:rsid w:val="009322F9"/>
    <w:rsid w:val="00932872"/>
    <w:rsid w:val="00932A35"/>
    <w:rsid w:val="00933087"/>
    <w:rsid w:val="009332F1"/>
    <w:rsid w:val="0093366E"/>
    <w:rsid w:val="00933B11"/>
    <w:rsid w:val="009345B3"/>
    <w:rsid w:val="00934B99"/>
    <w:rsid w:val="00934E73"/>
    <w:rsid w:val="0093548A"/>
    <w:rsid w:val="0093568E"/>
    <w:rsid w:val="00935ECB"/>
    <w:rsid w:val="00936B90"/>
    <w:rsid w:val="00936F10"/>
    <w:rsid w:val="009403EC"/>
    <w:rsid w:val="00940B92"/>
    <w:rsid w:val="009412C0"/>
    <w:rsid w:val="00941BE9"/>
    <w:rsid w:val="009424F7"/>
    <w:rsid w:val="009427E9"/>
    <w:rsid w:val="009437BA"/>
    <w:rsid w:val="00944107"/>
    <w:rsid w:val="00944B59"/>
    <w:rsid w:val="00944EA7"/>
    <w:rsid w:val="0094514F"/>
    <w:rsid w:val="009455D1"/>
    <w:rsid w:val="00946369"/>
    <w:rsid w:val="009463F0"/>
    <w:rsid w:val="00946C16"/>
    <w:rsid w:val="00946D87"/>
    <w:rsid w:val="00947650"/>
    <w:rsid w:val="0094767E"/>
    <w:rsid w:val="00947782"/>
    <w:rsid w:val="00951115"/>
    <w:rsid w:val="00951858"/>
    <w:rsid w:val="00951870"/>
    <w:rsid w:val="0095207A"/>
    <w:rsid w:val="0095219A"/>
    <w:rsid w:val="00952559"/>
    <w:rsid w:val="00952694"/>
    <w:rsid w:val="009535F7"/>
    <w:rsid w:val="00953A54"/>
    <w:rsid w:val="00954145"/>
    <w:rsid w:val="00954E8D"/>
    <w:rsid w:val="00955188"/>
    <w:rsid w:val="009557DE"/>
    <w:rsid w:val="00955FF5"/>
    <w:rsid w:val="009567BB"/>
    <w:rsid w:val="00957129"/>
    <w:rsid w:val="009572AD"/>
    <w:rsid w:val="0096007D"/>
    <w:rsid w:val="009600CC"/>
    <w:rsid w:val="00960635"/>
    <w:rsid w:val="00961328"/>
    <w:rsid w:val="009630E3"/>
    <w:rsid w:val="00963328"/>
    <w:rsid w:val="00963617"/>
    <w:rsid w:val="00963D80"/>
    <w:rsid w:val="0096494F"/>
    <w:rsid w:val="009656F7"/>
    <w:rsid w:val="00965998"/>
    <w:rsid w:val="00965A75"/>
    <w:rsid w:val="00966117"/>
    <w:rsid w:val="00966495"/>
    <w:rsid w:val="0096789F"/>
    <w:rsid w:val="00967C76"/>
    <w:rsid w:val="0097049C"/>
    <w:rsid w:val="009711F7"/>
    <w:rsid w:val="0097235A"/>
    <w:rsid w:val="00972BE3"/>
    <w:rsid w:val="00973B8D"/>
    <w:rsid w:val="009745ED"/>
    <w:rsid w:val="00974656"/>
    <w:rsid w:val="00974895"/>
    <w:rsid w:val="00974A1A"/>
    <w:rsid w:val="00974D19"/>
    <w:rsid w:val="009750C4"/>
    <w:rsid w:val="009753A0"/>
    <w:rsid w:val="0097574B"/>
    <w:rsid w:val="00975C6A"/>
    <w:rsid w:val="009801BF"/>
    <w:rsid w:val="009803D3"/>
    <w:rsid w:val="00980A6B"/>
    <w:rsid w:val="00980C26"/>
    <w:rsid w:val="00980C2F"/>
    <w:rsid w:val="00980F02"/>
    <w:rsid w:val="00981206"/>
    <w:rsid w:val="0098125E"/>
    <w:rsid w:val="0098188E"/>
    <w:rsid w:val="00982CE6"/>
    <w:rsid w:val="0098331F"/>
    <w:rsid w:val="00983939"/>
    <w:rsid w:val="00983BF0"/>
    <w:rsid w:val="00983DCB"/>
    <w:rsid w:val="00983F7D"/>
    <w:rsid w:val="00985EB2"/>
    <w:rsid w:val="009870EC"/>
    <w:rsid w:val="00987BFF"/>
    <w:rsid w:val="009903EB"/>
    <w:rsid w:val="00990733"/>
    <w:rsid w:val="00991A1F"/>
    <w:rsid w:val="00991A87"/>
    <w:rsid w:val="009921F8"/>
    <w:rsid w:val="009927EC"/>
    <w:rsid w:val="00992E65"/>
    <w:rsid w:val="00992FDA"/>
    <w:rsid w:val="0099356D"/>
    <w:rsid w:val="00993577"/>
    <w:rsid w:val="0099428A"/>
    <w:rsid w:val="00995066"/>
    <w:rsid w:val="009952AA"/>
    <w:rsid w:val="00995565"/>
    <w:rsid w:val="00995F28"/>
    <w:rsid w:val="009970B7"/>
    <w:rsid w:val="0099774E"/>
    <w:rsid w:val="00997B73"/>
    <w:rsid w:val="00997BCD"/>
    <w:rsid w:val="00997CC4"/>
    <w:rsid w:val="009A0FE9"/>
    <w:rsid w:val="009A1413"/>
    <w:rsid w:val="009A1CCE"/>
    <w:rsid w:val="009A29AE"/>
    <w:rsid w:val="009A2AAB"/>
    <w:rsid w:val="009A3148"/>
    <w:rsid w:val="009A33CA"/>
    <w:rsid w:val="009A3B8E"/>
    <w:rsid w:val="009A3EBD"/>
    <w:rsid w:val="009A42D5"/>
    <w:rsid w:val="009A4659"/>
    <w:rsid w:val="009A490C"/>
    <w:rsid w:val="009A4C7D"/>
    <w:rsid w:val="009A4F41"/>
    <w:rsid w:val="009A555A"/>
    <w:rsid w:val="009A5653"/>
    <w:rsid w:val="009A62A2"/>
    <w:rsid w:val="009A6B71"/>
    <w:rsid w:val="009A6CE0"/>
    <w:rsid w:val="009A6D87"/>
    <w:rsid w:val="009A7044"/>
    <w:rsid w:val="009B0234"/>
    <w:rsid w:val="009B0255"/>
    <w:rsid w:val="009B0BA6"/>
    <w:rsid w:val="009B0C1E"/>
    <w:rsid w:val="009B0F31"/>
    <w:rsid w:val="009B1118"/>
    <w:rsid w:val="009B1F34"/>
    <w:rsid w:val="009B299C"/>
    <w:rsid w:val="009B2D19"/>
    <w:rsid w:val="009B3412"/>
    <w:rsid w:val="009B3928"/>
    <w:rsid w:val="009B3AF1"/>
    <w:rsid w:val="009B4136"/>
    <w:rsid w:val="009B54F6"/>
    <w:rsid w:val="009B55E8"/>
    <w:rsid w:val="009B642E"/>
    <w:rsid w:val="009B6B94"/>
    <w:rsid w:val="009B74A8"/>
    <w:rsid w:val="009B7E29"/>
    <w:rsid w:val="009C0D30"/>
    <w:rsid w:val="009C10EF"/>
    <w:rsid w:val="009C169C"/>
    <w:rsid w:val="009C1C00"/>
    <w:rsid w:val="009C290C"/>
    <w:rsid w:val="009C2C93"/>
    <w:rsid w:val="009C329D"/>
    <w:rsid w:val="009C3788"/>
    <w:rsid w:val="009C45BE"/>
    <w:rsid w:val="009C46E5"/>
    <w:rsid w:val="009C4946"/>
    <w:rsid w:val="009C4B68"/>
    <w:rsid w:val="009C4EA6"/>
    <w:rsid w:val="009C51FD"/>
    <w:rsid w:val="009C73C1"/>
    <w:rsid w:val="009C73E3"/>
    <w:rsid w:val="009D0DD0"/>
    <w:rsid w:val="009D18FC"/>
    <w:rsid w:val="009D1C9A"/>
    <w:rsid w:val="009D1CF7"/>
    <w:rsid w:val="009D1F24"/>
    <w:rsid w:val="009D26FE"/>
    <w:rsid w:val="009D2810"/>
    <w:rsid w:val="009D38C4"/>
    <w:rsid w:val="009D39FC"/>
    <w:rsid w:val="009D3A9A"/>
    <w:rsid w:val="009D3C41"/>
    <w:rsid w:val="009D3D8F"/>
    <w:rsid w:val="009D3D90"/>
    <w:rsid w:val="009D4F7C"/>
    <w:rsid w:val="009D5F65"/>
    <w:rsid w:val="009D67D7"/>
    <w:rsid w:val="009D6806"/>
    <w:rsid w:val="009D6DCD"/>
    <w:rsid w:val="009D6E9C"/>
    <w:rsid w:val="009D6F40"/>
    <w:rsid w:val="009D6FB8"/>
    <w:rsid w:val="009D7CAB"/>
    <w:rsid w:val="009D7D36"/>
    <w:rsid w:val="009D7D3C"/>
    <w:rsid w:val="009E148D"/>
    <w:rsid w:val="009E27DB"/>
    <w:rsid w:val="009E3381"/>
    <w:rsid w:val="009E33E7"/>
    <w:rsid w:val="009E3E13"/>
    <w:rsid w:val="009E3EDA"/>
    <w:rsid w:val="009E40ED"/>
    <w:rsid w:val="009E4118"/>
    <w:rsid w:val="009E4F21"/>
    <w:rsid w:val="009E5B60"/>
    <w:rsid w:val="009E6F0D"/>
    <w:rsid w:val="009E73CE"/>
    <w:rsid w:val="009E744A"/>
    <w:rsid w:val="009E7DFC"/>
    <w:rsid w:val="009E7ECA"/>
    <w:rsid w:val="009F0730"/>
    <w:rsid w:val="009F1345"/>
    <w:rsid w:val="009F139E"/>
    <w:rsid w:val="009F1B30"/>
    <w:rsid w:val="009F2C74"/>
    <w:rsid w:val="009F3EE5"/>
    <w:rsid w:val="009F4949"/>
    <w:rsid w:val="009F52C2"/>
    <w:rsid w:val="009F5334"/>
    <w:rsid w:val="009F5551"/>
    <w:rsid w:val="009F6295"/>
    <w:rsid w:val="009F674A"/>
    <w:rsid w:val="009F6FEC"/>
    <w:rsid w:val="009F70E2"/>
    <w:rsid w:val="00A0004E"/>
    <w:rsid w:val="00A00289"/>
    <w:rsid w:val="00A005C8"/>
    <w:rsid w:val="00A00805"/>
    <w:rsid w:val="00A01038"/>
    <w:rsid w:val="00A01521"/>
    <w:rsid w:val="00A01C59"/>
    <w:rsid w:val="00A02588"/>
    <w:rsid w:val="00A02CA1"/>
    <w:rsid w:val="00A0317D"/>
    <w:rsid w:val="00A03447"/>
    <w:rsid w:val="00A03FC2"/>
    <w:rsid w:val="00A04266"/>
    <w:rsid w:val="00A04493"/>
    <w:rsid w:val="00A04B9D"/>
    <w:rsid w:val="00A05BCC"/>
    <w:rsid w:val="00A065E3"/>
    <w:rsid w:val="00A06BD2"/>
    <w:rsid w:val="00A06CE5"/>
    <w:rsid w:val="00A0730B"/>
    <w:rsid w:val="00A0781A"/>
    <w:rsid w:val="00A11190"/>
    <w:rsid w:val="00A119D8"/>
    <w:rsid w:val="00A11D09"/>
    <w:rsid w:val="00A1247B"/>
    <w:rsid w:val="00A128A3"/>
    <w:rsid w:val="00A12CB6"/>
    <w:rsid w:val="00A12D7E"/>
    <w:rsid w:val="00A12E85"/>
    <w:rsid w:val="00A1320E"/>
    <w:rsid w:val="00A134F2"/>
    <w:rsid w:val="00A1359A"/>
    <w:rsid w:val="00A13928"/>
    <w:rsid w:val="00A13FCB"/>
    <w:rsid w:val="00A146FE"/>
    <w:rsid w:val="00A14EFB"/>
    <w:rsid w:val="00A1544E"/>
    <w:rsid w:val="00A15BF7"/>
    <w:rsid w:val="00A165CA"/>
    <w:rsid w:val="00A171D8"/>
    <w:rsid w:val="00A17751"/>
    <w:rsid w:val="00A17798"/>
    <w:rsid w:val="00A1798F"/>
    <w:rsid w:val="00A2012D"/>
    <w:rsid w:val="00A2017D"/>
    <w:rsid w:val="00A20587"/>
    <w:rsid w:val="00A2079E"/>
    <w:rsid w:val="00A212FF"/>
    <w:rsid w:val="00A216A1"/>
    <w:rsid w:val="00A21A6C"/>
    <w:rsid w:val="00A22C21"/>
    <w:rsid w:val="00A2393D"/>
    <w:rsid w:val="00A23B69"/>
    <w:rsid w:val="00A248C6"/>
    <w:rsid w:val="00A24A40"/>
    <w:rsid w:val="00A24B82"/>
    <w:rsid w:val="00A24CDA"/>
    <w:rsid w:val="00A24DC5"/>
    <w:rsid w:val="00A258B0"/>
    <w:rsid w:val="00A25A97"/>
    <w:rsid w:val="00A25B33"/>
    <w:rsid w:val="00A25D24"/>
    <w:rsid w:val="00A26274"/>
    <w:rsid w:val="00A262F6"/>
    <w:rsid w:val="00A268C7"/>
    <w:rsid w:val="00A2738E"/>
    <w:rsid w:val="00A27B62"/>
    <w:rsid w:val="00A31AF1"/>
    <w:rsid w:val="00A3287F"/>
    <w:rsid w:val="00A32CB4"/>
    <w:rsid w:val="00A333C5"/>
    <w:rsid w:val="00A33950"/>
    <w:rsid w:val="00A33E33"/>
    <w:rsid w:val="00A34330"/>
    <w:rsid w:val="00A34BD1"/>
    <w:rsid w:val="00A34E17"/>
    <w:rsid w:val="00A34E2F"/>
    <w:rsid w:val="00A357A2"/>
    <w:rsid w:val="00A35DEE"/>
    <w:rsid w:val="00A35E1B"/>
    <w:rsid w:val="00A361C6"/>
    <w:rsid w:val="00A36837"/>
    <w:rsid w:val="00A36E58"/>
    <w:rsid w:val="00A37EEC"/>
    <w:rsid w:val="00A37FCC"/>
    <w:rsid w:val="00A404D5"/>
    <w:rsid w:val="00A40C08"/>
    <w:rsid w:val="00A41F86"/>
    <w:rsid w:val="00A42139"/>
    <w:rsid w:val="00A43061"/>
    <w:rsid w:val="00A441F8"/>
    <w:rsid w:val="00A462A2"/>
    <w:rsid w:val="00A46CCD"/>
    <w:rsid w:val="00A478E6"/>
    <w:rsid w:val="00A47984"/>
    <w:rsid w:val="00A47F9E"/>
    <w:rsid w:val="00A50575"/>
    <w:rsid w:val="00A50A62"/>
    <w:rsid w:val="00A50C85"/>
    <w:rsid w:val="00A50DE9"/>
    <w:rsid w:val="00A51ADC"/>
    <w:rsid w:val="00A523A7"/>
    <w:rsid w:val="00A5248C"/>
    <w:rsid w:val="00A528B9"/>
    <w:rsid w:val="00A52A2E"/>
    <w:rsid w:val="00A52AEF"/>
    <w:rsid w:val="00A52EA5"/>
    <w:rsid w:val="00A533BE"/>
    <w:rsid w:val="00A54130"/>
    <w:rsid w:val="00A5647F"/>
    <w:rsid w:val="00A5795E"/>
    <w:rsid w:val="00A57EF0"/>
    <w:rsid w:val="00A600DA"/>
    <w:rsid w:val="00A61011"/>
    <w:rsid w:val="00A622FF"/>
    <w:rsid w:val="00A62B4A"/>
    <w:rsid w:val="00A64D1F"/>
    <w:rsid w:val="00A6522A"/>
    <w:rsid w:val="00A65469"/>
    <w:rsid w:val="00A65669"/>
    <w:rsid w:val="00A65EEE"/>
    <w:rsid w:val="00A66613"/>
    <w:rsid w:val="00A670CC"/>
    <w:rsid w:val="00A67875"/>
    <w:rsid w:val="00A67B5B"/>
    <w:rsid w:val="00A70694"/>
    <w:rsid w:val="00A71685"/>
    <w:rsid w:val="00A73990"/>
    <w:rsid w:val="00A73B25"/>
    <w:rsid w:val="00A73D24"/>
    <w:rsid w:val="00A73E57"/>
    <w:rsid w:val="00A74155"/>
    <w:rsid w:val="00A7452E"/>
    <w:rsid w:val="00A762B6"/>
    <w:rsid w:val="00A76456"/>
    <w:rsid w:val="00A766E2"/>
    <w:rsid w:val="00A770CC"/>
    <w:rsid w:val="00A7764C"/>
    <w:rsid w:val="00A8035A"/>
    <w:rsid w:val="00A80385"/>
    <w:rsid w:val="00A8045F"/>
    <w:rsid w:val="00A8199D"/>
    <w:rsid w:val="00A82C28"/>
    <w:rsid w:val="00A82E47"/>
    <w:rsid w:val="00A83175"/>
    <w:rsid w:val="00A83CB8"/>
    <w:rsid w:val="00A83D4F"/>
    <w:rsid w:val="00A85B99"/>
    <w:rsid w:val="00A85BA9"/>
    <w:rsid w:val="00A862A1"/>
    <w:rsid w:val="00A86ABB"/>
    <w:rsid w:val="00A87F54"/>
    <w:rsid w:val="00A90045"/>
    <w:rsid w:val="00A911FD"/>
    <w:rsid w:val="00A9251B"/>
    <w:rsid w:val="00A92550"/>
    <w:rsid w:val="00A92A37"/>
    <w:rsid w:val="00A93033"/>
    <w:rsid w:val="00A93AFA"/>
    <w:rsid w:val="00A93DCB"/>
    <w:rsid w:val="00A941C6"/>
    <w:rsid w:val="00A94A43"/>
    <w:rsid w:val="00A950E6"/>
    <w:rsid w:val="00A9595D"/>
    <w:rsid w:val="00A96EED"/>
    <w:rsid w:val="00A97A95"/>
    <w:rsid w:val="00A97BC6"/>
    <w:rsid w:val="00AA0DF6"/>
    <w:rsid w:val="00AA0DFD"/>
    <w:rsid w:val="00AA19DB"/>
    <w:rsid w:val="00AA19E0"/>
    <w:rsid w:val="00AA1CDA"/>
    <w:rsid w:val="00AA238C"/>
    <w:rsid w:val="00AA2917"/>
    <w:rsid w:val="00AA2A04"/>
    <w:rsid w:val="00AA2C57"/>
    <w:rsid w:val="00AA3810"/>
    <w:rsid w:val="00AA385C"/>
    <w:rsid w:val="00AA3A5E"/>
    <w:rsid w:val="00AA3CC3"/>
    <w:rsid w:val="00AA405A"/>
    <w:rsid w:val="00AA425F"/>
    <w:rsid w:val="00AA47E7"/>
    <w:rsid w:val="00AA4994"/>
    <w:rsid w:val="00AA722B"/>
    <w:rsid w:val="00AA76CF"/>
    <w:rsid w:val="00AA7E99"/>
    <w:rsid w:val="00AB003A"/>
    <w:rsid w:val="00AB0D7E"/>
    <w:rsid w:val="00AB1037"/>
    <w:rsid w:val="00AB11F6"/>
    <w:rsid w:val="00AB1567"/>
    <w:rsid w:val="00AB1CCF"/>
    <w:rsid w:val="00AB2142"/>
    <w:rsid w:val="00AB2FEF"/>
    <w:rsid w:val="00AB3539"/>
    <w:rsid w:val="00AB3764"/>
    <w:rsid w:val="00AB3B40"/>
    <w:rsid w:val="00AB3C19"/>
    <w:rsid w:val="00AB4187"/>
    <w:rsid w:val="00AB445A"/>
    <w:rsid w:val="00AB4F91"/>
    <w:rsid w:val="00AB7092"/>
    <w:rsid w:val="00AB7CBD"/>
    <w:rsid w:val="00AC0466"/>
    <w:rsid w:val="00AC0F45"/>
    <w:rsid w:val="00AC1ECF"/>
    <w:rsid w:val="00AC2329"/>
    <w:rsid w:val="00AC2A71"/>
    <w:rsid w:val="00AC39DD"/>
    <w:rsid w:val="00AC4943"/>
    <w:rsid w:val="00AC5342"/>
    <w:rsid w:val="00AC6331"/>
    <w:rsid w:val="00AC63CB"/>
    <w:rsid w:val="00AC64C2"/>
    <w:rsid w:val="00AC6EAA"/>
    <w:rsid w:val="00AC6F89"/>
    <w:rsid w:val="00AC78D5"/>
    <w:rsid w:val="00AC7A06"/>
    <w:rsid w:val="00AC7CFF"/>
    <w:rsid w:val="00AD2851"/>
    <w:rsid w:val="00AD28C5"/>
    <w:rsid w:val="00AD28E9"/>
    <w:rsid w:val="00AD3EFC"/>
    <w:rsid w:val="00AD493B"/>
    <w:rsid w:val="00AD4B40"/>
    <w:rsid w:val="00AD606D"/>
    <w:rsid w:val="00AD652A"/>
    <w:rsid w:val="00AD6E93"/>
    <w:rsid w:val="00AD741A"/>
    <w:rsid w:val="00AD7DCE"/>
    <w:rsid w:val="00AD7E35"/>
    <w:rsid w:val="00AD7E51"/>
    <w:rsid w:val="00AD7FC9"/>
    <w:rsid w:val="00AE02DF"/>
    <w:rsid w:val="00AE0701"/>
    <w:rsid w:val="00AE0B0C"/>
    <w:rsid w:val="00AE0E89"/>
    <w:rsid w:val="00AE10C7"/>
    <w:rsid w:val="00AE187C"/>
    <w:rsid w:val="00AE2207"/>
    <w:rsid w:val="00AE2407"/>
    <w:rsid w:val="00AE27BF"/>
    <w:rsid w:val="00AE29EF"/>
    <w:rsid w:val="00AE3FB1"/>
    <w:rsid w:val="00AE516E"/>
    <w:rsid w:val="00AE57C8"/>
    <w:rsid w:val="00AE6081"/>
    <w:rsid w:val="00AE62BC"/>
    <w:rsid w:val="00AE696B"/>
    <w:rsid w:val="00AE7AB3"/>
    <w:rsid w:val="00AF02CB"/>
    <w:rsid w:val="00AF0984"/>
    <w:rsid w:val="00AF09EB"/>
    <w:rsid w:val="00AF15BC"/>
    <w:rsid w:val="00AF1B3E"/>
    <w:rsid w:val="00AF1D10"/>
    <w:rsid w:val="00AF213B"/>
    <w:rsid w:val="00AF21B9"/>
    <w:rsid w:val="00AF2A7E"/>
    <w:rsid w:val="00AF3803"/>
    <w:rsid w:val="00AF3FC2"/>
    <w:rsid w:val="00AF4488"/>
    <w:rsid w:val="00AF4587"/>
    <w:rsid w:val="00AF46E9"/>
    <w:rsid w:val="00AF580F"/>
    <w:rsid w:val="00AF5966"/>
    <w:rsid w:val="00AF76CF"/>
    <w:rsid w:val="00AF7BC4"/>
    <w:rsid w:val="00AF7CB4"/>
    <w:rsid w:val="00B00BAE"/>
    <w:rsid w:val="00B012CC"/>
    <w:rsid w:val="00B012E5"/>
    <w:rsid w:val="00B01423"/>
    <w:rsid w:val="00B016B5"/>
    <w:rsid w:val="00B020B6"/>
    <w:rsid w:val="00B048F1"/>
    <w:rsid w:val="00B04EAE"/>
    <w:rsid w:val="00B07242"/>
    <w:rsid w:val="00B0761E"/>
    <w:rsid w:val="00B101F6"/>
    <w:rsid w:val="00B1048B"/>
    <w:rsid w:val="00B10A01"/>
    <w:rsid w:val="00B10F91"/>
    <w:rsid w:val="00B10FEC"/>
    <w:rsid w:val="00B110BF"/>
    <w:rsid w:val="00B11191"/>
    <w:rsid w:val="00B11B86"/>
    <w:rsid w:val="00B11D51"/>
    <w:rsid w:val="00B12757"/>
    <w:rsid w:val="00B12D04"/>
    <w:rsid w:val="00B1382D"/>
    <w:rsid w:val="00B14D6A"/>
    <w:rsid w:val="00B1576E"/>
    <w:rsid w:val="00B15A83"/>
    <w:rsid w:val="00B16BCE"/>
    <w:rsid w:val="00B16ECD"/>
    <w:rsid w:val="00B16F64"/>
    <w:rsid w:val="00B178C9"/>
    <w:rsid w:val="00B20272"/>
    <w:rsid w:val="00B21458"/>
    <w:rsid w:val="00B222C3"/>
    <w:rsid w:val="00B2240C"/>
    <w:rsid w:val="00B2390F"/>
    <w:rsid w:val="00B24B4A"/>
    <w:rsid w:val="00B24B9E"/>
    <w:rsid w:val="00B24EFB"/>
    <w:rsid w:val="00B25FF8"/>
    <w:rsid w:val="00B263C4"/>
    <w:rsid w:val="00B2648F"/>
    <w:rsid w:val="00B2691E"/>
    <w:rsid w:val="00B27B54"/>
    <w:rsid w:val="00B27D12"/>
    <w:rsid w:val="00B3044D"/>
    <w:rsid w:val="00B306F3"/>
    <w:rsid w:val="00B30962"/>
    <w:rsid w:val="00B30D7E"/>
    <w:rsid w:val="00B30F1E"/>
    <w:rsid w:val="00B32C43"/>
    <w:rsid w:val="00B32D99"/>
    <w:rsid w:val="00B337DD"/>
    <w:rsid w:val="00B33D08"/>
    <w:rsid w:val="00B33DD4"/>
    <w:rsid w:val="00B34602"/>
    <w:rsid w:val="00B34D2E"/>
    <w:rsid w:val="00B35A50"/>
    <w:rsid w:val="00B3755D"/>
    <w:rsid w:val="00B37E93"/>
    <w:rsid w:val="00B4040D"/>
    <w:rsid w:val="00B409F4"/>
    <w:rsid w:val="00B409F6"/>
    <w:rsid w:val="00B40F3D"/>
    <w:rsid w:val="00B42D58"/>
    <w:rsid w:val="00B430BB"/>
    <w:rsid w:val="00B433D2"/>
    <w:rsid w:val="00B43AF8"/>
    <w:rsid w:val="00B43D50"/>
    <w:rsid w:val="00B4418B"/>
    <w:rsid w:val="00B441CE"/>
    <w:rsid w:val="00B44EB8"/>
    <w:rsid w:val="00B45071"/>
    <w:rsid w:val="00B452F6"/>
    <w:rsid w:val="00B45DCC"/>
    <w:rsid w:val="00B45F00"/>
    <w:rsid w:val="00B479E8"/>
    <w:rsid w:val="00B5028B"/>
    <w:rsid w:val="00B50659"/>
    <w:rsid w:val="00B51EC7"/>
    <w:rsid w:val="00B5230A"/>
    <w:rsid w:val="00B53604"/>
    <w:rsid w:val="00B53868"/>
    <w:rsid w:val="00B53ADC"/>
    <w:rsid w:val="00B5443E"/>
    <w:rsid w:val="00B54859"/>
    <w:rsid w:val="00B54983"/>
    <w:rsid w:val="00B54C39"/>
    <w:rsid w:val="00B55F30"/>
    <w:rsid w:val="00B5689A"/>
    <w:rsid w:val="00B569A7"/>
    <w:rsid w:val="00B56CD9"/>
    <w:rsid w:val="00B57C42"/>
    <w:rsid w:val="00B57FCB"/>
    <w:rsid w:val="00B600F2"/>
    <w:rsid w:val="00B60B75"/>
    <w:rsid w:val="00B629BA"/>
    <w:rsid w:val="00B63D64"/>
    <w:rsid w:val="00B64C91"/>
    <w:rsid w:val="00B653D6"/>
    <w:rsid w:val="00B6682D"/>
    <w:rsid w:val="00B66C5B"/>
    <w:rsid w:val="00B66EEE"/>
    <w:rsid w:val="00B67EFF"/>
    <w:rsid w:val="00B70069"/>
    <w:rsid w:val="00B70079"/>
    <w:rsid w:val="00B70C4B"/>
    <w:rsid w:val="00B70D5D"/>
    <w:rsid w:val="00B70DA7"/>
    <w:rsid w:val="00B71093"/>
    <w:rsid w:val="00B715D9"/>
    <w:rsid w:val="00B718A1"/>
    <w:rsid w:val="00B718D3"/>
    <w:rsid w:val="00B71CB0"/>
    <w:rsid w:val="00B72823"/>
    <w:rsid w:val="00B72F0A"/>
    <w:rsid w:val="00B73214"/>
    <w:rsid w:val="00B744DE"/>
    <w:rsid w:val="00B746DF"/>
    <w:rsid w:val="00B748FE"/>
    <w:rsid w:val="00B74F1F"/>
    <w:rsid w:val="00B75429"/>
    <w:rsid w:val="00B754B7"/>
    <w:rsid w:val="00B76176"/>
    <w:rsid w:val="00B764F1"/>
    <w:rsid w:val="00B77BFC"/>
    <w:rsid w:val="00B8057D"/>
    <w:rsid w:val="00B80CDF"/>
    <w:rsid w:val="00B80E35"/>
    <w:rsid w:val="00B8180F"/>
    <w:rsid w:val="00B81F1A"/>
    <w:rsid w:val="00B81F94"/>
    <w:rsid w:val="00B821E9"/>
    <w:rsid w:val="00B824F6"/>
    <w:rsid w:val="00B82518"/>
    <w:rsid w:val="00B82E42"/>
    <w:rsid w:val="00B83478"/>
    <w:rsid w:val="00B84C17"/>
    <w:rsid w:val="00B84C94"/>
    <w:rsid w:val="00B8501B"/>
    <w:rsid w:val="00B85024"/>
    <w:rsid w:val="00B8504E"/>
    <w:rsid w:val="00B8549A"/>
    <w:rsid w:val="00B85685"/>
    <w:rsid w:val="00B86A6F"/>
    <w:rsid w:val="00B86EE5"/>
    <w:rsid w:val="00B8715F"/>
    <w:rsid w:val="00B87692"/>
    <w:rsid w:val="00B8774D"/>
    <w:rsid w:val="00B90C88"/>
    <w:rsid w:val="00B914E7"/>
    <w:rsid w:val="00B91723"/>
    <w:rsid w:val="00B91B9C"/>
    <w:rsid w:val="00B91CB7"/>
    <w:rsid w:val="00B92117"/>
    <w:rsid w:val="00B932AA"/>
    <w:rsid w:val="00B93CBE"/>
    <w:rsid w:val="00B94524"/>
    <w:rsid w:val="00B94AB4"/>
    <w:rsid w:val="00B94B48"/>
    <w:rsid w:val="00B95353"/>
    <w:rsid w:val="00B9535A"/>
    <w:rsid w:val="00B95684"/>
    <w:rsid w:val="00B96CA0"/>
    <w:rsid w:val="00B9728C"/>
    <w:rsid w:val="00BA0185"/>
    <w:rsid w:val="00BA18AB"/>
    <w:rsid w:val="00BA2054"/>
    <w:rsid w:val="00BA318D"/>
    <w:rsid w:val="00BA3355"/>
    <w:rsid w:val="00BA34CB"/>
    <w:rsid w:val="00BA409B"/>
    <w:rsid w:val="00BA5140"/>
    <w:rsid w:val="00BA51D4"/>
    <w:rsid w:val="00BA5D15"/>
    <w:rsid w:val="00BA66D8"/>
    <w:rsid w:val="00BA6CB1"/>
    <w:rsid w:val="00BA6D5E"/>
    <w:rsid w:val="00BA770E"/>
    <w:rsid w:val="00BA77E1"/>
    <w:rsid w:val="00BA7A22"/>
    <w:rsid w:val="00BB0958"/>
    <w:rsid w:val="00BB095F"/>
    <w:rsid w:val="00BB10CF"/>
    <w:rsid w:val="00BB15CB"/>
    <w:rsid w:val="00BB16C9"/>
    <w:rsid w:val="00BB20DD"/>
    <w:rsid w:val="00BB2483"/>
    <w:rsid w:val="00BB24C1"/>
    <w:rsid w:val="00BB420B"/>
    <w:rsid w:val="00BB44CE"/>
    <w:rsid w:val="00BB4A51"/>
    <w:rsid w:val="00BB4DCD"/>
    <w:rsid w:val="00BB5310"/>
    <w:rsid w:val="00BB7A5F"/>
    <w:rsid w:val="00BB7C2E"/>
    <w:rsid w:val="00BC006C"/>
    <w:rsid w:val="00BC0254"/>
    <w:rsid w:val="00BC0614"/>
    <w:rsid w:val="00BC0B18"/>
    <w:rsid w:val="00BC1486"/>
    <w:rsid w:val="00BC1B8D"/>
    <w:rsid w:val="00BC2C47"/>
    <w:rsid w:val="00BC2FF1"/>
    <w:rsid w:val="00BC32BA"/>
    <w:rsid w:val="00BC35EF"/>
    <w:rsid w:val="00BC35FE"/>
    <w:rsid w:val="00BC3E61"/>
    <w:rsid w:val="00BC481B"/>
    <w:rsid w:val="00BC4A5F"/>
    <w:rsid w:val="00BC4D92"/>
    <w:rsid w:val="00BC525E"/>
    <w:rsid w:val="00BC5C73"/>
    <w:rsid w:val="00BC66DD"/>
    <w:rsid w:val="00BC6C31"/>
    <w:rsid w:val="00BC731D"/>
    <w:rsid w:val="00BC7654"/>
    <w:rsid w:val="00BC78E6"/>
    <w:rsid w:val="00BC7BE8"/>
    <w:rsid w:val="00BD0156"/>
    <w:rsid w:val="00BD016D"/>
    <w:rsid w:val="00BD03AC"/>
    <w:rsid w:val="00BD1CCB"/>
    <w:rsid w:val="00BD2E9A"/>
    <w:rsid w:val="00BD301D"/>
    <w:rsid w:val="00BD329B"/>
    <w:rsid w:val="00BD32E4"/>
    <w:rsid w:val="00BD3CBC"/>
    <w:rsid w:val="00BD49DD"/>
    <w:rsid w:val="00BD4BCC"/>
    <w:rsid w:val="00BD5581"/>
    <w:rsid w:val="00BD5ECA"/>
    <w:rsid w:val="00BD66C7"/>
    <w:rsid w:val="00BD6E2E"/>
    <w:rsid w:val="00BD73C1"/>
    <w:rsid w:val="00BD740D"/>
    <w:rsid w:val="00BD78D9"/>
    <w:rsid w:val="00BD7932"/>
    <w:rsid w:val="00BD79A1"/>
    <w:rsid w:val="00BD79F6"/>
    <w:rsid w:val="00BE010C"/>
    <w:rsid w:val="00BE06CF"/>
    <w:rsid w:val="00BE0BE9"/>
    <w:rsid w:val="00BE14BB"/>
    <w:rsid w:val="00BE1690"/>
    <w:rsid w:val="00BE1BC2"/>
    <w:rsid w:val="00BE2029"/>
    <w:rsid w:val="00BE2045"/>
    <w:rsid w:val="00BE2A27"/>
    <w:rsid w:val="00BE3296"/>
    <w:rsid w:val="00BE331B"/>
    <w:rsid w:val="00BE3A8B"/>
    <w:rsid w:val="00BE3B9C"/>
    <w:rsid w:val="00BE3F70"/>
    <w:rsid w:val="00BE44D9"/>
    <w:rsid w:val="00BE5063"/>
    <w:rsid w:val="00BE51A7"/>
    <w:rsid w:val="00BE55C1"/>
    <w:rsid w:val="00BE5D93"/>
    <w:rsid w:val="00BE6777"/>
    <w:rsid w:val="00BE7941"/>
    <w:rsid w:val="00BE7C23"/>
    <w:rsid w:val="00BE7D2C"/>
    <w:rsid w:val="00BF0928"/>
    <w:rsid w:val="00BF09A9"/>
    <w:rsid w:val="00BF18B7"/>
    <w:rsid w:val="00BF2D08"/>
    <w:rsid w:val="00BF38C8"/>
    <w:rsid w:val="00BF4733"/>
    <w:rsid w:val="00BF4999"/>
    <w:rsid w:val="00BF49E5"/>
    <w:rsid w:val="00BF4B49"/>
    <w:rsid w:val="00BF6565"/>
    <w:rsid w:val="00BF6B98"/>
    <w:rsid w:val="00BF6D2D"/>
    <w:rsid w:val="00BF7AE4"/>
    <w:rsid w:val="00BF7B12"/>
    <w:rsid w:val="00BF7B3C"/>
    <w:rsid w:val="00BF7EE4"/>
    <w:rsid w:val="00C0021D"/>
    <w:rsid w:val="00C00763"/>
    <w:rsid w:val="00C00793"/>
    <w:rsid w:val="00C00853"/>
    <w:rsid w:val="00C0099A"/>
    <w:rsid w:val="00C01224"/>
    <w:rsid w:val="00C01683"/>
    <w:rsid w:val="00C03070"/>
    <w:rsid w:val="00C03746"/>
    <w:rsid w:val="00C0374E"/>
    <w:rsid w:val="00C03BAA"/>
    <w:rsid w:val="00C03C13"/>
    <w:rsid w:val="00C04277"/>
    <w:rsid w:val="00C043D3"/>
    <w:rsid w:val="00C04D9A"/>
    <w:rsid w:val="00C04FF6"/>
    <w:rsid w:val="00C050BA"/>
    <w:rsid w:val="00C050DA"/>
    <w:rsid w:val="00C053AA"/>
    <w:rsid w:val="00C058D9"/>
    <w:rsid w:val="00C05BCE"/>
    <w:rsid w:val="00C06352"/>
    <w:rsid w:val="00C06E51"/>
    <w:rsid w:val="00C07614"/>
    <w:rsid w:val="00C07D17"/>
    <w:rsid w:val="00C108FC"/>
    <w:rsid w:val="00C10B09"/>
    <w:rsid w:val="00C10BA5"/>
    <w:rsid w:val="00C10CD2"/>
    <w:rsid w:val="00C10FE9"/>
    <w:rsid w:val="00C118CA"/>
    <w:rsid w:val="00C126B5"/>
    <w:rsid w:val="00C12C52"/>
    <w:rsid w:val="00C12D05"/>
    <w:rsid w:val="00C1331F"/>
    <w:rsid w:val="00C1341C"/>
    <w:rsid w:val="00C14BC1"/>
    <w:rsid w:val="00C14CAF"/>
    <w:rsid w:val="00C14DCC"/>
    <w:rsid w:val="00C1505F"/>
    <w:rsid w:val="00C16E0A"/>
    <w:rsid w:val="00C171CC"/>
    <w:rsid w:val="00C172DC"/>
    <w:rsid w:val="00C17AB0"/>
    <w:rsid w:val="00C20539"/>
    <w:rsid w:val="00C20DB6"/>
    <w:rsid w:val="00C20FCB"/>
    <w:rsid w:val="00C22722"/>
    <w:rsid w:val="00C2283B"/>
    <w:rsid w:val="00C242D7"/>
    <w:rsid w:val="00C24403"/>
    <w:rsid w:val="00C248D8"/>
    <w:rsid w:val="00C24A62"/>
    <w:rsid w:val="00C251CE"/>
    <w:rsid w:val="00C25D64"/>
    <w:rsid w:val="00C260AF"/>
    <w:rsid w:val="00C261DB"/>
    <w:rsid w:val="00C26935"/>
    <w:rsid w:val="00C26B5D"/>
    <w:rsid w:val="00C26E4F"/>
    <w:rsid w:val="00C26F55"/>
    <w:rsid w:val="00C277B2"/>
    <w:rsid w:val="00C31107"/>
    <w:rsid w:val="00C3201A"/>
    <w:rsid w:val="00C32510"/>
    <w:rsid w:val="00C325E3"/>
    <w:rsid w:val="00C32F53"/>
    <w:rsid w:val="00C33C3F"/>
    <w:rsid w:val="00C3416F"/>
    <w:rsid w:val="00C343E5"/>
    <w:rsid w:val="00C3444A"/>
    <w:rsid w:val="00C34726"/>
    <w:rsid w:val="00C34A97"/>
    <w:rsid w:val="00C34B31"/>
    <w:rsid w:val="00C356E1"/>
    <w:rsid w:val="00C357F7"/>
    <w:rsid w:val="00C3583F"/>
    <w:rsid w:val="00C363A2"/>
    <w:rsid w:val="00C37383"/>
    <w:rsid w:val="00C376B8"/>
    <w:rsid w:val="00C37A6D"/>
    <w:rsid w:val="00C404FE"/>
    <w:rsid w:val="00C4077E"/>
    <w:rsid w:val="00C40F4F"/>
    <w:rsid w:val="00C410E4"/>
    <w:rsid w:val="00C412E2"/>
    <w:rsid w:val="00C417CB"/>
    <w:rsid w:val="00C42AE8"/>
    <w:rsid w:val="00C43970"/>
    <w:rsid w:val="00C43E03"/>
    <w:rsid w:val="00C442F2"/>
    <w:rsid w:val="00C443F4"/>
    <w:rsid w:val="00C45949"/>
    <w:rsid w:val="00C46461"/>
    <w:rsid w:val="00C4713C"/>
    <w:rsid w:val="00C47148"/>
    <w:rsid w:val="00C47444"/>
    <w:rsid w:val="00C47961"/>
    <w:rsid w:val="00C50F50"/>
    <w:rsid w:val="00C5156E"/>
    <w:rsid w:val="00C518EC"/>
    <w:rsid w:val="00C51987"/>
    <w:rsid w:val="00C5222A"/>
    <w:rsid w:val="00C52443"/>
    <w:rsid w:val="00C52AF9"/>
    <w:rsid w:val="00C53E6F"/>
    <w:rsid w:val="00C54F87"/>
    <w:rsid w:val="00C55279"/>
    <w:rsid w:val="00C55A30"/>
    <w:rsid w:val="00C55DED"/>
    <w:rsid w:val="00C569DD"/>
    <w:rsid w:val="00C57A9A"/>
    <w:rsid w:val="00C57C53"/>
    <w:rsid w:val="00C60430"/>
    <w:rsid w:val="00C604C2"/>
    <w:rsid w:val="00C6164F"/>
    <w:rsid w:val="00C618EE"/>
    <w:rsid w:val="00C622D2"/>
    <w:rsid w:val="00C62ED3"/>
    <w:rsid w:val="00C630BD"/>
    <w:rsid w:val="00C63368"/>
    <w:rsid w:val="00C63976"/>
    <w:rsid w:val="00C63A00"/>
    <w:rsid w:val="00C63BA7"/>
    <w:rsid w:val="00C66291"/>
    <w:rsid w:val="00C6790B"/>
    <w:rsid w:val="00C67FE0"/>
    <w:rsid w:val="00C7093F"/>
    <w:rsid w:val="00C72974"/>
    <w:rsid w:val="00C72B70"/>
    <w:rsid w:val="00C745D7"/>
    <w:rsid w:val="00C751DC"/>
    <w:rsid w:val="00C760E9"/>
    <w:rsid w:val="00C76F1D"/>
    <w:rsid w:val="00C7704C"/>
    <w:rsid w:val="00C77914"/>
    <w:rsid w:val="00C80138"/>
    <w:rsid w:val="00C801AB"/>
    <w:rsid w:val="00C80627"/>
    <w:rsid w:val="00C826CF"/>
    <w:rsid w:val="00C830F6"/>
    <w:rsid w:val="00C84CF9"/>
    <w:rsid w:val="00C84F19"/>
    <w:rsid w:val="00C8627A"/>
    <w:rsid w:val="00C86479"/>
    <w:rsid w:val="00C86867"/>
    <w:rsid w:val="00C86CC6"/>
    <w:rsid w:val="00C876CD"/>
    <w:rsid w:val="00C90C72"/>
    <w:rsid w:val="00C90E5B"/>
    <w:rsid w:val="00C91F14"/>
    <w:rsid w:val="00C9394C"/>
    <w:rsid w:val="00C949BF"/>
    <w:rsid w:val="00C94AB1"/>
    <w:rsid w:val="00C94EA1"/>
    <w:rsid w:val="00C968FE"/>
    <w:rsid w:val="00C96D48"/>
    <w:rsid w:val="00C972E3"/>
    <w:rsid w:val="00C97464"/>
    <w:rsid w:val="00C97F50"/>
    <w:rsid w:val="00CA0419"/>
    <w:rsid w:val="00CA0711"/>
    <w:rsid w:val="00CA0D98"/>
    <w:rsid w:val="00CA0EBD"/>
    <w:rsid w:val="00CA128A"/>
    <w:rsid w:val="00CA18D3"/>
    <w:rsid w:val="00CA19E0"/>
    <w:rsid w:val="00CA297C"/>
    <w:rsid w:val="00CA29B8"/>
    <w:rsid w:val="00CA3BE0"/>
    <w:rsid w:val="00CA4132"/>
    <w:rsid w:val="00CA490F"/>
    <w:rsid w:val="00CA507E"/>
    <w:rsid w:val="00CA5C4C"/>
    <w:rsid w:val="00CA7136"/>
    <w:rsid w:val="00CA7F7D"/>
    <w:rsid w:val="00CB0592"/>
    <w:rsid w:val="00CB0CF2"/>
    <w:rsid w:val="00CB14BC"/>
    <w:rsid w:val="00CB17DE"/>
    <w:rsid w:val="00CB1F00"/>
    <w:rsid w:val="00CB2737"/>
    <w:rsid w:val="00CB322F"/>
    <w:rsid w:val="00CB3883"/>
    <w:rsid w:val="00CB3C93"/>
    <w:rsid w:val="00CB4818"/>
    <w:rsid w:val="00CB4EB1"/>
    <w:rsid w:val="00CB54C4"/>
    <w:rsid w:val="00CB63E5"/>
    <w:rsid w:val="00CB68B7"/>
    <w:rsid w:val="00CB7128"/>
    <w:rsid w:val="00CB7697"/>
    <w:rsid w:val="00CB7A37"/>
    <w:rsid w:val="00CC13DF"/>
    <w:rsid w:val="00CC1866"/>
    <w:rsid w:val="00CC18DD"/>
    <w:rsid w:val="00CC1935"/>
    <w:rsid w:val="00CC22A4"/>
    <w:rsid w:val="00CC2868"/>
    <w:rsid w:val="00CC2F4F"/>
    <w:rsid w:val="00CC328C"/>
    <w:rsid w:val="00CC40CB"/>
    <w:rsid w:val="00CC4530"/>
    <w:rsid w:val="00CC66F9"/>
    <w:rsid w:val="00CC70E0"/>
    <w:rsid w:val="00CC7DA5"/>
    <w:rsid w:val="00CD0673"/>
    <w:rsid w:val="00CD0E5C"/>
    <w:rsid w:val="00CD0F21"/>
    <w:rsid w:val="00CD176F"/>
    <w:rsid w:val="00CD3026"/>
    <w:rsid w:val="00CD377B"/>
    <w:rsid w:val="00CD38C4"/>
    <w:rsid w:val="00CD3EAE"/>
    <w:rsid w:val="00CD40DF"/>
    <w:rsid w:val="00CD4A3A"/>
    <w:rsid w:val="00CD5243"/>
    <w:rsid w:val="00CD53BD"/>
    <w:rsid w:val="00CD65DB"/>
    <w:rsid w:val="00CD6632"/>
    <w:rsid w:val="00CD66F1"/>
    <w:rsid w:val="00CD6845"/>
    <w:rsid w:val="00CD7120"/>
    <w:rsid w:val="00CE0015"/>
    <w:rsid w:val="00CE0CD1"/>
    <w:rsid w:val="00CE1602"/>
    <w:rsid w:val="00CE2031"/>
    <w:rsid w:val="00CE24A9"/>
    <w:rsid w:val="00CE2A47"/>
    <w:rsid w:val="00CE2E78"/>
    <w:rsid w:val="00CE2F48"/>
    <w:rsid w:val="00CE409F"/>
    <w:rsid w:val="00CE4338"/>
    <w:rsid w:val="00CE4978"/>
    <w:rsid w:val="00CE4C62"/>
    <w:rsid w:val="00CE4D72"/>
    <w:rsid w:val="00CE5493"/>
    <w:rsid w:val="00CE62B3"/>
    <w:rsid w:val="00CE640E"/>
    <w:rsid w:val="00CE6E96"/>
    <w:rsid w:val="00CE7582"/>
    <w:rsid w:val="00CF042E"/>
    <w:rsid w:val="00CF1D4F"/>
    <w:rsid w:val="00CF2866"/>
    <w:rsid w:val="00CF2D68"/>
    <w:rsid w:val="00CF3047"/>
    <w:rsid w:val="00CF3682"/>
    <w:rsid w:val="00CF4382"/>
    <w:rsid w:val="00CF4401"/>
    <w:rsid w:val="00CF5A6B"/>
    <w:rsid w:val="00CF6E30"/>
    <w:rsid w:val="00CF751C"/>
    <w:rsid w:val="00CF7A94"/>
    <w:rsid w:val="00D01151"/>
    <w:rsid w:val="00D01AE9"/>
    <w:rsid w:val="00D01DA6"/>
    <w:rsid w:val="00D01E45"/>
    <w:rsid w:val="00D0200A"/>
    <w:rsid w:val="00D020DF"/>
    <w:rsid w:val="00D0260F"/>
    <w:rsid w:val="00D036B1"/>
    <w:rsid w:val="00D03BF2"/>
    <w:rsid w:val="00D0421D"/>
    <w:rsid w:val="00D0542C"/>
    <w:rsid w:val="00D05C36"/>
    <w:rsid w:val="00D064E0"/>
    <w:rsid w:val="00D071C5"/>
    <w:rsid w:val="00D07DCB"/>
    <w:rsid w:val="00D11466"/>
    <w:rsid w:val="00D1181B"/>
    <w:rsid w:val="00D11FAE"/>
    <w:rsid w:val="00D13257"/>
    <w:rsid w:val="00D14210"/>
    <w:rsid w:val="00D14291"/>
    <w:rsid w:val="00D145AF"/>
    <w:rsid w:val="00D14E32"/>
    <w:rsid w:val="00D14E9E"/>
    <w:rsid w:val="00D14F3C"/>
    <w:rsid w:val="00D1508C"/>
    <w:rsid w:val="00D150FD"/>
    <w:rsid w:val="00D1679E"/>
    <w:rsid w:val="00D17237"/>
    <w:rsid w:val="00D17C86"/>
    <w:rsid w:val="00D17D0E"/>
    <w:rsid w:val="00D2008E"/>
    <w:rsid w:val="00D2028E"/>
    <w:rsid w:val="00D205D7"/>
    <w:rsid w:val="00D212E2"/>
    <w:rsid w:val="00D216C2"/>
    <w:rsid w:val="00D21B22"/>
    <w:rsid w:val="00D221C8"/>
    <w:rsid w:val="00D228EF"/>
    <w:rsid w:val="00D23729"/>
    <w:rsid w:val="00D23C85"/>
    <w:rsid w:val="00D24446"/>
    <w:rsid w:val="00D24DE8"/>
    <w:rsid w:val="00D25453"/>
    <w:rsid w:val="00D25744"/>
    <w:rsid w:val="00D26630"/>
    <w:rsid w:val="00D2782B"/>
    <w:rsid w:val="00D2784B"/>
    <w:rsid w:val="00D278AF"/>
    <w:rsid w:val="00D27991"/>
    <w:rsid w:val="00D300A6"/>
    <w:rsid w:val="00D3060A"/>
    <w:rsid w:val="00D30705"/>
    <w:rsid w:val="00D30FE8"/>
    <w:rsid w:val="00D312BE"/>
    <w:rsid w:val="00D3131C"/>
    <w:rsid w:val="00D31B2A"/>
    <w:rsid w:val="00D31BFB"/>
    <w:rsid w:val="00D31D65"/>
    <w:rsid w:val="00D31DD7"/>
    <w:rsid w:val="00D320D5"/>
    <w:rsid w:val="00D3299D"/>
    <w:rsid w:val="00D33035"/>
    <w:rsid w:val="00D335BE"/>
    <w:rsid w:val="00D34700"/>
    <w:rsid w:val="00D357EC"/>
    <w:rsid w:val="00D368D1"/>
    <w:rsid w:val="00D36A50"/>
    <w:rsid w:val="00D36BB6"/>
    <w:rsid w:val="00D411F0"/>
    <w:rsid w:val="00D4128D"/>
    <w:rsid w:val="00D413F4"/>
    <w:rsid w:val="00D41504"/>
    <w:rsid w:val="00D42D12"/>
    <w:rsid w:val="00D42D5B"/>
    <w:rsid w:val="00D43510"/>
    <w:rsid w:val="00D435A8"/>
    <w:rsid w:val="00D444E5"/>
    <w:rsid w:val="00D44EDC"/>
    <w:rsid w:val="00D4522A"/>
    <w:rsid w:val="00D45E91"/>
    <w:rsid w:val="00D460EE"/>
    <w:rsid w:val="00D466F5"/>
    <w:rsid w:val="00D479EF"/>
    <w:rsid w:val="00D505BA"/>
    <w:rsid w:val="00D5066E"/>
    <w:rsid w:val="00D5070F"/>
    <w:rsid w:val="00D5080A"/>
    <w:rsid w:val="00D50A76"/>
    <w:rsid w:val="00D5138F"/>
    <w:rsid w:val="00D5157C"/>
    <w:rsid w:val="00D51F19"/>
    <w:rsid w:val="00D52006"/>
    <w:rsid w:val="00D52607"/>
    <w:rsid w:val="00D52BD7"/>
    <w:rsid w:val="00D533F5"/>
    <w:rsid w:val="00D5473A"/>
    <w:rsid w:val="00D55568"/>
    <w:rsid w:val="00D559DE"/>
    <w:rsid w:val="00D564A2"/>
    <w:rsid w:val="00D568BD"/>
    <w:rsid w:val="00D577E8"/>
    <w:rsid w:val="00D57987"/>
    <w:rsid w:val="00D6008B"/>
    <w:rsid w:val="00D603BB"/>
    <w:rsid w:val="00D603E7"/>
    <w:rsid w:val="00D6040E"/>
    <w:rsid w:val="00D6106D"/>
    <w:rsid w:val="00D61913"/>
    <w:rsid w:val="00D6229F"/>
    <w:rsid w:val="00D628D2"/>
    <w:rsid w:val="00D636FB"/>
    <w:rsid w:val="00D63D19"/>
    <w:rsid w:val="00D655E6"/>
    <w:rsid w:val="00D6581C"/>
    <w:rsid w:val="00D6701C"/>
    <w:rsid w:val="00D672A6"/>
    <w:rsid w:val="00D677BB"/>
    <w:rsid w:val="00D679F1"/>
    <w:rsid w:val="00D67A5F"/>
    <w:rsid w:val="00D70C36"/>
    <w:rsid w:val="00D71700"/>
    <w:rsid w:val="00D71A45"/>
    <w:rsid w:val="00D71D3A"/>
    <w:rsid w:val="00D71DE9"/>
    <w:rsid w:val="00D728EB"/>
    <w:rsid w:val="00D72CDD"/>
    <w:rsid w:val="00D73AA8"/>
    <w:rsid w:val="00D73CBD"/>
    <w:rsid w:val="00D75A06"/>
    <w:rsid w:val="00D77D87"/>
    <w:rsid w:val="00D77DAB"/>
    <w:rsid w:val="00D8028A"/>
    <w:rsid w:val="00D80BA4"/>
    <w:rsid w:val="00D81452"/>
    <w:rsid w:val="00D81E13"/>
    <w:rsid w:val="00D82CEF"/>
    <w:rsid w:val="00D82F55"/>
    <w:rsid w:val="00D83BF4"/>
    <w:rsid w:val="00D83EAA"/>
    <w:rsid w:val="00D840D7"/>
    <w:rsid w:val="00D847BA"/>
    <w:rsid w:val="00D8564E"/>
    <w:rsid w:val="00D8632A"/>
    <w:rsid w:val="00D868D6"/>
    <w:rsid w:val="00D87B3C"/>
    <w:rsid w:val="00D87CAE"/>
    <w:rsid w:val="00D87F46"/>
    <w:rsid w:val="00D87FCC"/>
    <w:rsid w:val="00D910D0"/>
    <w:rsid w:val="00D92281"/>
    <w:rsid w:val="00D9280C"/>
    <w:rsid w:val="00D92B83"/>
    <w:rsid w:val="00D93140"/>
    <w:rsid w:val="00D93447"/>
    <w:rsid w:val="00D934A7"/>
    <w:rsid w:val="00D94B2D"/>
    <w:rsid w:val="00D956A2"/>
    <w:rsid w:val="00D95788"/>
    <w:rsid w:val="00D9779F"/>
    <w:rsid w:val="00D9781F"/>
    <w:rsid w:val="00DA0FE3"/>
    <w:rsid w:val="00DA1020"/>
    <w:rsid w:val="00DA14A3"/>
    <w:rsid w:val="00DA1CD0"/>
    <w:rsid w:val="00DA2F7B"/>
    <w:rsid w:val="00DA35F9"/>
    <w:rsid w:val="00DA4FF8"/>
    <w:rsid w:val="00DA5B3C"/>
    <w:rsid w:val="00DA5DCE"/>
    <w:rsid w:val="00DA6979"/>
    <w:rsid w:val="00DA6BDA"/>
    <w:rsid w:val="00DB02CB"/>
    <w:rsid w:val="00DB02E3"/>
    <w:rsid w:val="00DB030C"/>
    <w:rsid w:val="00DB0964"/>
    <w:rsid w:val="00DB0FC6"/>
    <w:rsid w:val="00DB11F1"/>
    <w:rsid w:val="00DB1C66"/>
    <w:rsid w:val="00DB202C"/>
    <w:rsid w:val="00DB23E7"/>
    <w:rsid w:val="00DB2BD4"/>
    <w:rsid w:val="00DB3496"/>
    <w:rsid w:val="00DB3931"/>
    <w:rsid w:val="00DB59BA"/>
    <w:rsid w:val="00DB71A1"/>
    <w:rsid w:val="00DC0B7F"/>
    <w:rsid w:val="00DC0C07"/>
    <w:rsid w:val="00DC0DE5"/>
    <w:rsid w:val="00DC1E76"/>
    <w:rsid w:val="00DC251D"/>
    <w:rsid w:val="00DC2D18"/>
    <w:rsid w:val="00DC387C"/>
    <w:rsid w:val="00DC4369"/>
    <w:rsid w:val="00DC4E6E"/>
    <w:rsid w:val="00DC6A3A"/>
    <w:rsid w:val="00DC6C9B"/>
    <w:rsid w:val="00DC6E5A"/>
    <w:rsid w:val="00DC73F5"/>
    <w:rsid w:val="00DD0092"/>
    <w:rsid w:val="00DD1757"/>
    <w:rsid w:val="00DD1D64"/>
    <w:rsid w:val="00DD37B9"/>
    <w:rsid w:val="00DD41B5"/>
    <w:rsid w:val="00DD4756"/>
    <w:rsid w:val="00DD4B11"/>
    <w:rsid w:val="00DD4FE8"/>
    <w:rsid w:val="00DD50E5"/>
    <w:rsid w:val="00DD5C24"/>
    <w:rsid w:val="00DD5CDD"/>
    <w:rsid w:val="00DD6168"/>
    <w:rsid w:val="00DD668B"/>
    <w:rsid w:val="00DD66DC"/>
    <w:rsid w:val="00DE0294"/>
    <w:rsid w:val="00DE0835"/>
    <w:rsid w:val="00DE1359"/>
    <w:rsid w:val="00DE1FAB"/>
    <w:rsid w:val="00DE2F65"/>
    <w:rsid w:val="00DE3994"/>
    <w:rsid w:val="00DE41D1"/>
    <w:rsid w:val="00DE486E"/>
    <w:rsid w:val="00DE4AD9"/>
    <w:rsid w:val="00DE4F01"/>
    <w:rsid w:val="00DE5C6F"/>
    <w:rsid w:val="00DE5D08"/>
    <w:rsid w:val="00DE67C8"/>
    <w:rsid w:val="00DE6DB9"/>
    <w:rsid w:val="00DE6FA8"/>
    <w:rsid w:val="00DF0181"/>
    <w:rsid w:val="00DF153C"/>
    <w:rsid w:val="00DF20A0"/>
    <w:rsid w:val="00DF2B4F"/>
    <w:rsid w:val="00DF2BF7"/>
    <w:rsid w:val="00DF2E1C"/>
    <w:rsid w:val="00DF35C6"/>
    <w:rsid w:val="00DF43E1"/>
    <w:rsid w:val="00DF4564"/>
    <w:rsid w:val="00DF481B"/>
    <w:rsid w:val="00DF5D67"/>
    <w:rsid w:val="00DF60DF"/>
    <w:rsid w:val="00DF6B19"/>
    <w:rsid w:val="00DF7247"/>
    <w:rsid w:val="00DF7579"/>
    <w:rsid w:val="00E00308"/>
    <w:rsid w:val="00E009FA"/>
    <w:rsid w:val="00E00D9B"/>
    <w:rsid w:val="00E00EF0"/>
    <w:rsid w:val="00E01455"/>
    <w:rsid w:val="00E0176A"/>
    <w:rsid w:val="00E01ED5"/>
    <w:rsid w:val="00E022EA"/>
    <w:rsid w:val="00E023FF"/>
    <w:rsid w:val="00E036F3"/>
    <w:rsid w:val="00E03A5D"/>
    <w:rsid w:val="00E03C58"/>
    <w:rsid w:val="00E042E3"/>
    <w:rsid w:val="00E04926"/>
    <w:rsid w:val="00E0581F"/>
    <w:rsid w:val="00E0622B"/>
    <w:rsid w:val="00E062FB"/>
    <w:rsid w:val="00E06831"/>
    <w:rsid w:val="00E10357"/>
    <w:rsid w:val="00E10952"/>
    <w:rsid w:val="00E127C1"/>
    <w:rsid w:val="00E12E2B"/>
    <w:rsid w:val="00E1330B"/>
    <w:rsid w:val="00E133AB"/>
    <w:rsid w:val="00E139BE"/>
    <w:rsid w:val="00E14758"/>
    <w:rsid w:val="00E14C4A"/>
    <w:rsid w:val="00E15D02"/>
    <w:rsid w:val="00E16A29"/>
    <w:rsid w:val="00E173B2"/>
    <w:rsid w:val="00E17BDA"/>
    <w:rsid w:val="00E205DA"/>
    <w:rsid w:val="00E20B0B"/>
    <w:rsid w:val="00E20DB2"/>
    <w:rsid w:val="00E21FF5"/>
    <w:rsid w:val="00E22076"/>
    <w:rsid w:val="00E2228B"/>
    <w:rsid w:val="00E22B0E"/>
    <w:rsid w:val="00E240F9"/>
    <w:rsid w:val="00E24303"/>
    <w:rsid w:val="00E25380"/>
    <w:rsid w:val="00E253BE"/>
    <w:rsid w:val="00E25E6D"/>
    <w:rsid w:val="00E263D2"/>
    <w:rsid w:val="00E26B21"/>
    <w:rsid w:val="00E270DC"/>
    <w:rsid w:val="00E27943"/>
    <w:rsid w:val="00E30A6B"/>
    <w:rsid w:val="00E30B1E"/>
    <w:rsid w:val="00E30EEE"/>
    <w:rsid w:val="00E31CE1"/>
    <w:rsid w:val="00E325B3"/>
    <w:rsid w:val="00E32FBD"/>
    <w:rsid w:val="00E33B1E"/>
    <w:rsid w:val="00E35C01"/>
    <w:rsid w:val="00E360B2"/>
    <w:rsid w:val="00E3624E"/>
    <w:rsid w:val="00E36635"/>
    <w:rsid w:val="00E36D86"/>
    <w:rsid w:val="00E37EF7"/>
    <w:rsid w:val="00E40C65"/>
    <w:rsid w:val="00E40D6D"/>
    <w:rsid w:val="00E40D8B"/>
    <w:rsid w:val="00E41C3A"/>
    <w:rsid w:val="00E41CEC"/>
    <w:rsid w:val="00E41FF3"/>
    <w:rsid w:val="00E4227F"/>
    <w:rsid w:val="00E4261F"/>
    <w:rsid w:val="00E43156"/>
    <w:rsid w:val="00E43976"/>
    <w:rsid w:val="00E449F4"/>
    <w:rsid w:val="00E4571E"/>
    <w:rsid w:val="00E457CB"/>
    <w:rsid w:val="00E47014"/>
    <w:rsid w:val="00E47750"/>
    <w:rsid w:val="00E50102"/>
    <w:rsid w:val="00E501B8"/>
    <w:rsid w:val="00E501E4"/>
    <w:rsid w:val="00E50FE6"/>
    <w:rsid w:val="00E5161F"/>
    <w:rsid w:val="00E526C8"/>
    <w:rsid w:val="00E52BF8"/>
    <w:rsid w:val="00E52EB9"/>
    <w:rsid w:val="00E5380F"/>
    <w:rsid w:val="00E53953"/>
    <w:rsid w:val="00E54114"/>
    <w:rsid w:val="00E56876"/>
    <w:rsid w:val="00E56BF2"/>
    <w:rsid w:val="00E603A2"/>
    <w:rsid w:val="00E60B25"/>
    <w:rsid w:val="00E6178B"/>
    <w:rsid w:val="00E61E5B"/>
    <w:rsid w:val="00E6232A"/>
    <w:rsid w:val="00E62748"/>
    <w:rsid w:val="00E63DEA"/>
    <w:rsid w:val="00E64053"/>
    <w:rsid w:val="00E644C0"/>
    <w:rsid w:val="00E6496F"/>
    <w:rsid w:val="00E64C24"/>
    <w:rsid w:val="00E64D10"/>
    <w:rsid w:val="00E64DDA"/>
    <w:rsid w:val="00E65486"/>
    <w:rsid w:val="00E656B8"/>
    <w:rsid w:val="00E66856"/>
    <w:rsid w:val="00E700F1"/>
    <w:rsid w:val="00E70A95"/>
    <w:rsid w:val="00E70E62"/>
    <w:rsid w:val="00E70EC7"/>
    <w:rsid w:val="00E71068"/>
    <w:rsid w:val="00E715F2"/>
    <w:rsid w:val="00E7169D"/>
    <w:rsid w:val="00E725FD"/>
    <w:rsid w:val="00E731A4"/>
    <w:rsid w:val="00E73780"/>
    <w:rsid w:val="00E73DF4"/>
    <w:rsid w:val="00E743ED"/>
    <w:rsid w:val="00E74461"/>
    <w:rsid w:val="00E74610"/>
    <w:rsid w:val="00E75204"/>
    <w:rsid w:val="00E76830"/>
    <w:rsid w:val="00E76B83"/>
    <w:rsid w:val="00E76CE2"/>
    <w:rsid w:val="00E77421"/>
    <w:rsid w:val="00E7792E"/>
    <w:rsid w:val="00E77E4E"/>
    <w:rsid w:val="00E80505"/>
    <w:rsid w:val="00E8143E"/>
    <w:rsid w:val="00E8160D"/>
    <w:rsid w:val="00E8258E"/>
    <w:rsid w:val="00E83CEC"/>
    <w:rsid w:val="00E84A2E"/>
    <w:rsid w:val="00E84CAF"/>
    <w:rsid w:val="00E85291"/>
    <w:rsid w:val="00E85C17"/>
    <w:rsid w:val="00E86626"/>
    <w:rsid w:val="00E86D7A"/>
    <w:rsid w:val="00E86EEC"/>
    <w:rsid w:val="00E87284"/>
    <w:rsid w:val="00E87ACB"/>
    <w:rsid w:val="00E92623"/>
    <w:rsid w:val="00E92866"/>
    <w:rsid w:val="00E93136"/>
    <w:rsid w:val="00E94134"/>
    <w:rsid w:val="00E94E97"/>
    <w:rsid w:val="00E952EC"/>
    <w:rsid w:val="00E965D6"/>
    <w:rsid w:val="00E96836"/>
    <w:rsid w:val="00E96C26"/>
    <w:rsid w:val="00EA0607"/>
    <w:rsid w:val="00EA1075"/>
    <w:rsid w:val="00EA25B3"/>
    <w:rsid w:val="00EA28AE"/>
    <w:rsid w:val="00EA451E"/>
    <w:rsid w:val="00EA4971"/>
    <w:rsid w:val="00EA4E38"/>
    <w:rsid w:val="00EA54F9"/>
    <w:rsid w:val="00EA5F7B"/>
    <w:rsid w:val="00EA692A"/>
    <w:rsid w:val="00EA69A4"/>
    <w:rsid w:val="00EA7408"/>
    <w:rsid w:val="00EA76DD"/>
    <w:rsid w:val="00EA7973"/>
    <w:rsid w:val="00EA7979"/>
    <w:rsid w:val="00EA7D2A"/>
    <w:rsid w:val="00EB0F37"/>
    <w:rsid w:val="00EB14BD"/>
    <w:rsid w:val="00EB19D7"/>
    <w:rsid w:val="00EB1CFB"/>
    <w:rsid w:val="00EB1DFE"/>
    <w:rsid w:val="00EB1EDE"/>
    <w:rsid w:val="00EB27D2"/>
    <w:rsid w:val="00EB292B"/>
    <w:rsid w:val="00EB314C"/>
    <w:rsid w:val="00EB3222"/>
    <w:rsid w:val="00EB3357"/>
    <w:rsid w:val="00EB477F"/>
    <w:rsid w:val="00EB4D94"/>
    <w:rsid w:val="00EB52A9"/>
    <w:rsid w:val="00EB5C7B"/>
    <w:rsid w:val="00EC013C"/>
    <w:rsid w:val="00EC035D"/>
    <w:rsid w:val="00EC04FA"/>
    <w:rsid w:val="00EC10AA"/>
    <w:rsid w:val="00EC15BE"/>
    <w:rsid w:val="00EC1623"/>
    <w:rsid w:val="00EC2351"/>
    <w:rsid w:val="00EC3A1A"/>
    <w:rsid w:val="00EC3A74"/>
    <w:rsid w:val="00EC49DB"/>
    <w:rsid w:val="00EC4AF9"/>
    <w:rsid w:val="00EC4C5D"/>
    <w:rsid w:val="00EC5608"/>
    <w:rsid w:val="00EC71FE"/>
    <w:rsid w:val="00EC76E0"/>
    <w:rsid w:val="00EC7F18"/>
    <w:rsid w:val="00ED02B1"/>
    <w:rsid w:val="00ED0622"/>
    <w:rsid w:val="00ED06FA"/>
    <w:rsid w:val="00ED2D64"/>
    <w:rsid w:val="00ED2D70"/>
    <w:rsid w:val="00ED2E37"/>
    <w:rsid w:val="00ED3254"/>
    <w:rsid w:val="00ED399E"/>
    <w:rsid w:val="00ED3DEE"/>
    <w:rsid w:val="00ED4025"/>
    <w:rsid w:val="00ED4879"/>
    <w:rsid w:val="00ED4FDC"/>
    <w:rsid w:val="00ED5458"/>
    <w:rsid w:val="00ED5605"/>
    <w:rsid w:val="00ED60F9"/>
    <w:rsid w:val="00ED653E"/>
    <w:rsid w:val="00ED6549"/>
    <w:rsid w:val="00ED6C74"/>
    <w:rsid w:val="00ED7886"/>
    <w:rsid w:val="00ED7E72"/>
    <w:rsid w:val="00EE0239"/>
    <w:rsid w:val="00EE110D"/>
    <w:rsid w:val="00EE13BD"/>
    <w:rsid w:val="00EE1B32"/>
    <w:rsid w:val="00EE2137"/>
    <w:rsid w:val="00EE2840"/>
    <w:rsid w:val="00EE3A6F"/>
    <w:rsid w:val="00EE485F"/>
    <w:rsid w:val="00EE4933"/>
    <w:rsid w:val="00EE4A00"/>
    <w:rsid w:val="00EE4F17"/>
    <w:rsid w:val="00EE5303"/>
    <w:rsid w:val="00EE5335"/>
    <w:rsid w:val="00EE56F5"/>
    <w:rsid w:val="00EE5E20"/>
    <w:rsid w:val="00EE60E2"/>
    <w:rsid w:val="00EE63B7"/>
    <w:rsid w:val="00EE6D9A"/>
    <w:rsid w:val="00EE73A5"/>
    <w:rsid w:val="00EE75EA"/>
    <w:rsid w:val="00EF00A9"/>
    <w:rsid w:val="00EF0ADD"/>
    <w:rsid w:val="00EF0BEE"/>
    <w:rsid w:val="00EF1842"/>
    <w:rsid w:val="00EF263F"/>
    <w:rsid w:val="00EF2755"/>
    <w:rsid w:val="00EF2894"/>
    <w:rsid w:val="00EF2F68"/>
    <w:rsid w:val="00EF3AE0"/>
    <w:rsid w:val="00EF3E05"/>
    <w:rsid w:val="00EF44F9"/>
    <w:rsid w:val="00EF49D4"/>
    <w:rsid w:val="00EF5BAF"/>
    <w:rsid w:val="00EF6840"/>
    <w:rsid w:val="00EF6C8A"/>
    <w:rsid w:val="00EF6D84"/>
    <w:rsid w:val="00EF758D"/>
    <w:rsid w:val="00EF7BCE"/>
    <w:rsid w:val="00F01292"/>
    <w:rsid w:val="00F01341"/>
    <w:rsid w:val="00F0175A"/>
    <w:rsid w:val="00F01816"/>
    <w:rsid w:val="00F028FF"/>
    <w:rsid w:val="00F02B43"/>
    <w:rsid w:val="00F02BF2"/>
    <w:rsid w:val="00F02DB2"/>
    <w:rsid w:val="00F02EEA"/>
    <w:rsid w:val="00F03466"/>
    <w:rsid w:val="00F0377B"/>
    <w:rsid w:val="00F03976"/>
    <w:rsid w:val="00F03B58"/>
    <w:rsid w:val="00F0422C"/>
    <w:rsid w:val="00F049A2"/>
    <w:rsid w:val="00F05105"/>
    <w:rsid w:val="00F056E0"/>
    <w:rsid w:val="00F05CA3"/>
    <w:rsid w:val="00F0615C"/>
    <w:rsid w:val="00F06773"/>
    <w:rsid w:val="00F06CD4"/>
    <w:rsid w:val="00F07055"/>
    <w:rsid w:val="00F07A36"/>
    <w:rsid w:val="00F10606"/>
    <w:rsid w:val="00F107A3"/>
    <w:rsid w:val="00F11036"/>
    <w:rsid w:val="00F11187"/>
    <w:rsid w:val="00F11A62"/>
    <w:rsid w:val="00F11C3B"/>
    <w:rsid w:val="00F12124"/>
    <w:rsid w:val="00F13D22"/>
    <w:rsid w:val="00F13FA5"/>
    <w:rsid w:val="00F13FCE"/>
    <w:rsid w:val="00F14394"/>
    <w:rsid w:val="00F14AA5"/>
    <w:rsid w:val="00F15282"/>
    <w:rsid w:val="00F15541"/>
    <w:rsid w:val="00F16111"/>
    <w:rsid w:val="00F16528"/>
    <w:rsid w:val="00F1751D"/>
    <w:rsid w:val="00F17FAE"/>
    <w:rsid w:val="00F209AE"/>
    <w:rsid w:val="00F20B9D"/>
    <w:rsid w:val="00F212EB"/>
    <w:rsid w:val="00F222C0"/>
    <w:rsid w:val="00F22B49"/>
    <w:rsid w:val="00F22F17"/>
    <w:rsid w:val="00F23CC0"/>
    <w:rsid w:val="00F24B3F"/>
    <w:rsid w:val="00F24FB7"/>
    <w:rsid w:val="00F25730"/>
    <w:rsid w:val="00F2642C"/>
    <w:rsid w:val="00F3087F"/>
    <w:rsid w:val="00F30D97"/>
    <w:rsid w:val="00F30E28"/>
    <w:rsid w:val="00F3103E"/>
    <w:rsid w:val="00F31183"/>
    <w:rsid w:val="00F312A3"/>
    <w:rsid w:val="00F31436"/>
    <w:rsid w:val="00F31C12"/>
    <w:rsid w:val="00F3211F"/>
    <w:rsid w:val="00F322C9"/>
    <w:rsid w:val="00F32A7E"/>
    <w:rsid w:val="00F32CA1"/>
    <w:rsid w:val="00F33619"/>
    <w:rsid w:val="00F33BAF"/>
    <w:rsid w:val="00F343D5"/>
    <w:rsid w:val="00F348CB"/>
    <w:rsid w:val="00F349D0"/>
    <w:rsid w:val="00F34D80"/>
    <w:rsid w:val="00F357C8"/>
    <w:rsid w:val="00F36056"/>
    <w:rsid w:val="00F36324"/>
    <w:rsid w:val="00F36AB9"/>
    <w:rsid w:val="00F36FBA"/>
    <w:rsid w:val="00F37120"/>
    <w:rsid w:val="00F378AD"/>
    <w:rsid w:val="00F37975"/>
    <w:rsid w:val="00F37EC9"/>
    <w:rsid w:val="00F40278"/>
    <w:rsid w:val="00F405CA"/>
    <w:rsid w:val="00F40FE9"/>
    <w:rsid w:val="00F41063"/>
    <w:rsid w:val="00F414D6"/>
    <w:rsid w:val="00F41776"/>
    <w:rsid w:val="00F41CD1"/>
    <w:rsid w:val="00F42193"/>
    <w:rsid w:val="00F4225F"/>
    <w:rsid w:val="00F4258B"/>
    <w:rsid w:val="00F43571"/>
    <w:rsid w:val="00F436FD"/>
    <w:rsid w:val="00F437B4"/>
    <w:rsid w:val="00F44C83"/>
    <w:rsid w:val="00F45170"/>
    <w:rsid w:val="00F45DB5"/>
    <w:rsid w:val="00F4632E"/>
    <w:rsid w:val="00F46EEA"/>
    <w:rsid w:val="00F46F1B"/>
    <w:rsid w:val="00F473B3"/>
    <w:rsid w:val="00F476A8"/>
    <w:rsid w:val="00F476BA"/>
    <w:rsid w:val="00F476F9"/>
    <w:rsid w:val="00F47B38"/>
    <w:rsid w:val="00F50207"/>
    <w:rsid w:val="00F50374"/>
    <w:rsid w:val="00F503CA"/>
    <w:rsid w:val="00F522C3"/>
    <w:rsid w:val="00F528D1"/>
    <w:rsid w:val="00F53120"/>
    <w:rsid w:val="00F53490"/>
    <w:rsid w:val="00F53829"/>
    <w:rsid w:val="00F53E77"/>
    <w:rsid w:val="00F5461E"/>
    <w:rsid w:val="00F54AEE"/>
    <w:rsid w:val="00F558C1"/>
    <w:rsid w:val="00F55AC5"/>
    <w:rsid w:val="00F55BB2"/>
    <w:rsid w:val="00F55D97"/>
    <w:rsid w:val="00F57333"/>
    <w:rsid w:val="00F57927"/>
    <w:rsid w:val="00F57EDC"/>
    <w:rsid w:val="00F603D8"/>
    <w:rsid w:val="00F60437"/>
    <w:rsid w:val="00F617BF"/>
    <w:rsid w:val="00F62D9B"/>
    <w:rsid w:val="00F63409"/>
    <w:rsid w:val="00F6473F"/>
    <w:rsid w:val="00F64D06"/>
    <w:rsid w:val="00F65009"/>
    <w:rsid w:val="00F656D2"/>
    <w:rsid w:val="00F65D47"/>
    <w:rsid w:val="00F662FC"/>
    <w:rsid w:val="00F66A42"/>
    <w:rsid w:val="00F676AB"/>
    <w:rsid w:val="00F70E05"/>
    <w:rsid w:val="00F71801"/>
    <w:rsid w:val="00F72320"/>
    <w:rsid w:val="00F72565"/>
    <w:rsid w:val="00F72E1F"/>
    <w:rsid w:val="00F72FCD"/>
    <w:rsid w:val="00F74156"/>
    <w:rsid w:val="00F74491"/>
    <w:rsid w:val="00F748EC"/>
    <w:rsid w:val="00F7508B"/>
    <w:rsid w:val="00F7581C"/>
    <w:rsid w:val="00F75B0E"/>
    <w:rsid w:val="00F76032"/>
    <w:rsid w:val="00F763BD"/>
    <w:rsid w:val="00F77076"/>
    <w:rsid w:val="00F77C57"/>
    <w:rsid w:val="00F804FE"/>
    <w:rsid w:val="00F80DC1"/>
    <w:rsid w:val="00F8170A"/>
    <w:rsid w:val="00F82A65"/>
    <w:rsid w:val="00F836EC"/>
    <w:rsid w:val="00F83978"/>
    <w:rsid w:val="00F83B53"/>
    <w:rsid w:val="00F84389"/>
    <w:rsid w:val="00F84872"/>
    <w:rsid w:val="00F84AED"/>
    <w:rsid w:val="00F8568A"/>
    <w:rsid w:val="00F857B9"/>
    <w:rsid w:val="00F859DB"/>
    <w:rsid w:val="00F85F2E"/>
    <w:rsid w:val="00F8605A"/>
    <w:rsid w:val="00F86111"/>
    <w:rsid w:val="00F863CD"/>
    <w:rsid w:val="00F86774"/>
    <w:rsid w:val="00F9045A"/>
    <w:rsid w:val="00F9090D"/>
    <w:rsid w:val="00F90F8B"/>
    <w:rsid w:val="00F91107"/>
    <w:rsid w:val="00F914A7"/>
    <w:rsid w:val="00F91742"/>
    <w:rsid w:val="00F927E4"/>
    <w:rsid w:val="00F928D6"/>
    <w:rsid w:val="00F92D42"/>
    <w:rsid w:val="00F930D3"/>
    <w:rsid w:val="00F93737"/>
    <w:rsid w:val="00F947E4"/>
    <w:rsid w:val="00F949DF"/>
    <w:rsid w:val="00F94D6D"/>
    <w:rsid w:val="00F95149"/>
    <w:rsid w:val="00F9552D"/>
    <w:rsid w:val="00F9576E"/>
    <w:rsid w:val="00F9582F"/>
    <w:rsid w:val="00F95944"/>
    <w:rsid w:val="00F95959"/>
    <w:rsid w:val="00F95C42"/>
    <w:rsid w:val="00F95DDC"/>
    <w:rsid w:val="00F96045"/>
    <w:rsid w:val="00F961EF"/>
    <w:rsid w:val="00F963FB"/>
    <w:rsid w:val="00F964B8"/>
    <w:rsid w:val="00F96A55"/>
    <w:rsid w:val="00F97D77"/>
    <w:rsid w:val="00F97F1A"/>
    <w:rsid w:val="00FA02A8"/>
    <w:rsid w:val="00FA1869"/>
    <w:rsid w:val="00FA2E9F"/>
    <w:rsid w:val="00FA48D8"/>
    <w:rsid w:val="00FA4984"/>
    <w:rsid w:val="00FA4B16"/>
    <w:rsid w:val="00FA5343"/>
    <w:rsid w:val="00FA5D22"/>
    <w:rsid w:val="00FA69BB"/>
    <w:rsid w:val="00FA69D1"/>
    <w:rsid w:val="00FA74F7"/>
    <w:rsid w:val="00FA7C4B"/>
    <w:rsid w:val="00FB0BFF"/>
    <w:rsid w:val="00FB10FF"/>
    <w:rsid w:val="00FB1507"/>
    <w:rsid w:val="00FB2146"/>
    <w:rsid w:val="00FB34DD"/>
    <w:rsid w:val="00FB4665"/>
    <w:rsid w:val="00FB4906"/>
    <w:rsid w:val="00FB4AAC"/>
    <w:rsid w:val="00FB4BE2"/>
    <w:rsid w:val="00FB4D63"/>
    <w:rsid w:val="00FB5B7A"/>
    <w:rsid w:val="00FB5E30"/>
    <w:rsid w:val="00FB63A9"/>
    <w:rsid w:val="00FB6AE9"/>
    <w:rsid w:val="00FB7A2C"/>
    <w:rsid w:val="00FB7EC4"/>
    <w:rsid w:val="00FB7EFC"/>
    <w:rsid w:val="00FC0710"/>
    <w:rsid w:val="00FC0995"/>
    <w:rsid w:val="00FC0E2C"/>
    <w:rsid w:val="00FC13FA"/>
    <w:rsid w:val="00FC153B"/>
    <w:rsid w:val="00FC2134"/>
    <w:rsid w:val="00FC2782"/>
    <w:rsid w:val="00FC3015"/>
    <w:rsid w:val="00FC320D"/>
    <w:rsid w:val="00FC4CEC"/>
    <w:rsid w:val="00FC564F"/>
    <w:rsid w:val="00FC5EA2"/>
    <w:rsid w:val="00FC6229"/>
    <w:rsid w:val="00FC65B3"/>
    <w:rsid w:val="00FC70BE"/>
    <w:rsid w:val="00FC7C63"/>
    <w:rsid w:val="00FC7C82"/>
    <w:rsid w:val="00FD083F"/>
    <w:rsid w:val="00FD0AC8"/>
    <w:rsid w:val="00FD23FC"/>
    <w:rsid w:val="00FD24F5"/>
    <w:rsid w:val="00FD2F5A"/>
    <w:rsid w:val="00FD4193"/>
    <w:rsid w:val="00FD4836"/>
    <w:rsid w:val="00FD4D21"/>
    <w:rsid w:val="00FD4F8C"/>
    <w:rsid w:val="00FD5840"/>
    <w:rsid w:val="00FD59F0"/>
    <w:rsid w:val="00FD76FF"/>
    <w:rsid w:val="00FD7D5C"/>
    <w:rsid w:val="00FD7F91"/>
    <w:rsid w:val="00FE16B3"/>
    <w:rsid w:val="00FE218A"/>
    <w:rsid w:val="00FE25CA"/>
    <w:rsid w:val="00FE2CF0"/>
    <w:rsid w:val="00FE323D"/>
    <w:rsid w:val="00FE37D6"/>
    <w:rsid w:val="00FE411D"/>
    <w:rsid w:val="00FE412E"/>
    <w:rsid w:val="00FE425A"/>
    <w:rsid w:val="00FE558C"/>
    <w:rsid w:val="00FE55AF"/>
    <w:rsid w:val="00FE560C"/>
    <w:rsid w:val="00FE595F"/>
    <w:rsid w:val="00FE597D"/>
    <w:rsid w:val="00FE5DE5"/>
    <w:rsid w:val="00FE629B"/>
    <w:rsid w:val="00FE6438"/>
    <w:rsid w:val="00FE6A87"/>
    <w:rsid w:val="00FE6A9A"/>
    <w:rsid w:val="00FE6DF7"/>
    <w:rsid w:val="00FE7638"/>
    <w:rsid w:val="00FE7880"/>
    <w:rsid w:val="00FE7CC6"/>
    <w:rsid w:val="00FF0392"/>
    <w:rsid w:val="00FF0711"/>
    <w:rsid w:val="00FF1A93"/>
    <w:rsid w:val="00FF2510"/>
    <w:rsid w:val="00FF3287"/>
    <w:rsid w:val="00FF3851"/>
    <w:rsid w:val="00FF46AF"/>
    <w:rsid w:val="00FF47BE"/>
    <w:rsid w:val="00FF54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ru v:ext="edit" colors="#060,#003c00,#000046,#000078,#00008c"/>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qFormat="1"/>
    <w:lsdException w:name="heading 8"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Plain Text" w:uiPriority="99"/>
    <w:lsdException w:name="Normal (Web)" w:uiPriority="99"/>
    <w:lsdException w:name="HTML Preformatted"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272E3"/>
    <w:rPr>
      <w:sz w:val="24"/>
      <w:szCs w:val="24"/>
    </w:rPr>
  </w:style>
  <w:style w:type="paragraph" w:styleId="Heading1">
    <w:name w:val="heading 1"/>
    <w:basedOn w:val="Normal"/>
    <w:next w:val="Normal"/>
    <w:autoRedefine/>
    <w:qFormat/>
    <w:rsid w:val="009E33E7"/>
    <w:pPr>
      <w:keepNext/>
      <w:spacing w:before="240" w:after="60" w:line="276" w:lineRule="auto"/>
      <w:jc w:val="center"/>
      <w:outlineLvl w:val="0"/>
    </w:pPr>
    <w:rPr>
      <w:rFonts w:eastAsia="Calibri" w:cs="Arial"/>
      <w:b/>
      <w:bCs/>
      <w:kern w:val="32"/>
      <w:sz w:val="28"/>
      <w:szCs w:val="32"/>
    </w:rPr>
  </w:style>
  <w:style w:type="paragraph" w:styleId="Heading2">
    <w:name w:val="heading 2"/>
    <w:basedOn w:val="Normal"/>
    <w:next w:val="Normal"/>
    <w:autoRedefine/>
    <w:qFormat/>
    <w:rsid w:val="008609BB"/>
    <w:pPr>
      <w:keepNext/>
      <w:numPr>
        <w:numId w:val="1"/>
      </w:numPr>
      <w:spacing w:before="240" w:after="60"/>
      <w:outlineLvl w:val="1"/>
    </w:pPr>
    <w:rPr>
      <w:rFonts w:cs="Arial"/>
      <w:b/>
      <w:bCs/>
      <w:iCs/>
      <w:sz w:val="26"/>
      <w:szCs w:val="28"/>
      <w:u w:val="single"/>
    </w:rPr>
  </w:style>
  <w:style w:type="paragraph" w:styleId="Heading3">
    <w:name w:val="heading 3"/>
    <w:basedOn w:val="Normal"/>
    <w:next w:val="Normal"/>
    <w:autoRedefine/>
    <w:qFormat/>
    <w:rsid w:val="009E33E7"/>
    <w:pPr>
      <w:keepNext/>
      <w:spacing w:before="240" w:after="60" w:line="276" w:lineRule="auto"/>
      <w:outlineLvl w:val="2"/>
    </w:pPr>
    <w:rPr>
      <w:rFonts w:eastAsia="Calibri" w:cs="Arial"/>
      <w:bCs/>
      <w:sz w:val="22"/>
      <w:szCs w:val="26"/>
      <w:u w:val="single"/>
    </w:rPr>
  </w:style>
  <w:style w:type="paragraph" w:styleId="Heading4">
    <w:name w:val="heading 4"/>
    <w:basedOn w:val="Normal"/>
    <w:next w:val="Normal"/>
    <w:autoRedefine/>
    <w:qFormat/>
    <w:rsid w:val="002511B4"/>
    <w:pPr>
      <w:keepNext/>
      <w:spacing w:before="240" w:after="60" w:line="276" w:lineRule="auto"/>
      <w:outlineLvl w:val="3"/>
    </w:pPr>
    <w:rPr>
      <w:rFonts w:eastAsia="Calibri"/>
      <w:bCs/>
      <w:sz w:val="22"/>
      <w:szCs w:val="28"/>
      <w:u w:val="single"/>
    </w:rPr>
  </w:style>
  <w:style w:type="paragraph" w:styleId="Heading6">
    <w:name w:val="heading 6"/>
    <w:basedOn w:val="Normal"/>
    <w:next w:val="Normal"/>
    <w:autoRedefine/>
    <w:qFormat/>
    <w:rsid w:val="00232E8C"/>
    <w:pPr>
      <w:spacing w:before="240" w:after="60" w:line="276" w:lineRule="auto"/>
      <w:outlineLvl w:val="5"/>
    </w:pPr>
    <w:rPr>
      <w:rFonts w:eastAsia="Calibri"/>
      <w:b/>
      <w:bCs/>
      <w:sz w:val="28"/>
      <w:szCs w:val="22"/>
    </w:rPr>
  </w:style>
  <w:style w:type="paragraph" w:styleId="Heading7">
    <w:name w:val="heading 7"/>
    <w:basedOn w:val="Normal"/>
    <w:next w:val="Normal"/>
    <w:autoRedefine/>
    <w:qFormat/>
    <w:rsid w:val="00232E8C"/>
    <w:pPr>
      <w:spacing w:before="240" w:after="60" w:line="276" w:lineRule="auto"/>
      <w:jc w:val="center"/>
      <w:outlineLvl w:val="6"/>
    </w:pPr>
    <w:rPr>
      <w:rFonts w:eastAsia="Calibri"/>
      <w:u w:val="single"/>
    </w:rPr>
  </w:style>
  <w:style w:type="paragraph" w:styleId="Heading8">
    <w:name w:val="heading 8"/>
    <w:basedOn w:val="Normal"/>
    <w:next w:val="Normal"/>
    <w:autoRedefine/>
    <w:qFormat/>
    <w:rsid w:val="00232E8C"/>
    <w:pPr>
      <w:spacing w:before="240" w:after="60" w:line="276" w:lineRule="auto"/>
      <w:outlineLvl w:val="7"/>
    </w:pPr>
    <w:rPr>
      <w:rFonts w:eastAsia="Calibr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semiHidden/>
    <w:rsid w:val="00851A10"/>
    <w:rPr>
      <w:rFonts w:ascii="Times New Roman" w:hAnsi="Times New Roman" w:cs="Times New Roman"/>
      <w:sz w:val="20"/>
      <w:vertAlign w:val="superscript"/>
    </w:rPr>
  </w:style>
  <w:style w:type="paragraph" w:styleId="TOC1">
    <w:name w:val="toc 1"/>
    <w:basedOn w:val="Normal"/>
    <w:next w:val="Normal"/>
    <w:autoRedefine/>
    <w:uiPriority w:val="39"/>
    <w:rsid w:val="008122CB"/>
    <w:pPr>
      <w:tabs>
        <w:tab w:val="right" w:leader="dot" w:pos="10070"/>
      </w:tabs>
      <w:ind w:left="1195" w:hanging="1195"/>
    </w:pPr>
    <w:rPr>
      <w:b/>
      <w:bCs/>
      <w:caps/>
      <w:smallCaps/>
      <w:noProof/>
      <w:sz w:val="20"/>
    </w:rPr>
  </w:style>
  <w:style w:type="paragraph" w:styleId="TOC2">
    <w:name w:val="toc 2"/>
    <w:basedOn w:val="Normal"/>
    <w:next w:val="Normal"/>
    <w:autoRedefine/>
    <w:uiPriority w:val="39"/>
    <w:rsid w:val="00E63DEA"/>
    <w:pPr>
      <w:ind w:left="1541" w:hanging="1296"/>
    </w:pPr>
    <w:rPr>
      <w:smallCaps/>
      <w:sz w:val="20"/>
    </w:rPr>
  </w:style>
  <w:style w:type="paragraph" w:styleId="TOC3">
    <w:name w:val="toc 3"/>
    <w:basedOn w:val="Normal"/>
    <w:next w:val="Normal"/>
    <w:autoRedefine/>
    <w:uiPriority w:val="39"/>
    <w:rsid w:val="0066766B"/>
    <w:pPr>
      <w:tabs>
        <w:tab w:val="right" w:leader="dot" w:pos="10070"/>
      </w:tabs>
      <w:ind w:left="1800" w:hanging="1320"/>
    </w:pPr>
    <w:rPr>
      <w:i/>
      <w:iCs/>
      <w:sz w:val="20"/>
    </w:rPr>
  </w:style>
  <w:style w:type="paragraph" w:customStyle="1" w:styleId="BodyText1">
    <w:name w:val="Body Text1"/>
    <w:basedOn w:val="Normal"/>
    <w:rsid w:val="004A6280"/>
    <w:pPr>
      <w:tabs>
        <w:tab w:val="left" w:pos="180"/>
      </w:tabs>
      <w:autoSpaceDE w:val="0"/>
      <w:autoSpaceDN w:val="0"/>
      <w:adjustRightInd w:val="0"/>
      <w:spacing w:line="220" w:lineRule="atLeast"/>
      <w:textAlignment w:val="center"/>
    </w:pPr>
    <w:rPr>
      <w:rFonts w:ascii="MyriadPro-Regular" w:hAnsi="MyriadPro-Regular" w:cs="MyriadPro-Regular"/>
      <w:color w:val="000000"/>
      <w:sz w:val="22"/>
      <w:szCs w:val="22"/>
    </w:rPr>
  </w:style>
  <w:style w:type="character" w:customStyle="1" w:styleId="NUMBER">
    <w:name w:val="NUMBER"/>
    <w:rsid w:val="004A6280"/>
    <w:rPr>
      <w:rFonts w:ascii="The Sans Semi Bold- Bold Caps" w:hAnsi="The Sans Semi Bold- Bold Caps" w:cs="The Sans Semi Bold- Bold Caps"/>
      <w:b/>
      <w:bCs/>
      <w:outline/>
      <w:color w:val="000000"/>
      <w:sz w:val="32"/>
      <w:szCs w:val="32"/>
      <w14:textOutline w14:w="9525" w14:cap="flat" w14:cmpd="sng" w14:algn="ctr">
        <w14:solidFill>
          <w14:srgbClr w14:val="000000"/>
        </w14:solidFill>
        <w14:prstDash w14:val="solid"/>
        <w14:round/>
      </w14:textOutline>
      <w14:textFill>
        <w14:noFill/>
      </w14:textFill>
    </w:rPr>
  </w:style>
  <w:style w:type="paragraph" w:styleId="Header">
    <w:name w:val="header"/>
    <w:basedOn w:val="Normal"/>
    <w:link w:val="HeaderChar"/>
    <w:uiPriority w:val="99"/>
    <w:rsid w:val="004A6280"/>
    <w:pPr>
      <w:tabs>
        <w:tab w:val="center" w:pos="4320"/>
        <w:tab w:val="right" w:pos="8640"/>
      </w:tabs>
    </w:pPr>
  </w:style>
  <w:style w:type="paragraph" w:styleId="Footer">
    <w:name w:val="footer"/>
    <w:basedOn w:val="Normal"/>
    <w:link w:val="FooterChar"/>
    <w:uiPriority w:val="99"/>
    <w:rsid w:val="004A6280"/>
    <w:pPr>
      <w:tabs>
        <w:tab w:val="center" w:pos="4320"/>
        <w:tab w:val="right" w:pos="8640"/>
      </w:tabs>
    </w:pPr>
  </w:style>
  <w:style w:type="character" w:styleId="PageNumber">
    <w:name w:val="page number"/>
    <w:basedOn w:val="DefaultParagraphFont"/>
    <w:rsid w:val="009921F8"/>
  </w:style>
  <w:style w:type="paragraph" w:customStyle="1" w:styleId="TOCtitle">
    <w:name w:val="TOC title"/>
    <w:basedOn w:val="Normal"/>
    <w:rsid w:val="00BA66D8"/>
    <w:pPr>
      <w:autoSpaceDE w:val="0"/>
      <w:autoSpaceDN w:val="0"/>
      <w:adjustRightInd w:val="0"/>
      <w:spacing w:after="360" w:line="220" w:lineRule="atLeast"/>
      <w:jc w:val="center"/>
      <w:textAlignment w:val="center"/>
    </w:pPr>
    <w:rPr>
      <w:rFonts w:ascii="MyriadPro-Bold" w:hAnsi="MyriadPro-Bold" w:cs="MyriadPro-Bold"/>
      <w:b/>
      <w:bCs/>
      <w:caps/>
      <w:color w:val="000000"/>
      <w:sz w:val="22"/>
      <w:szCs w:val="22"/>
    </w:rPr>
  </w:style>
  <w:style w:type="paragraph" w:customStyle="1" w:styleId="TOCBodyTextLevel1">
    <w:name w:val="TOC Body Text Level 1"/>
    <w:basedOn w:val="Normal"/>
    <w:rsid w:val="00BA66D8"/>
    <w:pPr>
      <w:autoSpaceDE w:val="0"/>
      <w:autoSpaceDN w:val="0"/>
      <w:adjustRightInd w:val="0"/>
      <w:spacing w:line="220" w:lineRule="atLeast"/>
      <w:jc w:val="center"/>
      <w:textAlignment w:val="center"/>
    </w:pPr>
    <w:rPr>
      <w:rFonts w:ascii="MyriadPro-Bold" w:hAnsi="MyriadPro-Bold" w:cs="MyriadPro-Bold"/>
      <w:b/>
      <w:bCs/>
      <w:caps/>
      <w:color w:val="000000"/>
      <w:sz w:val="22"/>
      <w:szCs w:val="22"/>
    </w:rPr>
  </w:style>
  <w:style w:type="paragraph" w:customStyle="1" w:styleId="TOCBodyTextLevel2">
    <w:name w:val="TOC Body Text Level 2"/>
    <w:basedOn w:val="Normal"/>
    <w:rsid w:val="00BA66D8"/>
    <w:pPr>
      <w:autoSpaceDE w:val="0"/>
      <w:autoSpaceDN w:val="0"/>
      <w:adjustRightInd w:val="0"/>
      <w:spacing w:line="220" w:lineRule="atLeast"/>
      <w:ind w:left="360" w:hanging="340"/>
      <w:textAlignment w:val="center"/>
    </w:pPr>
    <w:rPr>
      <w:rFonts w:ascii="MyriadPro-Regular" w:hAnsi="MyriadPro-Regular" w:cs="MyriadPro-Regular"/>
      <w:color w:val="000000"/>
      <w:sz w:val="22"/>
      <w:szCs w:val="22"/>
    </w:rPr>
  </w:style>
  <w:style w:type="paragraph" w:customStyle="1" w:styleId="NormalParagraphStyle">
    <w:name w:val="NormalParagraphStyle"/>
    <w:basedOn w:val="Normal"/>
    <w:rsid w:val="00BA66D8"/>
    <w:pPr>
      <w:autoSpaceDE w:val="0"/>
      <w:autoSpaceDN w:val="0"/>
      <w:adjustRightInd w:val="0"/>
      <w:spacing w:line="288" w:lineRule="auto"/>
      <w:textAlignment w:val="center"/>
    </w:pPr>
    <w:rPr>
      <w:color w:val="000000"/>
    </w:rPr>
  </w:style>
  <w:style w:type="character" w:styleId="Hyperlink">
    <w:name w:val="Hyperlink"/>
    <w:basedOn w:val="DefaultParagraphFont"/>
    <w:uiPriority w:val="99"/>
    <w:rsid w:val="00AF0984"/>
    <w:rPr>
      <w:color w:val="000000" w:themeColor="text1"/>
      <w:u w:val="none"/>
    </w:rPr>
  </w:style>
  <w:style w:type="paragraph" w:customStyle="1" w:styleId="Noparagraphstyle">
    <w:name w:val="[No paragraph style]"/>
    <w:rsid w:val="005B225E"/>
    <w:pPr>
      <w:autoSpaceDE w:val="0"/>
      <w:autoSpaceDN w:val="0"/>
      <w:adjustRightInd w:val="0"/>
      <w:spacing w:line="288" w:lineRule="auto"/>
      <w:textAlignment w:val="center"/>
    </w:pPr>
    <w:rPr>
      <w:color w:val="000000"/>
      <w:sz w:val="24"/>
      <w:szCs w:val="24"/>
    </w:rPr>
  </w:style>
  <w:style w:type="character" w:customStyle="1" w:styleId="CharChar7">
    <w:name w:val="Char Char7"/>
    <w:rsid w:val="005B225E"/>
    <w:rPr>
      <w:rFonts w:ascii="Calibri" w:hAnsi="Calibri" w:cs="Calibri"/>
      <w:color w:val="000000"/>
      <w:w w:val="100"/>
      <w:sz w:val="16"/>
      <w:szCs w:val="16"/>
      <w:lang w:val="en-US"/>
    </w:rPr>
  </w:style>
  <w:style w:type="paragraph" w:styleId="ListParagraph">
    <w:name w:val="List Paragraph"/>
    <w:basedOn w:val="Normal"/>
    <w:uiPriority w:val="34"/>
    <w:qFormat/>
    <w:rsid w:val="005B225E"/>
    <w:pPr>
      <w:suppressAutoHyphens/>
      <w:autoSpaceDE w:val="0"/>
      <w:autoSpaceDN w:val="0"/>
      <w:adjustRightInd w:val="0"/>
      <w:spacing w:after="200" w:line="264" w:lineRule="auto"/>
      <w:ind w:left="720"/>
      <w:textAlignment w:val="center"/>
    </w:pPr>
    <w:rPr>
      <w:sz w:val="22"/>
      <w:szCs w:val="22"/>
    </w:rPr>
  </w:style>
  <w:style w:type="paragraph" w:customStyle="1" w:styleId="Table">
    <w:name w:val="Table"/>
    <w:aliases w:val="Chart,Box"/>
    <w:basedOn w:val="NormalParagraphStyle"/>
    <w:rsid w:val="006838AC"/>
    <w:pPr>
      <w:suppressAutoHyphens/>
      <w:spacing w:line="200" w:lineRule="atLeast"/>
    </w:pPr>
    <w:rPr>
      <w:sz w:val="20"/>
      <w:szCs w:val="20"/>
    </w:rPr>
  </w:style>
  <w:style w:type="table" w:styleId="TableGrid">
    <w:name w:val="Table Grid"/>
    <w:basedOn w:val="TableNormal"/>
    <w:rsid w:val="004265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rsid w:val="00D312BE"/>
    <w:rPr>
      <w:sz w:val="20"/>
      <w:szCs w:val="20"/>
    </w:rPr>
  </w:style>
  <w:style w:type="paragraph" w:customStyle="1" w:styleId="TODHeading1">
    <w:name w:val="TOD Heading 1"/>
    <w:basedOn w:val="Normal"/>
    <w:rsid w:val="002750E3"/>
    <w:pPr>
      <w:jc w:val="center"/>
    </w:pPr>
    <w:rPr>
      <w:b/>
    </w:rPr>
  </w:style>
  <w:style w:type="paragraph" w:customStyle="1" w:styleId="TODHeading2">
    <w:name w:val="TOD Heading 2"/>
    <w:basedOn w:val="Normal"/>
    <w:autoRedefine/>
    <w:uiPriority w:val="99"/>
    <w:rsid w:val="00DE4F01"/>
    <w:pPr>
      <w:jc w:val="center"/>
      <w:outlineLvl w:val="0"/>
    </w:pPr>
    <w:rPr>
      <w:rFonts w:eastAsia="Calibri"/>
      <w:sz w:val="20"/>
      <w:szCs w:val="20"/>
    </w:rPr>
  </w:style>
  <w:style w:type="paragraph" w:styleId="Index1">
    <w:name w:val="index 1"/>
    <w:basedOn w:val="Normal"/>
    <w:next w:val="Normal"/>
    <w:autoRedefine/>
    <w:semiHidden/>
    <w:rsid w:val="008B51CA"/>
    <w:pPr>
      <w:ind w:left="240" w:hanging="240"/>
    </w:pPr>
    <w:rPr>
      <w:sz w:val="18"/>
      <w:szCs w:val="21"/>
    </w:rPr>
  </w:style>
  <w:style w:type="paragraph" w:styleId="Index2">
    <w:name w:val="index 2"/>
    <w:basedOn w:val="Normal"/>
    <w:next w:val="Normal"/>
    <w:autoRedefine/>
    <w:semiHidden/>
    <w:rsid w:val="008B51CA"/>
    <w:pPr>
      <w:ind w:left="480" w:hanging="240"/>
    </w:pPr>
    <w:rPr>
      <w:sz w:val="18"/>
      <w:szCs w:val="21"/>
    </w:rPr>
  </w:style>
  <w:style w:type="paragraph" w:styleId="Index3">
    <w:name w:val="index 3"/>
    <w:basedOn w:val="Normal"/>
    <w:next w:val="Normal"/>
    <w:autoRedefine/>
    <w:semiHidden/>
    <w:rsid w:val="008B51CA"/>
    <w:pPr>
      <w:ind w:left="720" w:hanging="240"/>
    </w:pPr>
    <w:rPr>
      <w:sz w:val="18"/>
      <w:szCs w:val="21"/>
    </w:rPr>
  </w:style>
  <w:style w:type="paragraph" w:styleId="Index4">
    <w:name w:val="index 4"/>
    <w:basedOn w:val="Normal"/>
    <w:next w:val="Normal"/>
    <w:autoRedefine/>
    <w:semiHidden/>
    <w:rsid w:val="008B51CA"/>
    <w:pPr>
      <w:ind w:left="960" w:hanging="240"/>
    </w:pPr>
    <w:rPr>
      <w:sz w:val="18"/>
      <w:szCs w:val="21"/>
    </w:rPr>
  </w:style>
  <w:style w:type="paragraph" w:styleId="Index5">
    <w:name w:val="index 5"/>
    <w:basedOn w:val="Normal"/>
    <w:next w:val="Normal"/>
    <w:autoRedefine/>
    <w:semiHidden/>
    <w:rsid w:val="008B51CA"/>
    <w:pPr>
      <w:ind w:left="1200" w:hanging="240"/>
    </w:pPr>
    <w:rPr>
      <w:sz w:val="18"/>
      <w:szCs w:val="21"/>
    </w:rPr>
  </w:style>
  <w:style w:type="paragraph" w:styleId="Index6">
    <w:name w:val="index 6"/>
    <w:basedOn w:val="Normal"/>
    <w:next w:val="Normal"/>
    <w:autoRedefine/>
    <w:semiHidden/>
    <w:rsid w:val="008B51CA"/>
    <w:pPr>
      <w:ind w:left="1440" w:hanging="240"/>
    </w:pPr>
    <w:rPr>
      <w:sz w:val="18"/>
      <w:szCs w:val="21"/>
    </w:rPr>
  </w:style>
  <w:style w:type="paragraph" w:styleId="Index7">
    <w:name w:val="index 7"/>
    <w:basedOn w:val="Normal"/>
    <w:next w:val="Normal"/>
    <w:autoRedefine/>
    <w:semiHidden/>
    <w:rsid w:val="008B51CA"/>
    <w:pPr>
      <w:ind w:left="1680" w:hanging="240"/>
    </w:pPr>
    <w:rPr>
      <w:sz w:val="18"/>
      <w:szCs w:val="21"/>
    </w:rPr>
  </w:style>
  <w:style w:type="paragraph" w:styleId="Index8">
    <w:name w:val="index 8"/>
    <w:basedOn w:val="Normal"/>
    <w:next w:val="Normal"/>
    <w:autoRedefine/>
    <w:semiHidden/>
    <w:rsid w:val="008B51CA"/>
    <w:pPr>
      <w:ind w:left="1920" w:hanging="240"/>
    </w:pPr>
    <w:rPr>
      <w:sz w:val="18"/>
      <w:szCs w:val="21"/>
    </w:rPr>
  </w:style>
  <w:style w:type="paragraph" w:styleId="Index9">
    <w:name w:val="index 9"/>
    <w:basedOn w:val="Normal"/>
    <w:next w:val="Normal"/>
    <w:autoRedefine/>
    <w:semiHidden/>
    <w:rsid w:val="008B51CA"/>
    <w:pPr>
      <w:ind w:left="2160" w:hanging="240"/>
    </w:pPr>
    <w:rPr>
      <w:sz w:val="18"/>
      <w:szCs w:val="21"/>
    </w:rPr>
  </w:style>
  <w:style w:type="paragraph" w:styleId="IndexHeading">
    <w:name w:val="index heading"/>
    <w:basedOn w:val="Normal"/>
    <w:next w:val="Index1"/>
    <w:semiHidden/>
    <w:rsid w:val="008B51CA"/>
    <w:pPr>
      <w:pBdr>
        <w:top w:val="double" w:sz="6" w:space="0" w:color="auto" w:shadow="1"/>
        <w:left w:val="double" w:sz="6" w:space="0" w:color="auto" w:shadow="1"/>
        <w:bottom w:val="double" w:sz="6" w:space="0" w:color="auto" w:shadow="1"/>
        <w:right w:val="double" w:sz="6" w:space="0" w:color="auto" w:shadow="1"/>
      </w:pBdr>
      <w:spacing w:before="240" w:after="120"/>
      <w:jc w:val="center"/>
    </w:pPr>
    <w:rPr>
      <w:rFonts w:ascii="Arial" w:hAnsi="Arial" w:cs="Arial"/>
      <w:b/>
      <w:bCs/>
      <w:sz w:val="22"/>
      <w:szCs w:val="26"/>
    </w:rPr>
  </w:style>
  <w:style w:type="paragraph" w:styleId="TOC4">
    <w:name w:val="toc 4"/>
    <w:basedOn w:val="Normal"/>
    <w:next w:val="Normal"/>
    <w:autoRedefine/>
    <w:uiPriority w:val="39"/>
    <w:rsid w:val="008B51CA"/>
    <w:pPr>
      <w:ind w:left="720"/>
    </w:pPr>
    <w:rPr>
      <w:sz w:val="18"/>
      <w:szCs w:val="21"/>
    </w:rPr>
  </w:style>
  <w:style w:type="paragraph" w:styleId="TOC5">
    <w:name w:val="toc 5"/>
    <w:basedOn w:val="Normal"/>
    <w:next w:val="Normal"/>
    <w:autoRedefine/>
    <w:uiPriority w:val="39"/>
    <w:rsid w:val="008B51CA"/>
    <w:pPr>
      <w:ind w:left="960"/>
    </w:pPr>
    <w:rPr>
      <w:sz w:val="18"/>
      <w:szCs w:val="21"/>
    </w:rPr>
  </w:style>
  <w:style w:type="paragraph" w:styleId="TOC6">
    <w:name w:val="toc 6"/>
    <w:basedOn w:val="Normal"/>
    <w:next w:val="Normal"/>
    <w:autoRedefine/>
    <w:uiPriority w:val="39"/>
    <w:rsid w:val="008B51CA"/>
    <w:pPr>
      <w:ind w:left="1200"/>
    </w:pPr>
    <w:rPr>
      <w:sz w:val="18"/>
      <w:szCs w:val="21"/>
    </w:rPr>
  </w:style>
  <w:style w:type="paragraph" w:styleId="TOC7">
    <w:name w:val="toc 7"/>
    <w:basedOn w:val="Normal"/>
    <w:next w:val="Normal"/>
    <w:autoRedefine/>
    <w:uiPriority w:val="39"/>
    <w:rsid w:val="008B51CA"/>
    <w:pPr>
      <w:ind w:left="1440"/>
    </w:pPr>
    <w:rPr>
      <w:sz w:val="18"/>
      <w:szCs w:val="21"/>
    </w:rPr>
  </w:style>
  <w:style w:type="paragraph" w:styleId="TOC8">
    <w:name w:val="toc 8"/>
    <w:basedOn w:val="Normal"/>
    <w:next w:val="Normal"/>
    <w:autoRedefine/>
    <w:uiPriority w:val="39"/>
    <w:rsid w:val="008B51CA"/>
    <w:pPr>
      <w:ind w:left="1680"/>
    </w:pPr>
    <w:rPr>
      <w:sz w:val="18"/>
      <w:szCs w:val="21"/>
    </w:rPr>
  </w:style>
  <w:style w:type="paragraph" w:styleId="TOC9">
    <w:name w:val="toc 9"/>
    <w:basedOn w:val="Normal"/>
    <w:next w:val="Normal"/>
    <w:autoRedefine/>
    <w:uiPriority w:val="39"/>
    <w:rsid w:val="008B51CA"/>
    <w:pPr>
      <w:ind w:left="1920"/>
    </w:pPr>
    <w:rPr>
      <w:sz w:val="18"/>
      <w:szCs w:val="21"/>
    </w:rPr>
  </w:style>
  <w:style w:type="paragraph" w:customStyle="1" w:styleId="TODHeading3">
    <w:name w:val="TOD Heading 3"/>
    <w:basedOn w:val="Normal"/>
    <w:link w:val="TODHeading3Char"/>
    <w:uiPriority w:val="99"/>
    <w:rsid w:val="00384E22"/>
    <w:rPr>
      <w:b/>
    </w:rPr>
  </w:style>
  <w:style w:type="character" w:customStyle="1" w:styleId="TODHeading3Char">
    <w:name w:val="TOD Heading 3 Char"/>
    <w:basedOn w:val="DefaultParagraphFont"/>
    <w:link w:val="TODHeading3"/>
    <w:uiPriority w:val="99"/>
    <w:rsid w:val="00384E22"/>
    <w:rPr>
      <w:b/>
      <w:sz w:val="24"/>
      <w:szCs w:val="24"/>
      <w:lang w:val="en-US" w:eastAsia="en-US" w:bidi="ar-SA"/>
    </w:rPr>
  </w:style>
  <w:style w:type="paragraph" w:styleId="NormalWeb">
    <w:name w:val="Normal (Web)"/>
    <w:basedOn w:val="Normal"/>
    <w:uiPriority w:val="99"/>
    <w:rsid w:val="00073B13"/>
    <w:pPr>
      <w:spacing w:before="100" w:beforeAutospacing="1" w:after="100" w:afterAutospacing="1"/>
    </w:pPr>
  </w:style>
  <w:style w:type="paragraph" w:customStyle="1" w:styleId="green">
    <w:name w:val="green"/>
    <w:basedOn w:val="Normal"/>
    <w:rsid w:val="00762CD7"/>
    <w:pPr>
      <w:spacing w:before="100" w:beforeAutospacing="1" w:after="100" w:afterAutospacing="1"/>
    </w:pPr>
    <w:rPr>
      <w:color w:val="006A33"/>
      <w:sz w:val="18"/>
      <w:szCs w:val="18"/>
    </w:rPr>
  </w:style>
  <w:style w:type="character" w:styleId="Strong">
    <w:name w:val="Strong"/>
    <w:basedOn w:val="DefaultParagraphFont"/>
    <w:uiPriority w:val="22"/>
    <w:qFormat/>
    <w:rsid w:val="00762CD7"/>
    <w:rPr>
      <w:b/>
      <w:bCs/>
    </w:rPr>
  </w:style>
  <w:style w:type="character" w:customStyle="1" w:styleId="FootnoteTextChar">
    <w:name w:val="Footnote Text Char"/>
    <w:basedOn w:val="DefaultParagraphFont"/>
    <w:link w:val="FootnoteText"/>
    <w:uiPriority w:val="99"/>
    <w:rsid w:val="00741A95"/>
    <w:rPr>
      <w:lang w:val="en-US" w:eastAsia="en-US" w:bidi="ar-SA"/>
    </w:rPr>
  </w:style>
  <w:style w:type="character" w:styleId="FollowedHyperlink">
    <w:name w:val="FollowedHyperlink"/>
    <w:basedOn w:val="DefaultParagraphFont"/>
    <w:rsid w:val="00AF0984"/>
    <w:rPr>
      <w:color w:val="000000" w:themeColor="text1"/>
      <w:u w:val="none"/>
    </w:rPr>
  </w:style>
  <w:style w:type="character" w:customStyle="1" w:styleId="style7">
    <w:name w:val="style7"/>
    <w:basedOn w:val="DefaultParagraphFont"/>
    <w:rsid w:val="00AF4587"/>
  </w:style>
  <w:style w:type="paragraph" w:customStyle="1" w:styleId="style45">
    <w:name w:val="style45"/>
    <w:basedOn w:val="Normal"/>
    <w:rsid w:val="002F2CC7"/>
    <w:pPr>
      <w:spacing w:before="100" w:beforeAutospacing="1" w:after="100" w:afterAutospacing="1"/>
    </w:pPr>
    <w:rPr>
      <w:lang w:bidi="mr-IN"/>
    </w:rPr>
  </w:style>
  <w:style w:type="character" w:customStyle="1" w:styleId="apple-style-span">
    <w:name w:val="apple-style-span"/>
    <w:basedOn w:val="DefaultParagraphFont"/>
    <w:rsid w:val="00AD7DCE"/>
  </w:style>
  <w:style w:type="character" w:customStyle="1" w:styleId="apple-converted-space">
    <w:name w:val="apple-converted-space"/>
    <w:basedOn w:val="DefaultParagraphFont"/>
    <w:rsid w:val="00AD7DCE"/>
  </w:style>
  <w:style w:type="paragraph" w:customStyle="1" w:styleId="Title1">
    <w:name w:val="Title1"/>
    <w:basedOn w:val="Normal"/>
    <w:rsid w:val="0053782A"/>
    <w:pPr>
      <w:spacing w:before="100" w:beforeAutospacing="1" w:after="100" w:afterAutospacing="1"/>
    </w:pPr>
    <w:rPr>
      <w:rFonts w:ascii="Helvetica" w:hAnsi="Helvetica"/>
      <w:b/>
      <w:bCs/>
      <w:color w:val="000000"/>
      <w:sz w:val="27"/>
      <w:szCs w:val="27"/>
    </w:rPr>
  </w:style>
  <w:style w:type="character" w:customStyle="1" w:styleId="highlightedsearchterm">
    <w:name w:val="highlightedsearchterm"/>
    <w:basedOn w:val="DefaultParagraphFont"/>
    <w:rsid w:val="00306DD1"/>
  </w:style>
  <w:style w:type="paragraph" w:customStyle="1" w:styleId="AveryStyle6">
    <w:name w:val="Avery Style 6"/>
    <w:rsid w:val="003519A8"/>
    <w:pPr>
      <w:jc w:val="center"/>
    </w:pPr>
    <w:rPr>
      <w:rFonts w:ascii="Arial" w:hAnsi="Arial" w:cs="Arial"/>
      <w:bCs/>
      <w:color w:val="000000"/>
      <w:szCs w:val="22"/>
    </w:rPr>
  </w:style>
  <w:style w:type="paragraph" w:customStyle="1" w:styleId="AveryStyle32">
    <w:name w:val="Avery Style 32"/>
    <w:rsid w:val="003519A8"/>
    <w:pPr>
      <w:jc w:val="center"/>
    </w:pPr>
    <w:rPr>
      <w:rFonts w:ascii="Arial" w:hAnsi="Arial" w:cs="Arial"/>
      <w:bCs/>
      <w:color w:val="000000"/>
      <w:sz w:val="36"/>
      <w:szCs w:val="22"/>
    </w:rPr>
  </w:style>
  <w:style w:type="paragraph" w:styleId="BodyText">
    <w:name w:val="Body Text"/>
    <w:basedOn w:val="Normal"/>
    <w:rsid w:val="003519A8"/>
    <w:pPr>
      <w:spacing w:after="200" w:line="276" w:lineRule="auto"/>
    </w:pPr>
    <w:rPr>
      <w:rFonts w:ascii="Arial" w:hAnsi="Arial"/>
      <w:sz w:val="16"/>
      <w:szCs w:val="22"/>
    </w:rPr>
  </w:style>
  <w:style w:type="paragraph" w:customStyle="1" w:styleId="bodyheader">
    <w:name w:val="bodyheader"/>
    <w:basedOn w:val="Normal"/>
    <w:rsid w:val="00D17C86"/>
    <w:pPr>
      <w:spacing w:before="100" w:beforeAutospacing="1" w:after="100" w:afterAutospacing="1"/>
    </w:pPr>
    <w:rPr>
      <w:rFonts w:ascii="Verdana" w:hAnsi="Verdana"/>
      <w:b/>
      <w:bCs/>
      <w:color w:val="669933"/>
      <w:sz w:val="18"/>
      <w:szCs w:val="18"/>
    </w:rPr>
  </w:style>
  <w:style w:type="paragraph" w:customStyle="1" w:styleId="Default">
    <w:name w:val="Default"/>
    <w:rsid w:val="00626F8B"/>
    <w:pPr>
      <w:autoSpaceDE w:val="0"/>
      <w:autoSpaceDN w:val="0"/>
      <w:adjustRightInd w:val="0"/>
    </w:pPr>
    <w:rPr>
      <w:rFonts w:ascii="Arial Narrow" w:hAnsi="Arial Narrow" w:cs="Arial Narrow"/>
      <w:color w:val="000000"/>
      <w:sz w:val="24"/>
      <w:szCs w:val="24"/>
    </w:rPr>
  </w:style>
  <w:style w:type="paragraph" w:styleId="ListBullet">
    <w:name w:val="List Bullet"/>
    <w:basedOn w:val="Default"/>
    <w:next w:val="Default"/>
    <w:rsid w:val="00626F8B"/>
    <w:rPr>
      <w:rFonts w:cs="Times New Roman"/>
      <w:color w:val="auto"/>
    </w:rPr>
  </w:style>
  <w:style w:type="paragraph" w:customStyle="1" w:styleId="NormalLatin14pt">
    <w:name w:val="Normal + (Latin) 14 pt"/>
    <w:aliases w:val="Small caps"/>
    <w:basedOn w:val="Normal"/>
    <w:rsid w:val="00E965D6"/>
  </w:style>
  <w:style w:type="paragraph" w:styleId="DocumentMap">
    <w:name w:val="Document Map"/>
    <w:basedOn w:val="Normal"/>
    <w:semiHidden/>
    <w:rsid w:val="00365DFA"/>
    <w:pPr>
      <w:shd w:val="clear" w:color="auto" w:fill="000080"/>
    </w:pPr>
    <w:rPr>
      <w:rFonts w:ascii="Tahoma" w:hAnsi="Tahoma" w:cs="Tahoma"/>
      <w:sz w:val="20"/>
      <w:szCs w:val="20"/>
    </w:rPr>
  </w:style>
  <w:style w:type="paragraph" w:styleId="BalloonText">
    <w:name w:val="Balloon Text"/>
    <w:basedOn w:val="Normal"/>
    <w:semiHidden/>
    <w:rsid w:val="008A6C6F"/>
    <w:rPr>
      <w:rFonts w:ascii="Tahoma" w:hAnsi="Tahoma" w:cs="Tahoma"/>
      <w:sz w:val="16"/>
      <w:szCs w:val="16"/>
    </w:rPr>
  </w:style>
  <w:style w:type="paragraph" w:styleId="EndnoteText">
    <w:name w:val="endnote text"/>
    <w:basedOn w:val="Normal"/>
    <w:link w:val="EndnoteTextChar"/>
    <w:rsid w:val="00FB7EC4"/>
    <w:rPr>
      <w:sz w:val="20"/>
      <w:szCs w:val="20"/>
    </w:rPr>
  </w:style>
  <w:style w:type="character" w:customStyle="1" w:styleId="EndnoteTextChar">
    <w:name w:val="Endnote Text Char"/>
    <w:basedOn w:val="DefaultParagraphFont"/>
    <w:link w:val="EndnoteText"/>
    <w:rsid w:val="00FB7EC4"/>
  </w:style>
  <w:style w:type="character" w:styleId="EndnoteReference">
    <w:name w:val="endnote reference"/>
    <w:basedOn w:val="DefaultParagraphFont"/>
    <w:rsid w:val="00FB7EC4"/>
    <w:rPr>
      <w:vertAlign w:val="superscript"/>
    </w:rPr>
  </w:style>
  <w:style w:type="paragraph" w:customStyle="1" w:styleId="Pa0">
    <w:name w:val="Pa0"/>
    <w:basedOn w:val="Default"/>
    <w:next w:val="Default"/>
    <w:uiPriority w:val="99"/>
    <w:rsid w:val="00AE516E"/>
    <w:pPr>
      <w:spacing w:line="241" w:lineRule="atLeast"/>
    </w:pPr>
    <w:rPr>
      <w:rFonts w:ascii="Minion Pro" w:hAnsi="Minion Pro" w:cs="Times New Roman"/>
      <w:color w:val="auto"/>
    </w:rPr>
  </w:style>
  <w:style w:type="character" w:customStyle="1" w:styleId="A2">
    <w:name w:val="A2"/>
    <w:uiPriority w:val="99"/>
    <w:rsid w:val="00AE516E"/>
    <w:rPr>
      <w:rFonts w:cs="Minion Pro"/>
      <w:b/>
      <w:bCs/>
      <w:color w:val="9FA615"/>
      <w:sz w:val="58"/>
      <w:szCs w:val="58"/>
    </w:rPr>
  </w:style>
  <w:style w:type="character" w:styleId="CommentReference">
    <w:name w:val="annotation reference"/>
    <w:basedOn w:val="DefaultParagraphFont"/>
    <w:rsid w:val="005F03DB"/>
    <w:rPr>
      <w:sz w:val="16"/>
      <w:szCs w:val="16"/>
    </w:rPr>
  </w:style>
  <w:style w:type="paragraph" w:styleId="CommentText">
    <w:name w:val="annotation text"/>
    <w:basedOn w:val="Normal"/>
    <w:link w:val="CommentTextChar"/>
    <w:rsid w:val="005F03DB"/>
    <w:rPr>
      <w:sz w:val="20"/>
      <w:szCs w:val="20"/>
    </w:rPr>
  </w:style>
  <w:style w:type="character" w:customStyle="1" w:styleId="CommentTextChar">
    <w:name w:val="Comment Text Char"/>
    <w:basedOn w:val="DefaultParagraphFont"/>
    <w:link w:val="CommentText"/>
    <w:rsid w:val="005F03DB"/>
  </w:style>
  <w:style w:type="paragraph" w:styleId="CommentSubject">
    <w:name w:val="annotation subject"/>
    <w:basedOn w:val="CommentText"/>
    <w:next w:val="CommentText"/>
    <w:link w:val="CommentSubjectChar"/>
    <w:rsid w:val="005F03DB"/>
    <w:rPr>
      <w:b/>
      <w:bCs/>
    </w:rPr>
  </w:style>
  <w:style w:type="character" w:customStyle="1" w:styleId="CommentSubjectChar">
    <w:name w:val="Comment Subject Char"/>
    <w:basedOn w:val="CommentTextChar"/>
    <w:link w:val="CommentSubject"/>
    <w:rsid w:val="005F03DB"/>
    <w:rPr>
      <w:b/>
      <w:bCs/>
    </w:rPr>
  </w:style>
  <w:style w:type="paragraph" w:styleId="TOCHeading">
    <w:name w:val="TOC Heading"/>
    <w:basedOn w:val="Heading1"/>
    <w:next w:val="Normal"/>
    <w:uiPriority w:val="39"/>
    <w:semiHidden/>
    <w:unhideWhenUsed/>
    <w:qFormat/>
    <w:rsid w:val="00621E58"/>
    <w:pPr>
      <w:keepLines/>
      <w:spacing w:before="480" w:after="0"/>
      <w:jc w:val="left"/>
      <w:outlineLvl w:val="9"/>
    </w:pPr>
    <w:rPr>
      <w:rFonts w:asciiTheme="majorHAnsi" w:eastAsiaTheme="majorEastAsia" w:hAnsiTheme="majorHAnsi" w:cstheme="majorBidi"/>
      <w:color w:val="365F91" w:themeColor="accent1" w:themeShade="BF"/>
      <w:kern w:val="0"/>
      <w:szCs w:val="28"/>
    </w:rPr>
  </w:style>
  <w:style w:type="paragraph" w:styleId="PlainText">
    <w:name w:val="Plain Text"/>
    <w:basedOn w:val="Normal"/>
    <w:link w:val="PlainTextChar"/>
    <w:uiPriority w:val="99"/>
    <w:unhideWhenUsed/>
    <w:rsid w:val="0001051C"/>
    <w:rPr>
      <w:rFonts w:ascii="Consolas" w:hAnsi="Consolas"/>
      <w:sz w:val="21"/>
      <w:szCs w:val="21"/>
    </w:rPr>
  </w:style>
  <w:style w:type="character" w:customStyle="1" w:styleId="PlainTextChar">
    <w:name w:val="Plain Text Char"/>
    <w:basedOn w:val="DefaultParagraphFont"/>
    <w:link w:val="PlainText"/>
    <w:uiPriority w:val="99"/>
    <w:rsid w:val="0001051C"/>
    <w:rPr>
      <w:rFonts w:ascii="Consolas" w:hAnsi="Consolas"/>
      <w:sz w:val="21"/>
      <w:szCs w:val="21"/>
    </w:rPr>
  </w:style>
  <w:style w:type="paragraph" w:styleId="NoSpacing">
    <w:name w:val="No Spacing"/>
    <w:uiPriority w:val="1"/>
    <w:qFormat/>
    <w:rsid w:val="00C0099A"/>
    <w:rPr>
      <w:rFonts w:ascii="Calibri" w:eastAsia="Calibri" w:hAnsi="Calibri"/>
      <w:sz w:val="22"/>
      <w:szCs w:val="22"/>
    </w:rPr>
  </w:style>
  <w:style w:type="character" w:customStyle="1" w:styleId="FooterChar">
    <w:name w:val="Footer Char"/>
    <w:basedOn w:val="DefaultParagraphFont"/>
    <w:link w:val="Footer"/>
    <w:uiPriority w:val="99"/>
    <w:rsid w:val="009D18FC"/>
    <w:rPr>
      <w:sz w:val="24"/>
      <w:szCs w:val="24"/>
    </w:rPr>
  </w:style>
  <w:style w:type="table" w:customStyle="1" w:styleId="TableGrid1">
    <w:name w:val="Table Grid1"/>
    <w:basedOn w:val="TableNormal"/>
    <w:next w:val="TableGrid"/>
    <w:uiPriority w:val="59"/>
    <w:rsid w:val="007042A3"/>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9C2C93"/>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99428A"/>
  </w:style>
  <w:style w:type="paragraph" w:customStyle="1" w:styleId="TOC10">
    <w:name w:val="TOC1"/>
    <w:basedOn w:val="Normal"/>
    <w:link w:val="TOC1Char"/>
    <w:qFormat/>
    <w:rsid w:val="00F9576E"/>
    <w:pPr>
      <w:jc w:val="center"/>
    </w:pPr>
    <w:rPr>
      <w:b/>
      <w:smallCaps/>
      <w:sz w:val="28"/>
    </w:rPr>
  </w:style>
  <w:style w:type="paragraph" w:customStyle="1" w:styleId="TOC20">
    <w:name w:val="TOC2"/>
    <w:basedOn w:val="Normal"/>
    <w:link w:val="TOC2Char"/>
    <w:qFormat/>
    <w:rsid w:val="00F9576E"/>
    <w:rPr>
      <w:b/>
      <w:smallCaps/>
      <w:sz w:val="28"/>
      <w:szCs w:val="28"/>
    </w:rPr>
  </w:style>
  <w:style w:type="character" w:customStyle="1" w:styleId="TOC1Char">
    <w:name w:val="TOC1 Char"/>
    <w:basedOn w:val="DefaultParagraphFont"/>
    <w:link w:val="TOC10"/>
    <w:rsid w:val="00F9576E"/>
    <w:rPr>
      <w:b/>
      <w:smallCaps/>
      <w:sz w:val="28"/>
      <w:szCs w:val="24"/>
    </w:rPr>
  </w:style>
  <w:style w:type="paragraph" w:customStyle="1" w:styleId="TOC30">
    <w:name w:val="TOC3"/>
    <w:basedOn w:val="Normal"/>
    <w:link w:val="TOC3Char"/>
    <w:qFormat/>
    <w:rsid w:val="00F9576E"/>
    <w:pPr>
      <w:tabs>
        <w:tab w:val="left" w:pos="1620"/>
      </w:tabs>
    </w:pPr>
    <w:rPr>
      <w:b/>
      <w:sz w:val="22"/>
      <w:szCs w:val="22"/>
    </w:rPr>
  </w:style>
  <w:style w:type="character" w:customStyle="1" w:styleId="TOC2Char">
    <w:name w:val="TOC2 Char"/>
    <w:basedOn w:val="DefaultParagraphFont"/>
    <w:link w:val="TOC20"/>
    <w:rsid w:val="00F9576E"/>
    <w:rPr>
      <w:b/>
      <w:smallCaps/>
      <w:sz w:val="28"/>
      <w:szCs w:val="28"/>
    </w:rPr>
  </w:style>
  <w:style w:type="character" w:customStyle="1" w:styleId="TOC3Char">
    <w:name w:val="TOC3 Char"/>
    <w:basedOn w:val="DefaultParagraphFont"/>
    <w:link w:val="TOC30"/>
    <w:rsid w:val="00F9576E"/>
    <w:rPr>
      <w:b/>
      <w:sz w:val="22"/>
      <w:szCs w:val="22"/>
    </w:rPr>
  </w:style>
  <w:style w:type="paragraph" w:styleId="Revision">
    <w:name w:val="Revision"/>
    <w:hidden/>
    <w:uiPriority w:val="99"/>
    <w:semiHidden/>
    <w:rsid w:val="009B299C"/>
    <w:rPr>
      <w:sz w:val="24"/>
      <w:szCs w:val="24"/>
    </w:rPr>
  </w:style>
  <w:style w:type="paragraph" w:styleId="HTMLPreformatted">
    <w:name w:val="HTML Preformatted"/>
    <w:basedOn w:val="Normal"/>
    <w:link w:val="HTMLPreformattedChar"/>
    <w:uiPriority w:val="99"/>
    <w:unhideWhenUsed/>
    <w:rsid w:val="005D71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5D71EA"/>
    <w:rPr>
      <w:rFonts w:ascii="Courier New" w:hAnsi="Courier New" w:cs="Courier New"/>
    </w:rPr>
  </w:style>
  <w:style w:type="paragraph" w:customStyle="1" w:styleId="yiv1262298506msolistparagraph">
    <w:name w:val="yiv1262298506msolistparagraph"/>
    <w:basedOn w:val="Normal"/>
    <w:rsid w:val="00BC525E"/>
    <w:pPr>
      <w:spacing w:before="100" w:beforeAutospacing="1" w:after="100" w:afterAutospacing="1"/>
    </w:pPr>
  </w:style>
  <w:style w:type="character" w:customStyle="1" w:styleId="HeaderChar">
    <w:name w:val="Header Char"/>
    <w:basedOn w:val="DefaultParagraphFont"/>
    <w:link w:val="Header"/>
    <w:uiPriority w:val="99"/>
    <w:rsid w:val="006A08AB"/>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qFormat="1"/>
    <w:lsdException w:name="heading 8"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Plain Text" w:uiPriority="99"/>
    <w:lsdException w:name="Normal (Web)" w:uiPriority="99"/>
    <w:lsdException w:name="HTML Preformatted"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272E3"/>
    <w:rPr>
      <w:sz w:val="24"/>
      <w:szCs w:val="24"/>
    </w:rPr>
  </w:style>
  <w:style w:type="paragraph" w:styleId="Heading1">
    <w:name w:val="heading 1"/>
    <w:basedOn w:val="Normal"/>
    <w:next w:val="Normal"/>
    <w:autoRedefine/>
    <w:qFormat/>
    <w:rsid w:val="009E33E7"/>
    <w:pPr>
      <w:keepNext/>
      <w:spacing w:before="240" w:after="60" w:line="276" w:lineRule="auto"/>
      <w:jc w:val="center"/>
      <w:outlineLvl w:val="0"/>
    </w:pPr>
    <w:rPr>
      <w:rFonts w:eastAsia="Calibri" w:cs="Arial"/>
      <w:b/>
      <w:bCs/>
      <w:kern w:val="32"/>
      <w:sz w:val="28"/>
      <w:szCs w:val="32"/>
    </w:rPr>
  </w:style>
  <w:style w:type="paragraph" w:styleId="Heading2">
    <w:name w:val="heading 2"/>
    <w:basedOn w:val="Normal"/>
    <w:next w:val="Normal"/>
    <w:autoRedefine/>
    <w:qFormat/>
    <w:rsid w:val="008609BB"/>
    <w:pPr>
      <w:keepNext/>
      <w:numPr>
        <w:numId w:val="1"/>
      </w:numPr>
      <w:spacing w:before="240" w:after="60"/>
      <w:outlineLvl w:val="1"/>
    </w:pPr>
    <w:rPr>
      <w:rFonts w:cs="Arial"/>
      <w:b/>
      <w:bCs/>
      <w:iCs/>
      <w:sz w:val="26"/>
      <w:szCs w:val="28"/>
      <w:u w:val="single"/>
    </w:rPr>
  </w:style>
  <w:style w:type="paragraph" w:styleId="Heading3">
    <w:name w:val="heading 3"/>
    <w:basedOn w:val="Normal"/>
    <w:next w:val="Normal"/>
    <w:autoRedefine/>
    <w:qFormat/>
    <w:rsid w:val="009E33E7"/>
    <w:pPr>
      <w:keepNext/>
      <w:spacing w:before="240" w:after="60" w:line="276" w:lineRule="auto"/>
      <w:outlineLvl w:val="2"/>
    </w:pPr>
    <w:rPr>
      <w:rFonts w:eastAsia="Calibri" w:cs="Arial"/>
      <w:bCs/>
      <w:sz w:val="22"/>
      <w:szCs w:val="26"/>
      <w:u w:val="single"/>
    </w:rPr>
  </w:style>
  <w:style w:type="paragraph" w:styleId="Heading4">
    <w:name w:val="heading 4"/>
    <w:basedOn w:val="Normal"/>
    <w:next w:val="Normal"/>
    <w:autoRedefine/>
    <w:qFormat/>
    <w:rsid w:val="002511B4"/>
    <w:pPr>
      <w:keepNext/>
      <w:spacing w:before="240" w:after="60" w:line="276" w:lineRule="auto"/>
      <w:outlineLvl w:val="3"/>
    </w:pPr>
    <w:rPr>
      <w:rFonts w:eastAsia="Calibri"/>
      <w:bCs/>
      <w:sz w:val="22"/>
      <w:szCs w:val="28"/>
      <w:u w:val="single"/>
    </w:rPr>
  </w:style>
  <w:style w:type="paragraph" w:styleId="Heading6">
    <w:name w:val="heading 6"/>
    <w:basedOn w:val="Normal"/>
    <w:next w:val="Normal"/>
    <w:autoRedefine/>
    <w:qFormat/>
    <w:rsid w:val="00232E8C"/>
    <w:pPr>
      <w:spacing w:before="240" w:after="60" w:line="276" w:lineRule="auto"/>
      <w:outlineLvl w:val="5"/>
    </w:pPr>
    <w:rPr>
      <w:rFonts w:eastAsia="Calibri"/>
      <w:b/>
      <w:bCs/>
      <w:sz w:val="28"/>
      <w:szCs w:val="22"/>
    </w:rPr>
  </w:style>
  <w:style w:type="paragraph" w:styleId="Heading7">
    <w:name w:val="heading 7"/>
    <w:basedOn w:val="Normal"/>
    <w:next w:val="Normal"/>
    <w:autoRedefine/>
    <w:qFormat/>
    <w:rsid w:val="00232E8C"/>
    <w:pPr>
      <w:spacing w:before="240" w:after="60" w:line="276" w:lineRule="auto"/>
      <w:jc w:val="center"/>
      <w:outlineLvl w:val="6"/>
    </w:pPr>
    <w:rPr>
      <w:rFonts w:eastAsia="Calibri"/>
      <w:u w:val="single"/>
    </w:rPr>
  </w:style>
  <w:style w:type="paragraph" w:styleId="Heading8">
    <w:name w:val="heading 8"/>
    <w:basedOn w:val="Normal"/>
    <w:next w:val="Normal"/>
    <w:autoRedefine/>
    <w:qFormat/>
    <w:rsid w:val="00232E8C"/>
    <w:pPr>
      <w:spacing w:before="240" w:after="60" w:line="276" w:lineRule="auto"/>
      <w:outlineLvl w:val="7"/>
    </w:pPr>
    <w:rPr>
      <w:rFonts w:eastAsia="Calibr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semiHidden/>
    <w:rsid w:val="00851A10"/>
    <w:rPr>
      <w:rFonts w:ascii="Times New Roman" w:hAnsi="Times New Roman" w:cs="Times New Roman"/>
      <w:sz w:val="20"/>
      <w:vertAlign w:val="superscript"/>
    </w:rPr>
  </w:style>
  <w:style w:type="paragraph" w:styleId="TOC1">
    <w:name w:val="toc 1"/>
    <w:basedOn w:val="Normal"/>
    <w:next w:val="Normal"/>
    <w:autoRedefine/>
    <w:uiPriority w:val="39"/>
    <w:rsid w:val="008122CB"/>
    <w:pPr>
      <w:tabs>
        <w:tab w:val="right" w:leader="dot" w:pos="10070"/>
      </w:tabs>
      <w:ind w:left="1195" w:hanging="1195"/>
    </w:pPr>
    <w:rPr>
      <w:b/>
      <w:bCs/>
      <w:caps/>
      <w:smallCaps/>
      <w:noProof/>
      <w:sz w:val="20"/>
    </w:rPr>
  </w:style>
  <w:style w:type="paragraph" w:styleId="TOC2">
    <w:name w:val="toc 2"/>
    <w:basedOn w:val="Normal"/>
    <w:next w:val="Normal"/>
    <w:autoRedefine/>
    <w:uiPriority w:val="39"/>
    <w:rsid w:val="00E63DEA"/>
    <w:pPr>
      <w:ind w:left="1541" w:hanging="1296"/>
    </w:pPr>
    <w:rPr>
      <w:smallCaps/>
      <w:sz w:val="20"/>
    </w:rPr>
  </w:style>
  <w:style w:type="paragraph" w:styleId="TOC3">
    <w:name w:val="toc 3"/>
    <w:basedOn w:val="Normal"/>
    <w:next w:val="Normal"/>
    <w:autoRedefine/>
    <w:uiPriority w:val="39"/>
    <w:rsid w:val="0066766B"/>
    <w:pPr>
      <w:tabs>
        <w:tab w:val="right" w:leader="dot" w:pos="10070"/>
      </w:tabs>
      <w:ind w:left="1800" w:hanging="1320"/>
    </w:pPr>
    <w:rPr>
      <w:i/>
      <w:iCs/>
      <w:sz w:val="20"/>
    </w:rPr>
  </w:style>
  <w:style w:type="paragraph" w:customStyle="1" w:styleId="BodyText1">
    <w:name w:val="Body Text1"/>
    <w:basedOn w:val="Normal"/>
    <w:rsid w:val="004A6280"/>
    <w:pPr>
      <w:tabs>
        <w:tab w:val="left" w:pos="180"/>
      </w:tabs>
      <w:autoSpaceDE w:val="0"/>
      <w:autoSpaceDN w:val="0"/>
      <w:adjustRightInd w:val="0"/>
      <w:spacing w:line="220" w:lineRule="atLeast"/>
      <w:textAlignment w:val="center"/>
    </w:pPr>
    <w:rPr>
      <w:rFonts w:ascii="MyriadPro-Regular" w:hAnsi="MyriadPro-Regular" w:cs="MyriadPro-Regular"/>
      <w:color w:val="000000"/>
      <w:sz w:val="22"/>
      <w:szCs w:val="22"/>
    </w:rPr>
  </w:style>
  <w:style w:type="character" w:customStyle="1" w:styleId="NUMBER">
    <w:name w:val="NUMBER"/>
    <w:rsid w:val="004A6280"/>
    <w:rPr>
      <w:rFonts w:ascii="The Sans Semi Bold- Bold Caps" w:hAnsi="The Sans Semi Bold- Bold Caps" w:cs="The Sans Semi Bold- Bold Caps"/>
      <w:b/>
      <w:bCs/>
      <w:outline/>
      <w:color w:val="000000"/>
      <w:sz w:val="32"/>
      <w:szCs w:val="32"/>
      <w14:textOutline w14:w="9525" w14:cap="flat" w14:cmpd="sng" w14:algn="ctr">
        <w14:solidFill>
          <w14:srgbClr w14:val="000000"/>
        </w14:solidFill>
        <w14:prstDash w14:val="solid"/>
        <w14:round/>
      </w14:textOutline>
      <w14:textFill>
        <w14:noFill/>
      </w14:textFill>
    </w:rPr>
  </w:style>
  <w:style w:type="paragraph" w:styleId="Header">
    <w:name w:val="header"/>
    <w:basedOn w:val="Normal"/>
    <w:link w:val="HeaderChar"/>
    <w:uiPriority w:val="99"/>
    <w:rsid w:val="004A6280"/>
    <w:pPr>
      <w:tabs>
        <w:tab w:val="center" w:pos="4320"/>
        <w:tab w:val="right" w:pos="8640"/>
      </w:tabs>
    </w:pPr>
  </w:style>
  <w:style w:type="paragraph" w:styleId="Footer">
    <w:name w:val="footer"/>
    <w:basedOn w:val="Normal"/>
    <w:link w:val="FooterChar"/>
    <w:uiPriority w:val="99"/>
    <w:rsid w:val="004A6280"/>
    <w:pPr>
      <w:tabs>
        <w:tab w:val="center" w:pos="4320"/>
        <w:tab w:val="right" w:pos="8640"/>
      </w:tabs>
    </w:pPr>
  </w:style>
  <w:style w:type="character" w:styleId="PageNumber">
    <w:name w:val="page number"/>
    <w:basedOn w:val="DefaultParagraphFont"/>
    <w:rsid w:val="009921F8"/>
  </w:style>
  <w:style w:type="paragraph" w:customStyle="1" w:styleId="TOCtitle">
    <w:name w:val="TOC title"/>
    <w:basedOn w:val="Normal"/>
    <w:rsid w:val="00BA66D8"/>
    <w:pPr>
      <w:autoSpaceDE w:val="0"/>
      <w:autoSpaceDN w:val="0"/>
      <w:adjustRightInd w:val="0"/>
      <w:spacing w:after="360" w:line="220" w:lineRule="atLeast"/>
      <w:jc w:val="center"/>
      <w:textAlignment w:val="center"/>
    </w:pPr>
    <w:rPr>
      <w:rFonts w:ascii="MyriadPro-Bold" w:hAnsi="MyriadPro-Bold" w:cs="MyriadPro-Bold"/>
      <w:b/>
      <w:bCs/>
      <w:caps/>
      <w:color w:val="000000"/>
      <w:sz w:val="22"/>
      <w:szCs w:val="22"/>
    </w:rPr>
  </w:style>
  <w:style w:type="paragraph" w:customStyle="1" w:styleId="TOCBodyTextLevel1">
    <w:name w:val="TOC Body Text Level 1"/>
    <w:basedOn w:val="Normal"/>
    <w:rsid w:val="00BA66D8"/>
    <w:pPr>
      <w:autoSpaceDE w:val="0"/>
      <w:autoSpaceDN w:val="0"/>
      <w:adjustRightInd w:val="0"/>
      <w:spacing w:line="220" w:lineRule="atLeast"/>
      <w:jc w:val="center"/>
      <w:textAlignment w:val="center"/>
    </w:pPr>
    <w:rPr>
      <w:rFonts w:ascii="MyriadPro-Bold" w:hAnsi="MyriadPro-Bold" w:cs="MyriadPro-Bold"/>
      <w:b/>
      <w:bCs/>
      <w:caps/>
      <w:color w:val="000000"/>
      <w:sz w:val="22"/>
      <w:szCs w:val="22"/>
    </w:rPr>
  </w:style>
  <w:style w:type="paragraph" w:customStyle="1" w:styleId="TOCBodyTextLevel2">
    <w:name w:val="TOC Body Text Level 2"/>
    <w:basedOn w:val="Normal"/>
    <w:rsid w:val="00BA66D8"/>
    <w:pPr>
      <w:autoSpaceDE w:val="0"/>
      <w:autoSpaceDN w:val="0"/>
      <w:adjustRightInd w:val="0"/>
      <w:spacing w:line="220" w:lineRule="atLeast"/>
      <w:ind w:left="360" w:hanging="340"/>
      <w:textAlignment w:val="center"/>
    </w:pPr>
    <w:rPr>
      <w:rFonts w:ascii="MyriadPro-Regular" w:hAnsi="MyriadPro-Regular" w:cs="MyriadPro-Regular"/>
      <w:color w:val="000000"/>
      <w:sz w:val="22"/>
      <w:szCs w:val="22"/>
    </w:rPr>
  </w:style>
  <w:style w:type="paragraph" w:customStyle="1" w:styleId="NormalParagraphStyle">
    <w:name w:val="NormalParagraphStyle"/>
    <w:basedOn w:val="Normal"/>
    <w:rsid w:val="00BA66D8"/>
    <w:pPr>
      <w:autoSpaceDE w:val="0"/>
      <w:autoSpaceDN w:val="0"/>
      <w:adjustRightInd w:val="0"/>
      <w:spacing w:line="288" w:lineRule="auto"/>
      <w:textAlignment w:val="center"/>
    </w:pPr>
    <w:rPr>
      <w:color w:val="000000"/>
    </w:rPr>
  </w:style>
  <w:style w:type="character" w:styleId="Hyperlink">
    <w:name w:val="Hyperlink"/>
    <w:basedOn w:val="DefaultParagraphFont"/>
    <w:uiPriority w:val="99"/>
    <w:rsid w:val="00AF0984"/>
    <w:rPr>
      <w:color w:val="000000" w:themeColor="text1"/>
      <w:u w:val="none"/>
    </w:rPr>
  </w:style>
  <w:style w:type="paragraph" w:customStyle="1" w:styleId="Noparagraphstyle">
    <w:name w:val="[No paragraph style]"/>
    <w:rsid w:val="005B225E"/>
    <w:pPr>
      <w:autoSpaceDE w:val="0"/>
      <w:autoSpaceDN w:val="0"/>
      <w:adjustRightInd w:val="0"/>
      <w:spacing w:line="288" w:lineRule="auto"/>
      <w:textAlignment w:val="center"/>
    </w:pPr>
    <w:rPr>
      <w:color w:val="000000"/>
      <w:sz w:val="24"/>
      <w:szCs w:val="24"/>
    </w:rPr>
  </w:style>
  <w:style w:type="character" w:customStyle="1" w:styleId="CharChar7">
    <w:name w:val="Char Char7"/>
    <w:rsid w:val="005B225E"/>
    <w:rPr>
      <w:rFonts w:ascii="Calibri" w:hAnsi="Calibri" w:cs="Calibri"/>
      <w:color w:val="000000"/>
      <w:w w:val="100"/>
      <w:sz w:val="16"/>
      <w:szCs w:val="16"/>
      <w:lang w:val="en-US"/>
    </w:rPr>
  </w:style>
  <w:style w:type="paragraph" w:styleId="ListParagraph">
    <w:name w:val="List Paragraph"/>
    <w:basedOn w:val="Normal"/>
    <w:uiPriority w:val="34"/>
    <w:qFormat/>
    <w:rsid w:val="005B225E"/>
    <w:pPr>
      <w:suppressAutoHyphens/>
      <w:autoSpaceDE w:val="0"/>
      <w:autoSpaceDN w:val="0"/>
      <w:adjustRightInd w:val="0"/>
      <w:spacing w:after="200" w:line="264" w:lineRule="auto"/>
      <w:ind w:left="720"/>
      <w:textAlignment w:val="center"/>
    </w:pPr>
    <w:rPr>
      <w:sz w:val="22"/>
      <w:szCs w:val="22"/>
    </w:rPr>
  </w:style>
  <w:style w:type="paragraph" w:customStyle="1" w:styleId="Table">
    <w:name w:val="Table"/>
    <w:aliases w:val="Chart,Box"/>
    <w:basedOn w:val="NormalParagraphStyle"/>
    <w:rsid w:val="006838AC"/>
    <w:pPr>
      <w:suppressAutoHyphens/>
      <w:spacing w:line="200" w:lineRule="atLeast"/>
    </w:pPr>
    <w:rPr>
      <w:sz w:val="20"/>
      <w:szCs w:val="20"/>
    </w:rPr>
  </w:style>
  <w:style w:type="table" w:styleId="TableGrid">
    <w:name w:val="Table Grid"/>
    <w:basedOn w:val="TableNormal"/>
    <w:rsid w:val="004265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rsid w:val="00D312BE"/>
    <w:rPr>
      <w:sz w:val="20"/>
      <w:szCs w:val="20"/>
    </w:rPr>
  </w:style>
  <w:style w:type="paragraph" w:customStyle="1" w:styleId="TODHeading1">
    <w:name w:val="TOD Heading 1"/>
    <w:basedOn w:val="Normal"/>
    <w:rsid w:val="002750E3"/>
    <w:pPr>
      <w:jc w:val="center"/>
    </w:pPr>
    <w:rPr>
      <w:b/>
    </w:rPr>
  </w:style>
  <w:style w:type="paragraph" w:customStyle="1" w:styleId="TODHeading2">
    <w:name w:val="TOD Heading 2"/>
    <w:basedOn w:val="Normal"/>
    <w:autoRedefine/>
    <w:uiPriority w:val="99"/>
    <w:rsid w:val="00DE4F01"/>
    <w:pPr>
      <w:jc w:val="center"/>
      <w:outlineLvl w:val="0"/>
    </w:pPr>
    <w:rPr>
      <w:rFonts w:eastAsia="Calibri"/>
      <w:sz w:val="20"/>
      <w:szCs w:val="20"/>
    </w:rPr>
  </w:style>
  <w:style w:type="paragraph" w:styleId="Index1">
    <w:name w:val="index 1"/>
    <w:basedOn w:val="Normal"/>
    <w:next w:val="Normal"/>
    <w:autoRedefine/>
    <w:semiHidden/>
    <w:rsid w:val="008B51CA"/>
    <w:pPr>
      <w:ind w:left="240" w:hanging="240"/>
    </w:pPr>
    <w:rPr>
      <w:sz w:val="18"/>
      <w:szCs w:val="21"/>
    </w:rPr>
  </w:style>
  <w:style w:type="paragraph" w:styleId="Index2">
    <w:name w:val="index 2"/>
    <w:basedOn w:val="Normal"/>
    <w:next w:val="Normal"/>
    <w:autoRedefine/>
    <w:semiHidden/>
    <w:rsid w:val="008B51CA"/>
    <w:pPr>
      <w:ind w:left="480" w:hanging="240"/>
    </w:pPr>
    <w:rPr>
      <w:sz w:val="18"/>
      <w:szCs w:val="21"/>
    </w:rPr>
  </w:style>
  <w:style w:type="paragraph" w:styleId="Index3">
    <w:name w:val="index 3"/>
    <w:basedOn w:val="Normal"/>
    <w:next w:val="Normal"/>
    <w:autoRedefine/>
    <w:semiHidden/>
    <w:rsid w:val="008B51CA"/>
    <w:pPr>
      <w:ind w:left="720" w:hanging="240"/>
    </w:pPr>
    <w:rPr>
      <w:sz w:val="18"/>
      <w:szCs w:val="21"/>
    </w:rPr>
  </w:style>
  <w:style w:type="paragraph" w:styleId="Index4">
    <w:name w:val="index 4"/>
    <w:basedOn w:val="Normal"/>
    <w:next w:val="Normal"/>
    <w:autoRedefine/>
    <w:semiHidden/>
    <w:rsid w:val="008B51CA"/>
    <w:pPr>
      <w:ind w:left="960" w:hanging="240"/>
    </w:pPr>
    <w:rPr>
      <w:sz w:val="18"/>
      <w:szCs w:val="21"/>
    </w:rPr>
  </w:style>
  <w:style w:type="paragraph" w:styleId="Index5">
    <w:name w:val="index 5"/>
    <w:basedOn w:val="Normal"/>
    <w:next w:val="Normal"/>
    <w:autoRedefine/>
    <w:semiHidden/>
    <w:rsid w:val="008B51CA"/>
    <w:pPr>
      <w:ind w:left="1200" w:hanging="240"/>
    </w:pPr>
    <w:rPr>
      <w:sz w:val="18"/>
      <w:szCs w:val="21"/>
    </w:rPr>
  </w:style>
  <w:style w:type="paragraph" w:styleId="Index6">
    <w:name w:val="index 6"/>
    <w:basedOn w:val="Normal"/>
    <w:next w:val="Normal"/>
    <w:autoRedefine/>
    <w:semiHidden/>
    <w:rsid w:val="008B51CA"/>
    <w:pPr>
      <w:ind w:left="1440" w:hanging="240"/>
    </w:pPr>
    <w:rPr>
      <w:sz w:val="18"/>
      <w:szCs w:val="21"/>
    </w:rPr>
  </w:style>
  <w:style w:type="paragraph" w:styleId="Index7">
    <w:name w:val="index 7"/>
    <w:basedOn w:val="Normal"/>
    <w:next w:val="Normal"/>
    <w:autoRedefine/>
    <w:semiHidden/>
    <w:rsid w:val="008B51CA"/>
    <w:pPr>
      <w:ind w:left="1680" w:hanging="240"/>
    </w:pPr>
    <w:rPr>
      <w:sz w:val="18"/>
      <w:szCs w:val="21"/>
    </w:rPr>
  </w:style>
  <w:style w:type="paragraph" w:styleId="Index8">
    <w:name w:val="index 8"/>
    <w:basedOn w:val="Normal"/>
    <w:next w:val="Normal"/>
    <w:autoRedefine/>
    <w:semiHidden/>
    <w:rsid w:val="008B51CA"/>
    <w:pPr>
      <w:ind w:left="1920" w:hanging="240"/>
    </w:pPr>
    <w:rPr>
      <w:sz w:val="18"/>
      <w:szCs w:val="21"/>
    </w:rPr>
  </w:style>
  <w:style w:type="paragraph" w:styleId="Index9">
    <w:name w:val="index 9"/>
    <w:basedOn w:val="Normal"/>
    <w:next w:val="Normal"/>
    <w:autoRedefine/>
    <w:semiHidden/>
    <w:rsid w:val="008B51CA"/>
    <w:pPr>
      <w:ind w:left="2160" w:hanging="240"/>
    </w:pPr>
    <w:rPr>
      <w:sz w:val="18"/>
      <w:szCs w:val="21"/>
    </w:rPr>
  </w:style>
  <w:style w:type="paragraph" w:styleId="IndexHeading">
    <w:name w:val="index heading"/>
    <w:basedOn w:val="Normal"/>
    <w:next w:val="Index1"/>
    <w:semiHidden/>
    <w:rsid w:val="008B51CA"/>
    <w:pPr>
      <w:pBdr>
        <w:top w:val="double" w:sz="6" w:space="0" w:color="auto" w:shadow="1"/>
        <w:left w:val="double" w:sz="6" w:space="0" w:color="auto" w:shadow="1"/>
        <w:bottom w:val="double" w:sz="6" w:space="0" w:color="auto" w:shadow="1"/>
        <w:right w:val="double" w:sz="6" w:space="0" w:color="auto" w:shadow="1"/>
      </w:pBdr>
      <w:spacing w:before="240" w:after="120"/>
      <w:jc w:val="center"/>
    </w:pPr>
    <w:rPr>
      <w:rFonts w:ascii="Arial" w:hAnsi="Arial" w:cs="Arial"/>
      <w:b/>
      <w:bCs/>
      <w:sz w:val="22"/>
      <w:szCs w:val="26"/>
    </w:rPr>
  </w:style>
  <w:style w:type="paragraph" w:styleId="TOC4">
    <w:name w:val="toc 4"/>
    <w:basedOn w:val="Normal"/>
    <w:next w:val="Normal"/>
    <w:autoRedefine/>
    <w:uiPriority w:val="39"/>
    <w:rsid w:val="008B51CA"/>
    <w:pPr>
      <w:ind w:left="720"/>
    </w:pPr>
    <w:rPr>
      <w:sz w:val="18"/>
      <w:szCs w:val="21"/>
    </w:rPr>
  </w:style>
  <w:style w:type="paragraph" w:styleId="TOC5">
    <w:name w:val="toc 5"/>
    <w:basedOn w:val="Normal"/>
    <w:next w:val="Normal"/>
    <w:autoRedefine/>
    <w:uiPriority w:val="39"/>
    <w:rsid w:val="008B51CA"/>
    <w:pPr>
      <w:ind w:left="960"/>
    </w:pPr>
    <w:rPr>
      <w:sz w:val="18"/>
      <w:szCs w:val="21"/>
    </w:rPr>
  </w:style>
  <w:style w:type="paragraph" w:styleId="TOC6">
    <w:name w:val="toc 6"/>
    <w:basedOn w:val="Normal"/>
    <w:next w:val="Normal"/>
    <w:autoRedefine/>
    <w:uiPriority w:val="39"/>
    <w:rsid w:val="008B51CA"/>
    <w:pPr>
      <w:ind w:left="1200"/>
    </w:pPr>
    <w:rPr>
      <w:sz w:val="18"/>
      <w:szCs w:val="21"/>
    </w:rPr>
  </w:style>
  <w:style w:type="paragraph" w:styleId="TOC7">
    <w:name w:val="toc 7"/>
    <w:basedOn w:val="Normal"/>
    <w:next w:val="Normal"/>
    <w:autoRedefine/>
    <w:uiPriority w:val="39"/>
    <w:rsid w:val="008B51CA"/>
    <w:pPr>
      <w:ind w:left="1440"/>
    </w:pPr>
    <w:rPr>
      <w:sz w:val="18"/>
      <w:szCs w:val="21"/>
    </w:rPr>
  </w:style>
  <w:style w:type="paragraph" w:styleId="TOC8">
    <w:name w:val="toc 8"/>
    <w:basedOn w:val="Normal"/>
    <w:next w:val="Normal"/>
    <w:autoRedefine/>
    <w:uiPriority w:val="39"/>
    <w:rsid w:val="008B51CA"/>
    <w:pPr>
      <w:ind w:left="1680"/>
    </w:pPr>
    <w:rPr>
      <w:sz w:val="18"/>
      <w:szCs w:val="21"/>
    </w:rPr>
  </w:style>
  <w:style w:type="paragraph" w:styleId="TOC9">
    <w:name w:val="toc 9"/>
    <w:basedOn w:val="Normal"/>
    <w:next w:val="Normal"/>
    <w:autoRedefine/>
    <w:uiPriority w:val="39"/>
    <w:rsid w:val="008B51CA"/>
    <w:pPr>
      <w:ind w:left="1920"/>
    </w:pPr>
    <w:rPr>
      <w:sz w:val="18"/>
      <w:szCs w:val="21"/>
    </w:rPr>
  </w:style>
  <w:style w:type="paragraph" w:customStyle="1" w:styleId="TODHeading3">
    <w:name w:val="TOD Heading 3"/>
    <w:basedOn w:val="Normal"/>
    <w:link w:val="TODHeading3Char"/>
    <w:uiPriority w:val="99"/>
    <w:rsid w:val="00384E22"/>
    <w:rPr>
      <w:b/>
    </w:rPr>
  </w:style>
  <w:style w:type="character" w:customStyle="1" w:styleId="TODHeading3Char">
    <w:name w:val="TOD Heading 3 Char"/>
    <w:basedOn w:val="DefaultParagraphFont"/>
    <w:link w:val="TODHeading3"/>
    <w:uiPriority w:val="99"/>
    <w:rsid w:val="00384E22"/>
    <w:rPr>
      <w:b/>
      <w:sz w:val="24"/>
      <w:szCs w:val="24"/>
      <w:lang w:val="en-US" w:eastAsia="en-US" w:bidi="ar-SA"/>
    </w:rPr>
  </w:style>
  <w:style w:type="paragraph" w:styleId="NormalWeb">
    <w:name w:val="Normal (Web)"/>
    <w:basedOn w:val="Normal"/>
    <w:uiPriority w:val="99"/>
    <w:rsid w:val="00073B13"/>
    <w:pPr>
      <w:spacing w:before="100" w:beforeAutospacing="1" w:after="100" w:afterAutospacing="1"/>
    </w:pPr>
  </w:style>
  <w:style w:type="paragraph" w:customStyle="1" w:styleId="green">
    <w:name w:val="green"/>
    <w:basedOn w:val="Normal"/>
    <w:rsid w:val="00762CD7"/>
    <w:pPr>
      <w:spacing w:before="100" w:beforeAutospacing="1" w:after="100" w:afterAutospacing="1"/>
    </w:pPr>
    <w:rPr>
      <w:color w:val="006A33"/>
      <w:sz w:val="18"/>
      <w:szCs w:val="18"/>
    </w:rPr>
  </w:style>
  <w:style w:type="character" w:styleId="Strong">
    <w:name w:val="Strong"/>
    <w:basedOn w:val="DefaultParagraphFont"/>
    <w:uiPriority w:val="22"/>
    <w:qFormat/>
    <w:rsid w:val="00762CD7"/>
    <w:rPr>
      <w:b/>
      <w:bCs/>
    </w:rPr>
  </w:style>
  <w:style w:type="character" w:customStyle="1" w:styleId="FootnoteTextChar">
    <w:name w:val="Footnote Text Char"/>
    <w:basedOn w:val="DefaultParagraphFont"/>
    <w:link w:val="FootnoteText"/>
    <w:uiPriority w:val="99"/>
    <w:rsid w:val="00741A95"/>
    <w:rPr>
      <w:lang w:val="en-US" w:eastAsia="en-US" w:bidi="ar-SA"/>
    </w:rPr>
  </w:style>
  <w:style w:type="character" w:styleId="FollowedHyperlink">
    <w:name w:val="FollowedHyperlink"/>
    <w:basedOn w:val="DefaultParagraphFont"/>
    <w:rsid w:val="00AF0984"/>
    <w:rPr>
      <w:color w:val="000000" w:themeColor="text1"/>
      <w:u w:val="none"/>
    </w:rPr>
  </w:style>
  <w:style w:type="character" w:customStyle="1" w:styleId="style7">
    <w:name w:val="style7"/>
    <w:basedOn w:val="DefaultParagraphFont"/>
    <w:rsid w:val="00AF4587"/>
  </w:style>
  <w:style w:type="paragraph" w:customStyle="1" w:styleId="style45">
    <w:name w:val="style45"/>
    <w:basedOn w:val="Normal"/>
    <w:rsid w:val="002F2CC7"/>
    <w:pPr>
      <w:spacing w:before="100" w:beforeAutospacing="1" w:after="100" w:afterAutospacing="1"/>
    </w:pPr>
    <w:rPr>
      <w:lang w:bidi="mr-IN"/>
    </w:rPr>
  </w:style>
  <w:style w:type="character" w:customStyle="1" w:styleId="apple-style-span">
    <w:name w:val="apple-style-span"/>
    <w:basedOn w:val="DefaultParagraphFont"/>
    <w:rsid w:val="00AD7DCE"/>
  </w:style>
  <w:style w:type="character" w:customStyle="1" w:styleId="apple-converted-space">
    <w:name w:val="apple-converted-space"/>
    <w:basedOn w:val="DefaultParagraphFont"/>
    <w:rsid w:val="00AD7DCE"/>
  </w:style>
  <w:style w:type="paragraph" w:customStyle="1" w:styleId="Title1">
    <w:name w:val="Title1"/>
    <w:basedOn w:val="Normal"/>
    <w:rsid w:val="0053782A"/>
    <w:pPr>
      <w:spacing w:before="100" w:beforeAutospacing="1" w:after="100" w:afterAutospacing="1"/>
    </w:pPr>
    <w:rPr>
      <w:rFonts w:ascii="Helvetica" w:hAnsi="Helvetica"/>
      <w:b/>
      <w:bCs/>
      <w:color w:val="000000"/>
      <w:sz w:val="27"/>
      <w:szCs w:val="27"/>
    </w:rPr>
  </w:style>
  <w:style w:type="character" w:customStyle="1" w:styleId="highlightedsearchterm">
    <w:name w:val="highlightedsearchterm"/>
    <w:basedOn w:val="DefaultParagraphFont"/>
    <w:rsid w:val="00306DD1"/>
  </w:style>
  <w:style w:type="paragraph" w:customStyle="1" w:styleId="AveryStyle6">
    <w:name w:val="Avery Style 6"/>
    <w:rsid w:val="003519A8"/>
    <w:pPr>
      <w:jc w:val="center"/>
    </w:pPr>
    <w:rPr>
      <w:rFonts w:ascii="Arial" w:hAnsi="Arial" w:cs="Arial"/>
      <w:bCs/>
      <w:color w:val="000000"/>
      <w:szCs w:val="22"/>
    </w:rPr>
  </w:style>
  <w:style w:type="paragraph" w:customStyle="1" w:styleId="AveryStyle32">
    <w:name w:val="Avery Style 32"/>
    <w:rsid w:val="003519A8"/>
    <w:pPr>
      <w:jc w:val="center"/>
    </w:pPr>
    <w:rPr>
      <w:rFonts w:ascii="Arial" w:hAnsi="Arial" w:cs="Arial"/>
      <w:bCs/>
      <w:color w:val="000000"/>
      <w:sz w:val="36"/>
      <w:szCs w:val="22"/>
    </w:rPr>
  </w:style>
  <w:style w:type="paragraph" w:styleId="BodyText">
    <w:name w:val="Body Text"/>
    <w:basedOn w:val="Normal"/>
    <w:rsid w:val="003519A8"/>
    <w:pPr>
      <w:spacing w:after="200" w:line="276" w:lineRule="auto"/>
    </w:pPr>
    <w:rPr>
      <w:rFonts w:ascii="Arial" w:hAnsi="Arial"/>
      <w:sz w:val="16"/>
      <w:szCs w:val="22"/>
    </w:rPr>
  </w:style>
  <w:style w:type="paragraph" w:customStyle="1" w:styleId="bodyheader">
    <w:name w:val="bodyheader"/>
    <w:basedOn w:val="Normal"/>
    <w:rsid w:val="00D17C86"/>
    <w:pPr>
      <w:spacing w:before="100" w:beforeAutospacing="1" w:after="100" w:afterAutospacing="1"/>
    </w:pPr>
    <w:rPr>
      <w:rFonts w:ascii="Verdana" w:hAnsi="Verdana"/>
      <w:b/>
      <w:bCs/>
      <w:color w:val="669933"/>
      <w:sz w:val="18"/>
      <w:szCs w:val="18"/>
    </w:rPr>
  </w:style>
  <w:style w:type="paragraph" w:customStyle="1" w:styleId="Default">
    <w:name w:val="Default"/>
    <w:rsid w:val="00626F8B"/>
    <w:pPr>
      <w:autoSpaceDE w:val="0"/>
      <w:autoSpaceDN w:val="0"/>
      <w:adjustRightInd w:val="0"/>
    </w:pPr>
    <w:rPr>
      <w:rFonts w:ascii="Arial Narrow" w:hAnsi="Arial Narrow" w:cs="Arial Narrow"/>
      <w:color w:val="000000"/>
      <w:sz w:val="24"/>
      <w:szCs w:val="24"/>
    </w:rPr>
  </w:style>
  <w:style w:type="paragraph" w:styleId="ListBullet">
    <w:name w:val="List Bullet"/>
    <w:basedOn w:val="Default"/>
    <w:next w:val="Default"/>
    <w:rsid w:val="00626F8B"/>
    <w:rPr>
      <w:rFonts w:cs="Times New Roman"/>
      <w:color w:val="auto"/>
    </w:rPr>
  </w:style>
  <w:style w:type="paragraph" w:customStyle="1" w:styleId="NormalLatin14pt">
    <w:name w:val="Normal + (Latin) 14 pt"/>
    <w:aliases w:val="Small caps"/>
    <w:basedOn w:val="Normal"/>
    <w:rsid w:val="00E965D6"/>
  </w:style>
  <w:style w:type="paragraph" w:styleId="DocumentMap">
    <w:name w:val="Document Map"/>
    <w:basedOn w:val="Normal"/>
    <w:semiHidden/>
    <w:rsid w:val="00365DFA"/>
    <w:pPr>
      <w:shd w:val="clear" w:color="auto" w:fill="000080"/>
    </w:pPr>
    <w:rPr>
      <w:rFonts w:ascii="Tahoma" w:hAnsi="Tahoma" w:cs="Tahoma"/>
      <w:sz w:val="20"/>
      <w:szCs w:val="20"/>
    </w:rPr>
  </w:style>
  <w:style w:type="paragraph" w:styleId="BalloonText">
    <w:name w:val="Balloon Text"/>
    <w:basedOn w:val="Normal"/>
    <w:semiHidden/>
    <w:rsid w:val="008A6C6F"/>
    <w:rPr>
      <w:rFonts w:ascii="Tahoma" w:hAnsi="Tahoma" w:cs="Tahoma"/>
      <w:sz w:val="16"/>
      <w:szCs w:val="16"/>
    </w:rPr>
  </w:style>
  <w:style w:type="paragraph" w:styleId="EndnoteText">
    <w:name w:val="endnote text"/>
    <w:basedOn w:val="Normal"/>
    <w:link w:val="EndnoteTextChar"/>
    <w:rsid w:val="00FB7EC4"/>
    <w:rPr>
      <w:sz w:val="20"/>
      <w:szCs w:val="20"/>
    </w:rPr>
  </w:style>
  <w:style w:type="character" w:customStyle="1" w:styleId="EndnoteTextChar">
    <w:name w:val="Endnote Text Char"/>
    <w:basedOn w:val="DefaultParagraphFont"/>
    <w:link w:val="EndnoteText"/>
    <w:rsid w:val="00FB7EC4"/>
  </w:style>
  <w:style w:type="character" w:styleId="EndnoteReference">
    <w:name w:val="endnote reference"/>
    <w:basedOn w:val="DefaultParagraphFont"/>
    <w:rsid w:val="00FB7EC4"/>
    <w:rPr>
      <w:vertAlign w:val="superscript"/>
    </w:rPr>
  </w:style>
  <w:style w:type="paragraph" w:customStyle="1" w:styleId="Pa0">
    <w:name w:val="Pa0"/>
    <w:basedOn w:val="Default"/>
    <w:next w:val="Default"/>
    <w:uiPriority w:val="99"/>
    <w:rsid w:val="00AE516E"/>
    <w:pPr>
      <w:spacing w:line="241" w:lineRule="atLeast"/>
    </w:pPr>
    <w:rPr>
      <w:rFonts w:ascii="Minion Pro" w:hAnsi="Minion Pro" w:cs="Times New Roman"/>
      <w:color w:val="auto"/>
    </w:rPr>
  </w:style>
  <w:style w:type="character" w:customStyle="1" w:styleId="A2">
    <w:name w:val="A2"/>
    <w:uiPriority w:val="99"/>
    <w:rsid w:val="00AE516E"/>
    <w:rPr>
      <w:rFonts w:cs="Minion Pro"/>
      <w:b/>
      <w:bCs/>
      <w:color w:val="9FA615"/>
      <w:sz w:val="58"/>
      <w:szCs w:val="58"/>
    </w:rPr>
  </w:style>
  <w:style w:type="character" w:styleId="CommentReference">
    <w:name w:val="annotation reference"/>
    <w:basedOn w:val="DefaultParagraphFont"/>
    <w:rsid w:val="005F03DB"/>
    <w:rPr>
      <w:sz w:val="16"/>
      <w:szCs w:val="16"/>
    </w:rPr>
  </w:style>
  <w:style w:type="paragraph" w:styleId="CommentText">
    <w:name w:val="annotation text"/>
    <w:basedOn w:val="Normal"/>
    <w:link w:val="CommentTextChar"/>
    <w:rsid w:val="005F03DB"/>
    <w:rPr>
      <w:sz w:val="20"/>
      <w:szCs w:val="20"/>
    </w:rPr>
  </w:style>
  <w:style w:type="character" w:customStyle="1" w:styleId="CommentTextChar">
    <w:name w:val="Comment Text Char"/>
    <w:basedOn w:val="DefaultParagraphFont"/>
    <w:link w:val="CommentText"/>
    <w:rsid w:val="005F03DB"/>
  </w:style>
  <w:style w:type="paragraph" w:styleId="CommentSubject">
    <w:name w:val="annotation subject"/>
    <w:basedOn w:val="CommentText"/>
    <w:next w:val="CommentText"/>
    <w:link w:val="CommentSubjectChar"/>
    <w:rsid w:val="005F03DB"/>
    <w:rPr>
      <w:b/>
      <w:bCs/>
    </w:rPr>
  </w:style>
  <w:style w:type="character" w:customStyle="1" w:styleId="CommentSubjectChar">
    <w:name w:val="Comment Subject Char"/>
    <w:basedOn w:val="CommentTextChar"/>
    <w:link w:val="CommentSubject"/>
    <w:rsid w:val="005F03DB"/>
    <w:rPr>
      <w:b/>
      <w:bCs/>
    </w:rPr>
  </w:style>
  <w:style w:type="paragraph" w:styleId="TOCHeading">
    <w:name w:val="TOC Heading"/>
    <w:basedOn w:val="Heading1"/>
    <w:next w:val="Normal"/>
    <w:uiPriority w:val="39"/>
    <w:semiHidden/>
    <w:unhideWhenUsed/>
    <w:qFormat/>
    <w:rsid w:val="00621E58"/>
    <w:pPr>
      <w:keepLines/>
      <w:spacing w:before="480" w:after="0"/>
      <w:jc w:val="left"/>
      <w:outlineLvl w:val="9"/>
    </w:pPr>
    <w:rPr>
      <w:rFonts w:asciiTheme="majorHAnsi" w:eastAsiaTheme="majorEastAsia" w:hAnsiTheme="majorHAnsi" w:cstheme="majorBidi"/>
      <w:color w:val="365F91" w:themeColor="accent1" w:themeShade="BF"/>
      <w:kern w:val="0"/>
      <w:szCs w:val="28"/>
    </w:rPr>
  </w:style>
  <w:style w:type="paragraph" w:styleId="PlainText">
    <w:name w:val="Plain Text"/>
    <w:basedOn w:val="Normal"/>
    <w:link w:val="PlainTextChar"/>
    <w:uiPriority w:val="99"/>
    <w:unhideWhenUsed/>
    <w:rsid w:val="0001051C"/>
    <w:rPr>
      <w:rFonts w:ascii="Consolas" w:hAnsi="Consolas"/>
      <w:sz w:val="21"/>
      <w:szCs w:val="21"/>
    </w:rPr>
  </w:style>
  <w:style w:type="character" w:customStyle="1" w:styleId="PlainTextChar">
    <w:name w:val="Plain Text Char"/>
    <w:basedOn w:val="DefaultParagraphFont"/>
    <w:link w:val="PlainText"/>
    <w:uiPriority w:val="99"/>
    <w:rsid w:val="0001051C"/>
    <w:rPr>
      <w:rFonts w:ascii="Consolas" w:hAnsi="Consolas"/>
      <w:sz w:val="21"/>
      <w:szCs w:val="21"/>
    </w:rPr>
  </w:style>
  <w:style w:type="paragraph" w:styleId="NoSpacing">
    <w:name w:val="No Spacing"/>
    <w:uiPriority w:val="1"/>
    <w:qFormat/>
    <w:rsid w:val="00C0099A"/>
    <w:rPr>
      <w:rFonts w:ascii="Calibri" w:eastAsia="Calibri" w:hAnsi="Calibri"/>
      <w:sz w:val="22"/>
      <w:szCs w:val="22"/>
    </w:rPr>
  </w:style>
  <w:style w:type="character" w:customStyle="1" w:styleId="FooterChar">
    <w:name w:val="Footer Char"/>
    <w:basedOn w:val="DefaultParagraphFont"/>
    <w:link w:val="Footer"/>
    <w:uiPriority w:val="99"/>
    <w:rsid w:val="009D18FC"/>
    <w:rPr>
      <w:sz w:val="24"/>
      <w:szCs w:val="24"/>
    </w:rPr>
  </w:style>
  <w:style w:type="table" w:customStyle="1" w:styleId="TableGrid1">
    <w:name w:val="Table Grid1"/>
    <w:basedOn w:val="TableNormal"/>
    <w:next w:val="TableGrid"/>
    <w:uiPriority w:val="59"/>
    <w:rsid w:val="007042A3"/>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9C2C93"/>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99428A"/>
  </w:style>
  <w:style w:type="paragraph" w:customStyle="1" w:styleId="TOC10">
    <w:name w:val="TOC1"/>
    <w:basedOn w:val="Normal"/>
    <w:link w:val="TOC1Char"/>
    <w:qFormat/>
    <w:rsid w:val="00F9576E"/>
    <w:pPr>
      <w:jc w:val="center"/>
    </w:pPr>
    <w:rPr>
      <w:b/>
      <w:smallCaps/>
      <w:sz w:val="28"/>
    </w:rPr>
  </w:style>
  <w:style w:type="paragraph" w:customStyle="1" w:styleId="TOC20">
    <w:name w:val="TOC2"/>
    <w:basedOn w:val="Normal"/>
    <w:link w:val="TOC2Char"/>
    <w:qFormat/>
    <w:rsid w:val="00F9576E"/>
    <w:rPr>
      <w:b/>
      <w:smallCaps/>
      <w:sz w:val="28"/>
      <w:szCs w:val="28"/>
    </w:rPr>
  </w:style>
  <w:style w:type="character" w:customStyle="1" w:styleId="TOC1Char">
    <w:name w:val="TOC1 Char"/>
    <w:basedOn w:val="DefaultParagraphFont"/>
    <w:link w:val="TOC10"/>
    <w:rsid w:val="00F9576E"/>
    <w:rPr>
      <w:b/>
      <w:smallCaps/>
      <w:sz w:val="28"/>
      <w:szCs w:val="24"/>
    </w:rPr>
  </w:style>
  <w:style w:type="paragraph" w:customStyle="1" w:styleId="TOC30">
    <w:name w:val="TOC3"/>
    <w:basedOn w:val="Normal"/>
    <w:link w:val="TOC3Char"/>
    <w:qFormat/>
    <w:rsid w:val="00F9576E"/>
    <w:pPr>
      <w:tabs>
        <w:tab w:val="left" w:pos="1620"/>
      </w:tabs>
    </w:pPr>
    <w:rPr>
      <w:b/>
      <w:sz w:val="22"/>
      <w:szCs w:val="22"/>
    </w:rPr>
  </w:style>
  <w:style w:type="character" w:customStyle="1" w:styleId="TOC2Char">
    <w:name w:val="TOC2 Char"/>
    <w:basedOn w:val="DefaultParagraphFont"/>
    <w:link w:val="TOC20"/>
    <w:rsid w:val="00F9576E"/>
    <w:rPr>
      <w:b/>
      <w:smallCaps/>
      <w:sz w:val="28"/>
      <w:szCs w:val="28"/>
    </w:rPr>
  </w:style>
  <w:style w:type="character" w:customStyle="1" w:styleId="TOC3Char">
    <w:name w:val="TOC3 Char"/>
    <w:basedOn w:val="DefaultParagraphFont"/>
    <w:link w:val="TOC30"/>
    <w:rsid w:val="00F9576E"/>
    <w:rPr>
      <w:b/>
      <w:sz w:val="22"/>
      <w:szCs w:val="22"/>
    </w:rPr>
  </w:style>
  <w:style w:type="paragraph" w:styleId="Revision">
    <w:name w:val="Revision"/>
    <w:hidden/>
    <w:uiPriority w:val="99"/>
    <w:semiHidden/>
    <w:rsid w:val="009B299C"/>
    <w:rPr>
      <w:sz w:val="24"/>
      <w:szCs w:val="24"/>
    </w:rPr>
  </w:style>
  <w:style w:type="paragraph" w:styleId="HTMLPreformatted">
    <w:name w:val="HTML Preformatted"/>
    <w:basedOn w:val="Normal"/>
    <w:link w:val="HTMLPreformattedChar"/>
    <w:uiPriority w:val="99"/>
    <w:unhideWhenUsed/>
    <w:rsid w:val="005D71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5D71EA"/>
    <w:rPr>
      <w:rFonts w:ascii="Courier New" w:hAnsi="Courier New" w:cs="Courier New"/>
    </w:rPr>
  </w:style>
  <w:style w:type="paragraph" w:customStyle="1" w:styleId="yiv1262298506msolistparagraph">
    <w:name w:val="yiv1262298506msolistparagraph"/>
    <w:basedOn w:val="Normal"/>
    <w:rsid w:val="00BC525E"/>
    <w:pPr>
      <w:spacing w:before="100" w:beforeAutospacing="1" w:after="100" w:afterAutospacing="1"/>
    </w:pPr>
  </w:style>
  <w:style w:type="character" w:customStyle="1" w:styleId="HeaderChar">
    <w:name w:val="Header Char"/>
    <w:basedOn w:val="DefaultParagraphFont"/>
    <w:link w:val="Header"/>
    <w:uiPriority w:val="99"/>
    <w:rsid w:val="006A08A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978226">
      <w:bodyDiv w:val="1"/>
      <w:marLeft w:val="0"/>
      <w:marRight w:val="0"/>
      <w:marTop w:val="0"/>
      <w:marBottom w:val="0"/>
      <w:divBdr>
        <w:top w:val="none" w:sz="0" w:space="0" w:color="auto"/>
        <w:left w:val="none" w:sz="0" w:space="0" w:color="auto"/>
        <w:bottom w:val="none" w:sz="0" w:space="0" w:color="auto"/>
        <w:right w:val="none" w:sz="0" w:space="0" w:color="auto"/>
      </w:divBdr>
      <w:divsChild>
        <w:div w:id="31417618">
          <w:marLeft w:val="0"/>
          <w:marRight w:val="0"/>
          <w:marTop w:val="0"/>
          <w:marBottom w:val="0"/>
          <w:divBdr>
            <w:top w:val="none" w:sz="0" w:space="0" w:color="auto"/>
            <w:left w:val="none" w:sz="0" w:space="0" w:color="auto"/>
            <w:bottom w:val="none" w:sz="0" w:space="0" w:color="auto"/>
            <w:right w:val="none" w:sz="0" w:space="0" w:color="auto"/>
          </w:divBdr>
          <w:divsChild>
            <w:div w:id="335377393">
              <w:marLeft w:val="0"/>
              <w:marRight w:val="0"/>
              <w:marTop w:val="0"/>
              <w:marBottom w:val="0"/>
              <w:divBdr>
                <w:top w:val="none" w:sz="0" w:space="0" w:color="auto"/>
                <w:left w:val="none" w:sz="0" w:space="0" w:color="auto"/>
                <w:bottom w:val="none" w:sz="0" w:space="0" w:color="auto"/>
                <w:right w:val="none" w:sz="0" w:space="0" w:color="auto"/>
              </w:divBdr>
              <w:divsChild>
                <w:div w:id="762458513">
                  <w:marLeft w:val="0"/>
                  <w:marRight w:val="0"/>
                  <w:marTop w:val="0"/>
                  <w:marBottom w:val="0"/>
                  <w:divBdr>
                    <w:top w:val="none" w:sz="0" w:space="0" w:color="auto"/>
                    <w:left w:val="none" w:sz="0" w:space="0" w:color="auto"/>
                    <w:bottom w:val="none" w:sz="0" w:space="0" w:color="auto"/>
                    <w:right w:val="none" w:sz="0" w:space="0" w:color="auto"/>
                  </w:divBdr>
                  <w:divsChild>
                    <w:div w:id="624965120">
                      <w:marLeft w:val="0"/>
                      <w:marRight w:val="0"/>
                      <w:marTop w:val="0"/>
                      <w:marBottom w:val="0"/>
                      <w:divBdr>
                        <w:top w:val="none" w:sz="0" w:space="0" w:color="auto"/>
                        <w:left w:val="none" w:sz="0" w:space="0" w:color="auto"/>
                        <w:bottom w:val="none" w:sz="0" w:space="0" w:color="auto"/>
                        <w:right w:val="none" w:sz="0" w:space="0" w:color="auto"/>
                      </w:divBdr>
                      <w:divsChild>
                        <w:div w:id="824322752">
                          <w:marLeft w:val="0"/>
                          <w:marRight w:val="0"/>
                          <w:marTop w:val="0"/>
                          <w:marBottom w:val="0"/>
                          <w:divBdr>
                            <w:top w:val="none" w:sz="0" w:space="0" w:color="auto"/>
                            <w:left w:val="none" w:sz="0" w:space="0" w:color="auto"/>
                            <w:bottom w:val="none" w:sz="0" w:space="0" w:color="auto"/>
                            <w:right w:val="none" w:sz="0" w:space="0" w:color="auto"/>
                          </w:divBdr>
                          <w:divsChild>
                            <w:div w:id="712072393">
                              <w:marLeft w:val="0"/>
                              <w:marRight w:val="0"/>
                              <w:marTop w:val="0"/>
                              <w:marBottom w:val="0"/>
                              <w:divBdr>
                                <w:top w:val="none" w:sz="0" w:space="0" w:color="auto"/>
                                <w:left w:val="none" w:sz="0" w:space="0" w:color="auto"/>
                                <w:bottom w:val="none" w:sz="0" w:space="0" w:color="auto"/>
                                <w:right w:val="none" w:sz="0" w:space="0" w:color="auto"/>
                              </w:divBdr>
                              <w:divsChild>
                                <w:div w:id="285278749">
                                  <w:marLeft w:val="0"/>
                                  <w:marRight w:val="0"/>
                                  <w:marTop w:val="0"/>
                                  <w:marBottom w:val="0"/>
                                  <w:divBdr>
                                    <w:top w:val="none" w:sz="0" w:space="0" w:color="auto"/>
                                    <w:left w:val="none" w:sz="0" w:space="0" w:color="auto"/>
                                    <w:bottom w:val="none" w:sz="0" w:space="0" w:color="auto"/>
                                    <w:right w:val="none" w:sz="0" w:space="0" w:color="auto"/>
                                  </w:divBdr>
                                  <w:divsChild>
                                    <w:div w:id="1538466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820353">
      <w:bodyDiv w:val="1"/>
      <w:marLeft w:val="0"/>
      <w:marRight w:val="0"/>
      <w:marTop w:val="0"/>
      <w:marBottom w:val="0"/>
      <w:divBdr>
        <w:top w:val="none" w:sz="0" w:space="0" w:color="auto"/>
        <w:left w:val="none" w:sz="0" w:space="0" w:color="auto"/>
        <w:bottom w:val="none" w:sz="0" w:space="0" w:color="auto"/>
        <w:right w:val="none" w:sz="0" w:space="0" w:color="auto"/>
      </w:divBdr>
    </w:div>
    <w:div w:id="44526774">
      <w:bodyDiv w:val="1"/>
      <w:marLeft w:val="0"/>
      <w:marRight w:val="0"/>
      <w:marTop w:val="0"/>
      <w:marBottom w:val="0"/>
      <w:divBdr>
        <w:top w:val="none" w:sz="0" w:space="0" w:color="auto"/>
        <w:left w:val="none" w:sz="0" w:space="0" w:color="auto"/>
        <w:bottom w:val="none" w:sz="0" w:space="0" w:color="auto"/>
        <w:right w:val="none" w:sz="0" w:space="0" w:color="auto"/>
      </w:divBdr>
    </w:div>
    <w:div w:id="65693492">
      <w:bodyDiv w:val="1"/>
      <w:marLeft w:val="0"/>
      <w:marRight w:val="0"/>
      <w:marTop w:val="0"/>
      <w:marBottom w:val="0"/>
      <w:divBdr>
        <w:top w:val="none" w:sz="0" w:space="0" w:color="auto"/>
        <w:left w:val="none" w:sz="0" w:space="0" w:color="auto"/>
        <w:bottom w:val="none" w:sz="0" w:space="0" w:color="auto"/>
        <w:right w:val="none" w:sz="0" w:space="0" w:color="auto"/>
      </w:divBdr>
    </w:div>
    <w:div w:id="88045077">
      <w:bodyDiv w:val="1"/>
      <w:marLeft w:val="0"/>
      <w:marRight w:val="0"/>
      <w:marTop w:val="0"/>
      <w:marBottom w:val="0"/>
      <w:divBdr>
        <w:top w:val="none" w:sz="0" w:space="0" w:color="auto"/>
        <w:left w:val="none" w:sz="0" w:space="0" w:color="auto"/>
        <w:bottom w:val="none" w:sz="0" w:space="0" w:color="auto"/>
        <w:right w:val="none" w:sz="0" w:space="0" w:color="auto"/>
      </w:divBdr>
      <w:divsChild>
        <w:div w:id="658192888">
          <w:marLeft w:val="0"/>
          <w:marRight w:val="0"/>
          <w:marTop w:val="0"/>
          <w:marBottom w:val="0"/>
          <w:divBdr>
            <w:top w:val="none" w:sz="0" w:space="0" w:color="auto"/>
            <w:left w:val="none" w:sz="0" w:space="0" w:color="auto"/>
            <w:bottom w:val="none" w:sz="0" w:space="0" w:color="auto"/>
            <w:right w:val="none" w:sz="0" w:space="0" w:color="auto"/>
          </w:divBdr>
          <w:divsChild>
            <w:div w:id="1737892694">
              <w:marLeft w:val="0"/>
              <w:marRight w:val="0"/>
              <w:marTop w:val="0"/>
              <w:marBottom w:val="0"/>
              <w:divBdr>
                <w:top w:val="none" w:sz="0" w:space="0" w:color="auto"/>
                <w:left w:val="none" w:sz="0" w:space="0" w:color="auto"/>
                <w:bottom w:val="none" w:sz="0" w:space="0" w:color="auto"/>
                <w:right w:val="none" w:sz="0" w:space="0" w:color="auto"/>
              </w:divBdr>
              <w:divsChild>
                <w:div w:id="10691386">
                  <w:marLeft w:val="0"/>
                  <w:marRight w:val="0"/>
                  <w:marTop w:val="0"/>
                  <w:marBottom w:val="0"/>
                  <w:divBdr>
                    <w:top w:val="none" w:sz="0" w:space="0" w:color="auto"/>
                    <w:left w:val="none" w:sz="0" w:space="0" w:color="auto"/>
                    <w:bottom w:val="none" w:sz="0" w:space="0" w:color="auto"/>
                    <w:right w:val="none" w:sz="0" w:space="0" w:color="auto"/>
                  </w:divBdr>
                  <w:divsChild>
                    <w:div w:id="489252975">
                      <w:marLeft w:val="0"/>
                      <w:marRight w:val="0"/>
                      <w:marTop w:val="0"/>
                      <w:marBottom w:val="0"/>
                      <w:divBdr>
                        <w:top w:val="none" w:sz="0" w:space="0" w:color="auto"/>
                        <w:left w:val="none" w:sz="0" w:space="0" w:color="auto"/>
                        <w:bottom w:val="none" w:sz="0" w:space="0" w:color="auto"/>
                        <w:right w:val="none" w:sz="0" w:space="0" w:color="auto"/>
                      </w:divBdr>
                      <w:divsChild>
                        <w:div w:id="1936476199">
                          <w:marLeft w:val="0"/>
                          <w:marRight w:val="0"/>
                          <w:marTop w:val="0"/>
                          <w:marBottom w:val="0"/>
                          <w:divBdr>
                            <w:top w:val="none" w:sz="0" w:space="0" w:color="auto"/>
                            <w:left w:val="none" w:sz="0" w:space="0" w:color="auto"/>
                            <w:bottom w:val="none" w:sz="0" w:space="0" w:color="auto"/>
                            <w:right w:val="none" w:sz="0" w:space="0" w:color="auto"/>
                          </w:divBdr>
                          <w:divsChild>
                            <w:div w:id="65149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797335">
      <w:bodyDiv w:val="1"/>
      <w:marLeft w:val="0"/>
      <w:marRight w:val="0"/>
      <w:marTop w:val="0"/>
      <w:marBottom w:val="0"/>
      <w:divBdr>
        <w:top w:val="none" w:sz="0" w:space="0" w:color="auto"/>
        <w:left w:val="none" w:sz="0" w:space="0" w:color="auto"/>
        <w:bottom w:val="none" w:sz="0" w:space="0" w:color="auto"/>
        <w:right w:val="none" w:sz="0" w:space="0" w:color="auto"/>
      </w:divBdr>
    </w:div>
    <w:div w:id="160396036">
      <w:bodyDiv w:val="1"/>
      <w:marLeft w:val="0"/>
      <w:marRight w:val="0"/>
      <w:marTop w:val="0"/>
      <w:marBottom w:val="0"/>
      <w:divBdr>
        <w:top w:val="none" w:sz="0" w:space="0" w:color="auto"/>
        <w:left w:val="none" w:sz="0" w:space="0" w:color="auto"/>
        <w:bottom w:val="none" w:sz="0" w:space="0" w:color="auto"/>
        <w:right w:val="none" w:sz="0" w:space="0" w:color="auto"/>
      </w:divBdr>
      <w:divsChild>
        <w:div w:id="179006842">
          <w:marLeft w:val="0"/>
          <w:marRight w:val="0"/>
          <w:marTop w:val="0"/>
          <w:marBottom w:val="0"/>
          <w:divBdr>
            <w:top w:val="none" w:sz="0" w:space="0" w:color="auto"/>
            <w:left w:val="none" w:sz="0" w:space="0" w:color="auto"/>
            <w:bottom w:val="none" w:sz="0" w:space="0" w:color="auto"/>
            <w:right w:val="none" w:sz="0" w:space="0" w:color="auto"/>
          </w:divBdr>
          <w:divsChild>
            <w:div w:id="1746342867">
              <w:marLeft w:val="0"/>
              <w:marRight w:val="0"/>
              <w:marTop w:val="0"/>
              <w:marBottom w:val="0"/>
              <w:divBdr>
                <w:top w:val="none" w:sz="0" w:space="0" w:color="auto"/>
                <w:left w:val="none" w:sz="0" w:space="0" w:color="auto"/>
                <w:bottom w:val="none" w:sz="0" w:space="0" w:color="auto"/>
                <w:right w:val="none" w:sz="0" w:space="0" w:color="auto"/>
              </w:divBdr>
              <w:divsChild>
                <w:div w:id="1258362684">
                  <w:marLeft w:val="0"/>
                  <w:marRight w:val="0"/>
                  <w:marTop w:val="0"/>
                  <w:marBottom w:val="0"/>
                  <w:divBdr>
                    <w:top w:val="none" w:sz="0" w:space="0" w:color="auto"/>
                    <w:left w:val="none" w:sz="0" w:space="0" w:color="auto"/>
                    <w:bottom w:val="none" w:sz="0" w:space="0" w:color="auto"/>
                    <w:right w:val="single" w:sz="6" w:space="0" w:color="E3E2D5"/>
                  </w:divBdr>
                  <w:divsChild>
                    <w:div w:id="36126920">
                      <w:marLeft w:val="0"/>
                      <w:marRight w:val="0"/>
                      <w:marTop w:val="0"/>
                      <w:marBottom w:val="0"/>
                      <w:divBdr>
                        <w:top w:val="none" w:sz="0" w:space="0" w:color="auto"/>
                        <w:left w:val="none" w:sz="0" w:space="0" w:color="auto"/>
                        <w:bottom w:val="none" w:sz="0" w:space="0" w:color="auto"/>
                        <w:right w:val="none" w:sz="0" w:space="0" w:color="auto"/>
                      </w:divBdr>
                      <w:divsChild>
                        <w:div w:id="1473593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424551">
      <w:bodyDiv w:val="1"/>
      <w:marLeft w:val="0"/>
      <w:marRight w:val="0"/>
      <w:marTop w:val="0"/>
      <w:marBottom w:val="0"/>
      <w:divBdr>
        <w:top w:val="none" w:sz="0" w:space="0" w:color="auto"/>
        <w:left w:val="none" w:sz="0" w:space="0" w:color="auto"/>
        <w:bottom w:val="none" w:sz="0" w:space="0" w:color="auto"/>
        <w:right w:val="none" w:sz="0" w:space="0" w:color="auto"/>
      </w:divBdr>
      <w:divsChild>
        <w:div w:id="1098796748">
          <w:marLeft w:val="0"/>
          <w:marRight w:val="0"/>
          <w:marTop w:val="0"/>
          <w:marBottom w:val="0"/>
          <w:divBdr>
            <w:top w:val="none" w:sz="0" w:space="0" w:color="auto"/>
            <w:left w:val="none" w:sz="0" w:space="0" w:color="auto"/>
            <w:bottom w:val="none" w:sz="0" w:space="0" w:color="auto"/>
            <w:right w:val="none" w:sz="0" w:space="0" w:color="auto"/>
          </w:divBdr>
          <w:divsChild>
            <w:div w:id="1561289026">
              <w:marLeft w:val="0"/>
              <w:marRight w:val="0"/>
              <w:marTop w:val="0"/>
              <w:marBottom w:val="0"/>
              <w:divBdr>
                <w:top w:val="none" w:sz="0" w:space="0" w:color="auto"/>
                <w:left w:val="none" w:sz="0" w:space="0" w:color="auto"/>
                <w:bottom w:val="none" w:sz="0" w:space="0" w:color="auto"/>
                <w:right w:val="none" w:sz="0" w:space="0" w:color="auto"/>
              </w:divBdr>
              <w:divsChild>
                <w:div w:id="820275210">
                  <w:marLeft w:val="0"/>
                  <w:marRight w:val="0"/>
                  <w:marTop w:val="0"/>
                  <w:marBottom w:val="0"/>
                  <w:divBdr>
                    <w:top w:val="none" w:sz="0" w:space="0" w:color="auto"/>
                    <w:left w:val="none" w:sz="0" w:space="0" w:color="auto"/>
                    <w:bottom w:val="none" w:sz="0" w:space="0" w:color="auto"/>
                    <w:right w:val="none" w:sz="0" w:space="0" w:color="auto"/>
                  </w:divBdr>
                  <w:divsChild>
                    <w:div w:id="629020868">
                      <w:marLeft w:val="0"/>
                      <w:marRight w:val="0"/>
                      <w:marTop w:val="0"/>
                      <w:marBottom w:val="0"/>
                      <w:divBdr>
                        <w:top w:val="none" w:sz="0" w:space="0" w:color="auto"/>
                        <w:left w:val="none" w:sz="0" w:space="0" w:color="auto"/>
                        <w:bottom w:val="none" w:sz="0" w:space="0" w:color="auto"/>
                        <w:right w:val="none" w:sz="0" w:space="0" w:color="auto"/>
                      </w:divBdr>
                      <w:divsChild>
                        <w:div w:id="49116169">
                          <w:marLeft w:val="0"/>
                          <w:marRight w:val="0"/>
                          <w:marTop w:val="0"/>
                          <w:marBottom w:val="0"/>
                          <w:divBdr>
                            <w:top w:val="none" w:sz="0" w:space="0" w:color="auto"/>
                            <w:left w:val="none" w:sz="0" w:space="0" w:color="auto"/>
                            <w:bottom w:val="none" w:sz="0" w:space="0" w:color="auto"/>
                            <w:right w:val="none" w:sz="0" w:space="0" w:color="auto"/>
                          </w:divBdr>
                          <w:divsChild>
                            <w:div w:id="1608074228">
                              <w:marLeft w:val="0"/>
                              <w:marRight w:val="0"/>
                              <w:marTop w:val="0"/>
                              <w:marBottom w:val="0"/>
                              <w:divBdr>
                                <w:top w:val="none" w:sz="0" w:space="0" w:color="auto"/>
                                <w:left w:val="none" w:sz="0" w:space="0" w:color="auto"/>
                                <w:bottom w:val="none" w:sz="0" w:space="0" w:color="auto"/>
                                <w:right w:val="none" w:sz="0" w:space="0" w:color="auto"/>
                              </w:divBdr>
                              <w:divsChild>
                                <w:div w:id="766005276">
                                  <w:marLeft w:val="0"/>
                                  <w:marRight w:val="0"/>
                                  <w:marTop w:val="240"/>
                                  <w:marBottom w:val="240"/>
                                  <w:divBdr>
                                    <w:top w:val="none" w:sz="0" w:space="0" w:color="auto"/>
                                    <w:left w:val="none" w:sz="0" w:space="0" w:color="auto"/>
                                    <w:bottom w:val="none" w:sz="0" w:space="0" w:color="auto"/>
                                    <w:right w:val="none" w:sz="0" w:space="0" w:color="auto"/>
                                  </w:divBdr>
                                  <w:divsChild>
                                    <w:div w:id="1138498496">
                                      <w:marLeft w:val="0"/>
                                      <w:marRight w:val="0"/>
                                      <w:marTop w:val="0"/>
                                      <w:marBottom w:val="0"/>
                                      <w:divBdr>
                                        <w:top w:val="none" w:sz="0" w:space="0" w:color="auto"/>
                                        <w:left w:val="none" w:sz="0" w:space="0" w:color="auto"/>
                                        <w:bottom w:val="none" w:sz="0" w:space="0" w:color="auto"/>
                                        <w:right w:val="none" w:sz="0" w:space="0" w:color="auto"/>
                                      </w:divBdr>
                                      <w:divsChild>
                                        <w:div w:id="2071725138">
                                          <w:marLeft w:val="0"/>
                                          <w:marRight w:val="0"/>
                                          <w:marTop w:val="0"/>
                                          <w:marBottom w:val="0"/>
                                          <w:divBdr>
                                            <w:top w:val="none" w:sz="0" w:space="0" w:color="auto"/>
                                            <w:left w:val="none" w:sz="0" w:space="0" w:color="auto"/>
                                            <w:bottom w:val="none" w:sz="0" w:space="0" w:color="auto"/>
                                            <w:right w:val="none" w:sz="0" w:space="0" w:color="auto"/>
                                          </w:divBdr>
                                          <w:divsChild>
                                            <w:div w:id="294140522">
                                              <w:marLeft w:val="0"/>
                                              <w:marRight w:val="0"/>
                                              <w:marTop w:val="0"/>
                                              <w:marBottom w:val="0"/>
                                              <w:divBdr>
                                                <w:top w:val="none" w:sz="0" w:space="0" w:color="auto"/>
                                                <w:left w:val="none" w:sz="0" w:space="0" w:color="auto"/>
                                                <w:bottom w:val="none" w:sz="0" w:space="0" w:color="auto"/>
                                                <w:right w:val="none" w:sz="0" w:space="0" w:color="auto"/>
                                              </w:divBdr>
                                              <w:divsChild>
                                                <w:div w:id="1959557679">
                                                  <w:marLeft w:val="0"/>
                                                  <w:marRight w:val="0"/>
                                                  <w:marTop w:val="0"/>
                                                  <w:marBottom w:val="0"/>
                                                  <w:divBdr>
                                                    <w:top w:val="none" w:sz="0" w:space="0" w:color="auto"/>
                                                    <w:left w:val="none" w:sz="0" w:space="0" w:color="auto"/>
                                                    <w:bottom w:val="none" w:sz="0" w:space="0" w:color="auto"/>
                                                    <w:right w:val="none" w:sz="0" w:space="0" w:color="auto"/>
                                                  </w:divBdr>
                                                  <w:divsChild>
                                                    <w:div w:id="331878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7595859">
      <w:bodyDiv w:val="1"/>
      <w:marLeft w:val="0"/>
      <w:marRight w:val="0"/>
      <w:marTop w:val="0"/>
      <w:marBottom w:val="0"/>
      <w:divBdr>
        <w:top w:val="none" w:sz="0" w:space="0" w:color="auto"/>
        <w:left w:val="none" w:sz="0" w:space="0" w:color="auto"/>
        <w:bottom w:val="none" w:sz="0" w:space="0" w:color="auto"/>
        <w:right w:val="none" w:sz="0" w:space="0" w:color="auto"/>
      </w:divBdr>
      <w:divsChild>
        <w:div w:id="1709404332">
          <w:marLeft w:val="0"/>
          <w:marRight w:val="0"/>
          <w:marTop w:val="0"/>
          <w:marBottom w:val="0"/>
          <w:divBdr>
            <w:top w:val="none" w:sz="0" w:space="0" w:color="auto"/>
            <w:left w:val="none" w:sz="0" w:space="0" w:color="auto"/>
            <w:bottom w:val="none" w:sz="0" w:space="0" w:color="auto"/>
            <w:right w:val="none" w:sz="0" w:space="0" w:color="auto"/>
          </w:divBdr>
          <w:divsChild>
            <w:div w:id="1690719747">
              <w:marLeft w:val="0"/>
              <w:marRight w:val="0"/>
              <w:marTop w:val="0"/>
              <w:marBottom w:val="0"/>
              <w:divBdr>
                <w:top w:val="none" w:sz="0" w:space="0" w:color="auto"/>
                <w:left w:val="none" w:sz="0" w:space="0" w:color="auto"/>
                <w:bottom w:val="none" w:sz="0" w:space="0" w:color="auto"/>
                <w:right w:val="none" w:sz="0" w:space="0" w:color="auto"/>
              </w:divBdr>
              <w:divsChild>
                <w:div w:id="859049010">
                  <w:marLeft w:val="150"/>
                  <w:marRight w:val="150"/>
                  <w:marTop w:val="0"/>
                  <w:marBottom w:val="0"/>
                  <w:divBdr>
                    <w:top w:val="none" w:sz="0" w:space="0" w:color="auto"/>
                    <w:left w:val="none" w:sz="0" w:space="0" w:color="auto"/>
                    <w:bottom w:val="none" w:sz="0" w:space="0" w:color="auto"/>
                    <w:right w:val="none" w:sz="0" w:space="0" w:color="auto"/>
                  </w:divBdr>
                  <w:divsChild>
                    <w:div w:id="1031029232">
                      <w:marLeft w:val="0"/>
                      <w:marRight w:val="0"/>
                      <w:marTop w:val="0"/>
                      <w:marBottom w:val="0"/>
                      <w:divBdr>
                        <w:top w:val="none" w:sz="0" w:space="0" w:color="auto"/>
                        <w:left w:val="none" w:sz="0" w:space="0" w:color="auto"/>
                        <w:bottom w:val="none" w:sz="0" w:space="0" w:color="auto"/>
                        <w:right w:val="none" w:sz="0" w:space="0" w:color="auto"/>
                      </w:divBdr>
                      <w:divsChild>
                        <w:div w:id="187376874">
                          <w:marLeft w:val="0"/>
                          <w:marRight w:val="0"/>
                          <w:marTop w:val="0"/>
                          <w:marBottom w:val="0"/>
                          <w:divBdr>
                            <w:top w:val="none" w:sz="0" w:space="0" w:color="auto"/>
                            <w:left w:val="none" w:sz="0" w:space="0" w:color="auto"/>
                            <w:bottom w:val="single" w:sz="6" w:space="0" w:color="E0E0E0"/>
                            <w:right w:val="none" w:sz="0" w:space="0" w:color="auto"/>
                          </w:divBdr>
                          <w:divsChild>
                            <w:div w:id="2060282391">
                              <w:marLeft w:val="0"/>
                              <w:marRight w:val="0"/>
                              <w:marTop w:val="0"/>
                              <w:marBottom w:val="0"/>
                              <w:divBdr>
                                <w:top w:val="none" w:sz="0" w:space="0" w:color="auto"/>
                                <w:left w:val="none" w:sz="0" w:space="0" w:color="auto"/>
                                <w:bottom w:val="none" w:sz="0" w:space="0" w:color="auto"/>
                                <w:right w:val="none" w:sz="0" w:space="0" w:color="auto"/>
                              </w:divBdr>
                              <w:divsChild>
                                <w:div w:id="26943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7376860">
      <w:bodyDiv w:val="1"/>
      <w:marLeft w:val="0"/>
      <w:marRight w:val="0"/>
      <w:marTop w:val="0"/>
      <w:marBottom w:val="0"/>
      <w:divBdr>
        <w:top w:val="none" w:sz="0" w:space="0" w:color="auto"/>
        <w:left w:val="none" w:sz="0" w:space="0" w:color="auto"/>
        <w:bottom w:val="none" w:sz="0" w:space="0" w:color="auto"/>
        <w:right w:val="none" w:sz="0" w:space="0" w:color="auto"/>
      </w:divBdr>
    </w:div>
    <w:div w:id="258833463">
      <w:bodyDiv w:val="1"/>
      <w:marLeft w:val="0"/>
      <w:marRight w:val="0"/>
      <w:marTop w:val="0"/>
      <w:marBottom w:val="0"/>
      <w:divBdr>
        <w:top w:val="none" w:sz="0" w:space="0" w:color="auto"/>
        <w:left w:val="none" w:sz="0" w:space="0" w:color="auto"/>
        <w:bottom w:val="none" w:sz="0" w:space="0" w:color="auto"/>
        <w:right w:val="none" w:sz="0" w:space="0" w:color="auto"/>
      </w:divBdr>
    </w:div>
    <w:div w:id="306201115">
      <w:bodyDiv w:val="1"/>
      <w:marLeft w:val="0"/>
      <w:marRight w:val="0"/>
      <w:marTop w:val="0"/>
      <w:marBottom w:val="0"/>
      <w:divBdr>
        <w:top w:val="none" w:sz="0" w:space="0" w:color="auto"/>
        <w:left w:val="none" w:sz="0" w:space="0" w:color="auto"/>
        <w:bottom w:val="none" w:sz="0" w:space="0" w:color="auto"/>
        <w:right w:val="none" w:sz="0" w:space="0" w:color="auto"/>
      </w:divBdr>
    </w:div>
    <w:div w:id="309137641">
      <w:bodyDiv w:val="1"/>
      <w:marLeft w:val="0"/>
      <w:marRight w:val="0"/>
      <w:marTop w:val="0"/>
      <w:marBottom w:val="0"/>
      <w:divBdr>
        <w:top w:val="none" w:sz="0" w:space="0" w:color="auto"/>
        <w:left w:val="none" w:sz="0" w:space="0" w:color="auto"/>
        <w:bottom w:val="none" w:sz="0" w:space="0" w:color="auto"/>
        <w:right w:val="none" w:sz="0" w:space="0" w:color="auto"/>
      </w:divBdr>
    </w:div>
    <w:div w:id="315305551">
      <w:bodyDiv w:val="1"/>
      <w:marLeft w:val="0"/>
      <w:marRight w:val="0"/>
      <w:marTop w:val="0"/>
      <w:marBottom w:val="0"/>
      <w:divBdr>
        <w:top w:val="none" w:sz="0" w:space="0" w:color="auto"/>
        <w:left w:val="none" w:sz="0" w:space="0" w:color="auto"/>
        <w:bottom w:val="none" w:sz="0" w:space="0" w:color="auto"/>
        <w:right w:val="none" w:sz="0" w:space="0" w:color="auto"/>
      </w:divBdr>
    </w:div>
    <w:div w:id="331765889">
      <w:bodyDiv w:val="1"/>
      <w:marLeft w:val="0"/>
      <w:marRight w:val="0"/>
      <w:marTop w:val="0"/>
      <w:marBottom w:val="0"/>
      <w:divBdr>
        <w:top w:val="none" w:sz="0" w:space="0" w:color="auto"/>
        <w:left w:val="none" w:sz="0" w:space="0" w:color="auto"/>
        <w:bottom w:val="none" w:sz="0" w:space="0" w:color="auto"/>
        <w:right w:val="none" w:sz="0" w:space="0" w:color="auto"/>
      </w:divBdr>
      <w:divsChild>
        <w:div w:id="1810710576">
          <w:marLeft w:val="0"/>
          <w:marRight w:val="0"/>
          <w:marTop w:val="0"/>
          <w:marBottom w:val="0"/>
          <w:divBdr>
            <w:top w:val="none" w:sz="0" w:space="0" w:color="auto"/>
            <w:left w:val="none" w:sz="0" w:space="0" w:color="auto"/>
            <w:bottom w:val="none" w:sz="0" w:space="0" w:color="auto"/>
            <w:right w:val="none" w:sz="0" w:space="0" w:color="auto"/>
          </w:divBdr>
          <w:divsChild>
            <w:div w:id="458107397">
              <w:blockQuote w:val="1"/>
              <w:marLeft w:val="720"/>
              <w:marRight w:val="720"/>
              <w:marTop w:val="100"/>
              <w:marBottom w:val="100"/>
              <w:divBdr>
                <w:top w:val="none" w:sz="0" w:space="0" w:color="auto"/>
                <w:left w:val="none" w:sz="0" w:space="0" w:color="auto"/>
                <w:bottom w:val="none" w:sz="0" w:space="0" w:color="auto"/>
                <w:right w:val="none" w:sz="0" w:space="0" w:color="auto"/>
              </w:divBdr>
            </w:div>
            <w:div w:id="1043482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132050">
      <w:bodyDiv w:val="1"/>
      <w:marLeft w:val="0"/>
      <w:marRight w:val="0"/>
      <w:marTop w:val="0"/>
      <w:marBottom w:val="0"/>
      <w:divBdr>
        <w:top w:val="none" w:sz="0" w:space="0" w:color="auto"/>
        <w:left w:val="none" w:sz="0" w:space="0" w:color="auto"/>
        <w:bottom w:val="none" w:sz="0" w:space="0" w:color="auto"/>
        <w:right w:val="none" w:sz="0" w:space="0" w:color="auto"/>
      </w:divBdr>
      <w:divsChild>
        <w:div w:id="1215313227">
          <w:marLeft w:val="0"/>
          <w:marRight w:val="0"/>
          <w:marTop w:val="0"/>
          <w:marBottom w:val="0"/>
          <w:divBdr>
            <w:top w:val="none" w:sz="0" w:space="0" w:color="auto"/>
            <w:left w:val="none" w:sz="0" w:space="0" w:color="auto"/>
            <w:bottom w:val="none" w:sz="0" w:space="0" w:color="auto"/>
            <w:right w:val="none" w:sz="0" w:space="0" w:color="auto"/>
          </w:divBdr>
        </w:div>
      </w:divsChild>
    </w:div>
    <w:div w:id="372660518">
      <w:bodyDiv w:val="1"/>
      <w:marLeft w:val="0"/>
      <w:marRight w:val="0"/>
      <w:marTop w:val="0"/>
      <w:marBottom w:val="0"/>
      <w:divBdr>
        <w:top w:val="none" w:sz="0" w:space="0" w:color="auto"/>
        <w:left w:val="none" w:sz="0" w:space="0" w:color="auto"/>
        <w:bottom w:val="none" w:sz="0" w:space="0" w:color="auto"/>
        <w:right w:val="none" w:sz="0" w:space="0" w:color="auto"/>
      </w:divBdr>
    </w:div>
    <w:div w:id="396900342">
      <w:bodyDiv w:val="1"/>
      <w:marLeft w:val="0"/>
      <w:marRight w:val="0"/>
      <w:marTop w:val="0"/>
      <w:marBottom w:val="0"/>
      <w:divBdr>
        <w:top w:val="none" w:sz="0" w:space="0" w:color="auto"/>
        <w:left w:val="none" w:sz="0" w:space="0" w:color="auto"/>
        <w:bottom w:val="none" w:sz="0" w:space="0" w:color="auto"/>
        <w:right w:val="none" w:sz="0" w:space="0" w:color="auto"/>
      </w:divBdr>
    </w:div>
    <w:div w:id="458766201">
      <w:bodyDiv w:val="1"/>
      <w:marLeft w:val="0"/>
      <w:marRight w:val="0"/>
      <w:marTop w:val="0"/>
      <w:marBottom w:val="0"/>
      <w:divBdr>
        <w:top w:val="none" w:sz="0" w:space="0" w:color="auto"/>
        <w:left w:val="none" w:sz="0" w:space="0" w:color="auto"/>
        <w:bottom w:val="none" w:sz="0" w:space="0" w:color="auto"/>
        <w:right w:val="none" w:sz="0" w:space="0" w:color="auto"/>
      </w:divBdr>
      <w:divsChild>
        <w:div w:id="483280131">
          <w:marLeft w:val="0"/>
          <w:marRight w:val="0"/>
          <w:marTop w:val="0"/>
          <w:marBottom w:val="0"/>
          <w:divBdr>
            <w:top w:val="none" w:sz="0" w:space="0" w:color="auto"/>
            <w:left w:val="none" w:sz="0" w:space="0" w:color="auto"/>
            <w:bottom w:val="none" w:sz="0" w:space="0" w:color="auto"/>
            <w:right w:val="none" w:sz="0" w:space="0" w:color="auto"/>
          </w:divBdr>
        </w:div>
      </w:divsChild>
    </w:div>
    <w:div w:id="469857884">
      <w:bodyDiv w:val="1"/>
      <w:marLeft w:val="0"/>
      <w:marRight w:val="0"/>
      <w:marTop w:val="0"/>
      <w:marBottom w:val="0"/>
      <w:divBdr>
        <w:top w:val="none" w:sz="0" w:space="0" w:color="auto"/>
        <w:left w:val="none" w:sz="0" w:space="0" w:color="auto"/>
        <w:bottom w:val="none" w:sz="0" w:space="0" w:color="auto"/>
        <w:right w:val="none" w:sz="0" w:space="0" w:color="auto"/>
      </w:divBdr>
    </w:div>
    <w:div w:id="483545680">
      <w:bodyDiv w:val="1"/>
      <w:marLeft w:val="0"/>
      <w:marRight w:val="0"/>
      <w:marTop w:val="0"/>
      <w:marBottom w:val="0"/>
      <w:divBdr>
        <w:top w:val="none" w:sz="0" w:space="0" w:color="auto"/>
        <w:left w:val="none" w:sz="0" w:space="0" w:color="auto"/>
        <w:bottom w:val="none" w:sz="0" w:space="0" w:color="auto"/>
        <w:right w:val="none" w:sz="0" w:space="0" w:color="auto"/>
      </w:divBdr>
    </w:div>
    <w:div w:id="504134499">
      <w:bodyDiv w:val="1"/>
      <w:marLeft w:val="0"/>
      <w:marRight w:val="0"/>
      <w:marTop w:val="0"/>
      <w:marBottom w:val="0"/>
      <w:divBdr>
        <w:top w:val="none" w:sz="0" w:space="0" w:color="auto"/>
        <w:left w:val="none" w:sz="0" w:space="0" w:color="auto"/>
        <w:bottom w:val="none" w:sz="0" w:space="0" w:color="auto"/>
        <w:right w:val="none" w:sz="0" w:space="0" w:color="auto"/>
      </w:divBdr>
    </w:div>
    <w:div w:id="516239368">
      <w:bodyDiv w:val="1"/>
      <w:marLeft w:val="0"/>
      <w:marRight w:val="0"/>
      <w:marTop w:val="0"/>
      <w:marBottom w:val="0"/>
      <w:divBdr>
        <w:top w:val="none" w:sz="0" w:space="0" w:color="auto"/>
        <w:left w:val="none" w:sz="0" w:space="0" w:color="auto"/>
        <w:bottom w:val="none" w:sz="0" w:space="0" w:color="auto"/>
        <w:right w:val="none" w:sz="0" w:space="0" w:color="auto"/>
      </w:divBdr>
    </w:div>
    <w:div w:id="551774878">
      <w:bodyDiv w:val="1"/>
      <w:marLeft w:val="0"/>
      <w:marRight w:val="0"/>
      <w:marTop w:val="0"/>
      <w:marBottom w:val="0"/>
      <w:divBdr>
        <w:top w:val="none" w:sz="0" w:space="0" w:color="auto"/>
        <w:left w:val="none" w:sz="0" w:space="0" w:color="auto"/>
        <w:bottom w:val="none" w:sz="0" w:space="0" w:color="auto"/>
        <w:right w:val="none" w:sz="0" w:space="0" w:color="auto"/>
      </w:divBdr>
    </w:div>
    <w:div w:id="578641146">
      <w:bodyDiv w:val="1"/>
      <w:marLeft w:val="48"/>
      <w:marRight w:val="48"/>
      <w:marTop w:val="48"/>
      <w:marBottom w:val="12"/>
      <w:divBdr>
        <w:top w:val="none" w:sz="0" w:space="0" w:color="auto"/>
        <w:left w:val="none" w:sz="0" w:space="0" w:color="auto"/>
        <w:bottom w:val="none" w:sz="0" w:space="0" w:color="auto"/>
        <w:right w:val="none" w:sz="0" w:space="0" w:color="auto"/>
      </w:divBdr>
      <w:divsChild>
        <w:div w:id="798034902">
          <w:marLeft w:val="0"/>
          <w:marRight w:val="0"/>
          <w:marTop w:val="0"/>
          <w:marBottom w:val="0"/>
          <w:divBdr>
            <w:top w:val="none" w:sz="0" w:space="0" w:color="auto"/>
            <w:left w:val="none" w:sz="0" w:space="0" w:color="auto"/>
            <w:bottom w:val="none" w:sz="0" w:space="0" w:color="auto"/>
            <w:right w:val="none" w:sz="0" w:space="0" w:color="auto"/>
          </w:divBdr>
        </w:div>
      </w:divsChild>
    </w:div>
    <w:div w:id="626010335">
      <w:bodyDiv w:val="1"/>
      <w:marLeft w:val="0"/>
      <w:marRight w:val="0"/>
      <w:marTop w:val="0"/>
      <w:marBottom w:val="0"/>
      <w:divBdr>
        <w:top w:val="none" w:sz="0" w:space="0" w:color="auto"/>
        <w:left w:val="none" w:sz="0" w:space="0" w:color="auto"/>
        <w:bottom w:val="none" w:sz="0" w:space="0" w:color="auto"/>
        <w:right w:val="none" w:sz="0" w:space="0" w:color="auto"/>
      </w:divBdr>
    </w:div>
    <w:div w:id="632055428">
      <w:bodyDiv w:val="1"/>
      <w:marLeft w:val="0"/>
      <w:marRight w:val="0"/>
      <w:marTop w:val="0"/>
      <w:marBottom w:val="0"/>
      <w:divBdr>
        <w:top w:val="none" w:sz="0" w:space="0" w:color="auto"/>
        <w:left w:val="none" w:sz="0" w:space="0" w:color="auto"/>
        <w:bottom w:val="none" w:sz="0" w:space="0" w:color="auto"/>
        <w:right w:val="none" w:sz="0" w:space="0" w:color="auto"/>
      </w:divBdr>
    </w:div>
    <w:div w:id="686949780">
      <w:bodyDiv w:val="1"/>
      <w:marLeft w:val="0"/>
      <w:marRight w:val="0"/>
      <w:marTop w:val="0"/>
      <w:marBottom w:val="0"/>
      <w:divBdr>
        <w:top w:val="none" w:sz="0" w:space="0" w:color="auto"/>
        <w:left w:val="none" w:sz="0" w:space="0" w:color="auto"/>
        <w:bottom w:val="none" w:sz="0" w:space="0" w:color="auto"/>
        <w:right w:val="none" w:sz="0" w:space="0" w:color="auto"/>
      </w:divBdr>
    </w:div>
    <w:div w:id="722556856">
      <w:bodyDiv w:val="1"/>
      <w:marLeft w:val="0"/>
      <w:marRight w:val="0"/>
      <w:marTop w:val="0"/>
      <w:marBottom w:val="0"/>
      <w:divBdr>
        <w:top w:val="none" w:sz="0" w:space="0" w:color="auto"/>
        <w:left w:val="none" w:sz="0" w:space="0" w:color="auto"/>
        <w:bottom w:val="none" w:sz="0" w:space="0" w:color="auto"/>
        <w:right w:val="none" w:sz="0" w:space="0" w:color="auto"/>
      </w:divBdr>
    </w:div>
    <w:div w:id="725760748">
      <w:bodyDiv w:val="1"/>
      <w:marLeft w:val="0"/>
      <w:marRight w:val="0"/>
      <w:marTop w:val="0"/>
      <w:marBottom w:val="0"/>
      <w:divBdr>
        <w:top w:val="none" w:sz="0" w:space="0" w:color="auto"/>
        <w:left w:val="none" w:sz="0" w:space="0" w:color="auto"/>
        <w:bottom w:val="none" w:sz="0" w:space="0" w:color="auto"/>
        <w:right w:val="none" w:sz="0" w:space="0" w:color="auto"/>
      </w:divBdr>
    </w:div>
    <w:div w:id="769354323">
      <w:bodyDiv w:val="1"/>
      <w:marLeft w:val="48"/>
      <w:marRight w:val="48"/>
      <w:marTop w:val="48"/>
      <w:marBottom w:val="12"/>
      <w:divBdr>
        <w:top w:val="none" w:sz="0" w:space="0" w:color="auto"/>
        <w:left w:val="none" w:sz="0" w:space="0" w:color="auto"/>
        <w:bottom w:val="none" w:sz="0" w:space="0" w:color="auto"/>
        <w:right w:val="none" w:sz="0" w:space="0" w:color="auto"/>
      </w:divBdr>
      <w:divsChild>
        <w:div w:id="961690112">
          <w:marLeft w:val="0"/>
          <w:marRight w:val="0"/>
          <w:marTop w:val="0"/>
          <w:marBottom w:val="0"/>
          <w:divBdr>
            <w:top w:val="none" w:sz="0" w:space="0" w:color="auto"/>
            <w:left w:val="none" w:sz="0" w:space="0" w:color="auto"/>
            <w:bottom w:val="none" w:sz="0" w:space="0" w:color="auto"/>
            <w:right w:val="none" w:sz="0" w:space="0" w:color="auto"/>
          </w:divBdr>
        </w:div>
      </w:divsChild>
    </w:div>
    <w:div w:id="837385031">
      <w:bodyDiv w:val="1"/>
      <w:marLeft w:val="0"/>
      <w:marRight w:val="0"/>
      <w:marTop w:val="0"/>
      <w:marBottom w:val="0"/>
      <w:divBdr>
        <w:top w:val="none" w:sz="0" w:space="0" w:color="auto"/>
        <w:left w:val="none" w:sz="0" w:space="0" w:color="auto"/>
        <w:bottom w:val="none" w:sz="0" w:space="0" w:color="auto"/>
        <w:right w:val="none" w:sz="0" w:space="0" w:color="auto"/>
      </w:divBdr>
    </w:div>
    <w:div w:id="878857938">
      <w:bodyDiv w:val="1"/>
      <w:marLeft w:val="0"/>
      <w:marRight w:val="0"/>
      <w:marTop w:val="0"/>
      <w:marBottom w:val="0"/>
      <w:divBdr>
        <w:top w:val="none" w:sz="0" w:space="0" w:color="auto"/>
        <w:left w:val="none" w:sz="0" w:space="0" w:color="auto"/>
        <w:bottom w:val="none" w:sz="0" w:space="0" w:color="auto"/>
        <w:right w:val="none" w:sz="0" w:space="0" w:color="auto"/>
      </w:divBdr>
      <w:divsChild>
        <w:div w:id="759177556">
          <w:marLeft w:val="0"/>
          <w:marRight w:val="0"/>
          <w:marTop w:val="0"/>
          <w:marBottom w:val="0"/>
          <w:divBdr>
            <w:top w:val="none" w:sz="0" w:space="0" w:color="auto"/>
            <w:left w:val="none" w:sz="0" w:space="0" w:color="auto"/>
            <w:bottom w:val="none" w:sz="0" w:space="0" w:color="auto"/>
            <w:right w:val="none" w:sz="0" w:space="0" w:color="auto"/>
          </w:divBdr>
        </w:div>
      </w:divsChild>
    </w:div>
    <w:div w:id="894000496">
      <w:bodyDiv w:val="1"/>
      <w:marLeft w:val="750"/>
      <w:marRight w:val="0"/>
      <w:marTop w:val="300"/>
      <w:marBottom w:val="0"/>
      <w:divBdr>
        <w:top w:val="none" w:sz="0" w:space="0" w:color="auto"/>
        <w:left w:val="none" w:sz="0" w:space="0" w:color="auto"/>
        <w:bottom w:val="none" w:sz="0" w:space="0" w:color="auto"/>
        <w:right w:val="none" w:sz="0" w:space="0" w:color="auto"/>
      </w:divBdr>
      <w:divsChild>
        <w:div w:id="1211919169">
          <w:marLeft w:val="0"/>
          <w:marRight w:val="0"/>
          <w:marTop w:val="0"/>
          <w:marBottom w:val="0"/>
          <w:divBdr>
            <w:top w:val="none" w:sz="0" w:space="0" w:color="auto"/>
            <w:left w:val="none" w:sz="0" w:space="0" w:color="auto"/>
            <w:bottom w:val="none" w:sz="0" w:space="0" w:color="auto"/>
            <w:right w:val="none" w:sz="0" w:space="0" w:color="auto"/>
          </w:divBdr>
        </w:div>
      </w:divsChild>
    </w:div>
    <w:div w:id="927738773">
      <w:bodyDiv w:val="1"/>
      <w:marLeft w:val="0"/>
      <w:marRight w:val="0"/>
      <w:marTop w:val="0"/>
      <w:marBottom w:val="0"/>
      <w:divBdr>
        <w:top w:val="none" w:sz="0" w:space="0" w:color="auto"/>
        <w:left w:val="none" w:sz="0" w:space="0" w:color="auto"/>
        <w:bottom w:val="none" w:sz="0" w:space="0" w:color="auto"/>
        <w:right w:val="none" w:sz="0" w:space="0" w:color="auto"/>
      </w:divBdr>
    </w:div>
    <w:div w:id="961807111">
      <w:bodyDiv w:val="1"/>
      <w:marLeft w:val="0"/>
      <w:marRight w:val="0"/>
      <w:marTop w:val="0"/>
      <w:marBottom w:val="0"/>
      <w:divBdr>
        <w:top w:val="none" w:sz="0" w:space="0" w:color="auto"/>
        <w:left w:val="none" w:sz="0" w:space="0" w:color="auto"/>
        <w:bottom w:val="none" w:sz="0" w:space="0" w:color="auto"/>
        <w:right w:val="none" w:sz="0" w:space="0" w:color="auto"/>
      </w:divBdr>
    </w:div>
    <w:div w:id="1044057378">
      <w:bodyDiv w:val="1"/>
      <w:marLeft w:val="0"/>
      <w:marRight w:val="0"/>
      <w:marTop w:val="0"/>
      <w:marBottom w:val="0"/>
      <w:divBdr>
        <w:top w:val="none" w:sz="0" w:space="0" w:color="auto"/>
        <w:left w:val="none" w:sz="0" w:space="0" w:color="auto"/>
        <w:bottom w:val="none" w:sz="0" w:space="0" w:color="auto"/>
        <w:right w:val="none" w:sz="0" w:space="0" w:color="auto"/>
      </w:divBdr>
    </w:div>
    <w:div w:id="1075009323">
      <w:bodyDiv w:val="1"/>
      <w:marLeft w:val="0"/>
      <w:marRight w:val="0"/>
      <w:marTop w:val="0"/>
      <w:marBottom w:val="0"/>
      <w:divBdr>
        <w:top w:val="none" w:sz="0" w:space="0" w:color="auto"/>
        <w:left w:val="none" w:sz="0" w:space="0" w:color="auto"/>
        <w:bottom w:val="none" w:sz="0" w:space="0" w:color="auto"/>
        <w:right w:val="none" w:sz="0" w:space="0" w:color="auto"/>
      </w:divBdr>
    </w:div>
    <w:div w:id="1084104115">
      <w:bodyDiv w:val="1"/>
      <w:marLeft w:val="0"/>
      <w:marRight w:val="0"/>
      <w:marTop w:val="0"/>
      <w:marBottom w:val="0"/>
      <w:divBdr>
        <w:top w:val="none" w:sz="0" w:space="0" w:color="auto"/>
        <w:left w:val="none" w:sz="0" w:space="0" w:color="auto"/>
        <w:bottom w:val="none" w:sz="0" w:space="0" w:color="auto"/>
        <w:right w:val="none" w:sz="0" w:space="0" w:color="auto"/>
      </w:divBdr>
    </w:div>
    <w:div w:id="1108548603">
      <w:bodyDiv w:val="1"/>
      <w:marLeft w:val="0"/>
      <w:marRight w:val="0"/>
      <w:marTop w:val="0"/>
      <w:marBottom w:val="0"/>
      <w:divBdr>
        <w:top w:val="none" w:sz="0" w:space="0" w:color="auto"/>
        <w:left w:val="none" w:sz="0" w:space="0" w:color="auto"/>
        <w:bottom w:val="none" w:sz="0" w:space="0" w:color="auto"/>
        <w:right w:val="none" w:sz="0" w:space="0" w:color="auto"/>
      </w:divBdr>
    </w:div>
    <w:div w:id="1120993815">
      <w:bodyDiv w:val="1"/>
      <w:marLeft w:val="0"/>
      <w:marRight w:val="0"/>
      <w:marTop w:val="0"/>
      <w:marBottom w:val="0"/>
      <w:divBdr>
        <w:top w:val="none" w:sz="0" w:space="0" w:color="auto"/>
        <w:left w:val="none" w:sz="0" w:space="0" w:color="auto"/>
        <w:bottom w:val="none" w:sz="0" w:space="0" w:color="auto"/>
        <w:right w:val="none" w:sz="0" w:space="0" w:color="auto"/>
      </w:divBdr>
    </w:div>
    <w:div w:id="1223516478">
      <w:bodyDiv w:val="1"/>
      <w:marLeft w:val="0"/>
      <w:marRight w:val="0"/>
      <w:marTop w:val="0"/>
      <w:marBottom w:val="0"/>
      <w:divBdr>
        <w:top w:val="none" w:sz="0" w:space="0" w:color="auto"/>
        <w:left w:val="none" w:sz="0" w:space="0" w:color="auto"/>
        <w:bottom w:val="none" w:sz="0" w:space="0" w:color="auto"/>
        <w:right w:val="none" w:sz="0" w:space="0" w:color="auto"/>
      </w:divBdr>
    </w:div>
    <w:div w:id="1228300628">
      <w:bodyDiv w:val="1"/>
      <w:marLeft w:val="0"/>
      <w:marRight w:val="0"/>
      <w:marTop w:val="0"/>
      <w:marBottom w:val="0"/>
      <w:divBdr>
        <w:top w:val="none" w:sz="0" w:space="0" w:color="auto"/>
        <w:left w:val="none" w:sz="0" w:space="0" w:color="auto"/>
        <w:bottom w:val="none" w:sz="0" w:space="0" w:color="auto"/>
        <w:right w:val="none" w:sz="0" w:space="0" w:color="auto"/>
      </w:divBdr>
      <w:divsChild>
        <w:div w:id="414590110">
          <w:marLeft w:val="0"/>
          <w:marRight w:val="0"/>
          <w:marTop w:val="0"/>
          <w:marBottom w:val="0"/>
          <w:divBdr>
            <w:top w:val="none" w:sz="0" w:space="0" w:color="auto"/>
            <w:left w:val="none" w:sz="0" w:space="0" w:color="auto"/>
            <w:bottom w:val="none" w:sz="0" w:space="0" w:color="auto"/>
            <w:right w:val="none" w:sz="0" w:space="0" w:color="auto"/>
          </w:divBdr>
          <w:divsChild>
            <w:div w:id="854467157">
              <w:marLeft w:val="0"/>
              <w:marRight w:val="0"/>
              <w:marTop w:val="0"/>
              <w:marBottom w:val="0"/>
              <w:divBdr>
                <w:top w:val="none" w:sz="0" w:space="0" w:color="auto"/>
                <w:left w:val="none" w:sz="0" w:space="0" w:color="auto"/>
                <w:bottom w:val="none" w:sz="0" w:space="0" w:color="auto"/>
                <w:right w:val="none" w:sz="0" w:space="0" w:color="auto"/>
              </w:divBdr>
              <w:divsChild>
                <w:div w:id="1357805324">
                  <w:marLeft w:val="0"/>
                  <w:marRight w:val="0"/>
                  <w:marTop w:val="0"/>
                  <w:marBottom w:val="0"/>
                  <w:divBdr>
                    <w:top w:val="none" w:sz="0" w:space="0" w:color="auto"/>
                    <w:left w:val="none" w:sz="0" w:space="0" w:color="auto"/>
                    <w:bottom w:val="none" w:sz="0" w:space="0" w:color="auto"/>
                    <w:right w:val="none" w:sz="0" w:space="0" w:color="auto"/>
                  </w:divBdr>
                  <w:divsChild>
                    <w:div w:id="1984698412">
                      <w:marLeft w:val="0"/>
                      <w:marRight w:val="0"/>
                      <w:marTop w:val="0"/>
                      <w:marBottom w:val="0"/>
                      <w:divBdr>
                        <w:top w:val="none" w:sz="0" w:space="0" w:color="auto"/>
                        <w:left w:val="none" w:sz="0" w:space="0" w:color="auto"/>
                        <w:bottom w:val="none" w:sz="0" w:space="0" w:color="auto"/>
                        <w:right w:val="none" w:sz="0" w:space="0" w:color="auto"/>
                      </w:divBdr>
                      <w:divsChild>
                        <w:div w:id="2065372211">
                          <w:marLeft w:val="0"/>
                          <w:marRight w:val="0"/>
                          <w:marTop w:val="0"/>
                          <w:marBottom w:val="0"/>
                          <w:divBdr>
                            <w:top w:val="none" w:sz="0" w:space="0" w:color="auto"/>
                            <w:left w:val="none" w:sz="0" w:space="0" w:color="auto"/>
                            <w:bottom w:val="none" w:sz="0" w:space="0" w:color="auto"/>
                            <w:right w:val="none" w:sz="0" w:space="0" w:color="auto"/>
                          </w:divBdr>
                          <w:divsChild>
                            <w:div w:id="1517576919">
                              <w:marLeft w:val="0"/>
                              <w:marRight w:val="0"/>
                              <w:marTop w:val="0"/>
                              <w:marBottom w:val="0"/>
                              <w:divBdr>
                                <w:top w:val="none" w:sz="0" w:space="0" w:color="auto"/>
                                <w:left w:val="none" w:sz="0" w:space="0" w:color="auto"/>
                                <w:bottom w:val="none" w:sz="0" w:space="0" w:color="auto"/>
                                <w:right w:val="none" w:sz="0" w:space="0" w:color="auto"/>
                              </w:divBdr>
                              <w:divsChild>
                                <w:div w:id="866673186">
                                  <w:marLeft w:val="0"/>
                                  <w:marRight w:val="0"/>
                                  <w:marTop w:val="0"/>
                                  <w:marBottom w:val="0"/>
                                  <w:divBdr>
                                    <w:top w:val="none" w:sz="0" w:space="0" w:color="auto"/>
                                    <w:left w:val="none" w:sz="0" w:space="0" w:color="auto"/>
                                    <w:bottom w:val="none" w:sz="0" w:space="0" w:color="auto"/>
                                    <w:right w:val="none" w:sz="0" w:space="0" w:color="auto"/>
                                  </w:divBdr>
                                  <w:divsChild>
                                    <w:div w:id="1068653466">
                                      <w:marLeft w:val="0"/>
                                      <w:marRight w:val="0"/>
                                      <w:marTop w:val="0"/>
                                      <w:marBottom w:val="0"/>
                                      <w:divBdr>
                                        <w:top w:val="none" w:sz="0" w:space="0" w:color="auto"/>
                                        <w:left w:val="none" w:sz="0" w:space="0" w:color="auto"/>
                                        <w:bottom w:val="none" w:sz="0" w:space="0" w:color="auto"/>
                                        <w:right w:val="none" w:sz="0" w:space="0" w:color="auto"/>
                                      </w:divBdr>
                                      <w:divsChild>
                                        <w:div w:id="2110421816">
                                          <w:marLeft w:val="0"/>
                                          <w:marRight w:val="0"/>
                                          <w:marTop w:val="0"/>
                                          <w:marBottom w:val="0"/>
                                          <w:divBdr>
                                            <w:top w:val="none" w:sz="0" w:space="0" w:color="auto"/>
                                            <w:left w:val="none" w:sz="0" w:space="0" w:color="auto"/>
                                            <w:bottom w:val="none" w:sz="0" w:space="0" w:color="auto"/>
                                            <w:right w:val="none" w:sz="0" w:space="0" w:color="auto"/>
                                          </w:divBdr>
                                          <w:divsChild>
                                            <w:div w:id="165887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2032077">
      <w:bodyDiv w:val="1"/>
      <w:marLeft w:val="0"/>
      <w:marRight w:val="0"/>
      <w:marTop w:val="0"/>
      <w:marBottom w:val="0"/>
      <w:divBdr>
        <w:top w:val="none" w:sz="0" w:space="0" w:color="auto"/>
        <w:left w:val="none" w:sz="0" w:space="0" w:color="auto"/>
        <w:bottom w:val="none" w:sz="0" w:space="0" w:color="auto"/>
        <w:right w:val="none" w:sz="0" w:space="0" w:color="auto"/>
      </w:divBdr>
    </w:div>
    <w:div w:id="1280725429">
      <w:bodyDiv w:val="1"/>
      <w:marLeft w:val="0"/>
      <w:marRight w:val="0"/>
      <w:marTop w:val="0"/>
      <w:marBottom w:val="0"/>
      <w:divBdr>
        <w:top w:val="none" w:sz="0" w:space="0" w:color="auto"/>
        <w:left w:val="none" w:sz="0" w:space="0" w:color="auto"/>
        <w:bottom w:val="none" w:sz="0" w:space="0" w:color="auto"/>
        <w:right w:val="none" w:sz="0" w:space="0" w:color="auto"/>
      </w:divBdr>
      <w:divsChild>
        <w:div w:id="297881734">
          <w:marLeft w:val="0"/>
          <w:marRight w:val="0"/>
          <w:marTop w:val="0"/>
          <w:marBottom w:val="0"/>
          <w:divBdr>
            <w:top w:val="none" w:sz="0" w:space="0" w:color="auto"/>
            <w:left w:val="none" w:sz="0" w:space="0" w:color="auto"/>
            <w:bottom w:val="none" w:sz="0" w:space="0" w:color="auto"/>
            <w:right w:val="none" w:sz="0" w:space="0" w:color="auto"/>
          </w:divBdr>
        </w:div>
      </w:divsChild>
    </w:div>
    <w:div w:id="1288976399">
      <w:bodyDiv w:val="1"/>
      <w:marLeft w:val="0"/>
      <w:marRight w:val="0"/>
      <w:marTop w:val="0"/>
      <w:marBottom w:val="0"/>
      <w:divBdr>
        <w:top w:val="none" w:sz="0" w:space="0" w:color="auto"/>
        <w:left w:val="none" w:sz="0" w:space="0" w:color="auto"/>
        <w:bottom w:val="none" w:sz="0" w:space="0" w:color="auto"/>
        <w:right w:val="none" w:sz="0" w:space="0" w:color="auto"/>
      </w:divBdr>
      <w:divsChild>
        <w:div w:id="477306367">
          <w:marLeft w:val="0"/>
          <w:marRight w:val="0"/>
          <w:marTop w:val="0"/>
          <w:marBottom w:val="0"/>
          <w:divBdr>
            <w:top w:val="none" w:sz="0" w:space="0" w:color="auto"/>
            <w:left w:val="none" w:sz="0" w:space="0" w:color="auto"/>
            <w:bottom w:val="none" w:sz="0" w:space="0" w:color="auto"/>
            <w:right w:val="none" w:sz="0" w:space="0" w:color="auto"/>
          </w:divBdr>
          <w:divsChild>
            <w:div w:id="1577471706">
              <w:marLeft w:val="0"/>
              <w:marRight w:val="0"/>
              <w:marTop w:val="0"/>
              <w:marBottom w:val="0"/>
              <w:divBdr>
                <w:top w:val="none" w:sz="0" w:space="0" w:color="auto"/>
                <w:left w:val="none" w:sz="0" w:space="0" w:color="auto"/>
                <w:bottom w:val="none" w:sz="0" w:space="0" w:color="auto"/>
                <w:right w:val="none" w:sz="0" w:space="0" w:color="auto"/>
              </w:divBdr>
              <w:divsChild>
                <w:div w:id="1245340508">
                  <w:marLeft w:val="0"/>
                  <w:marRight w:val="0"/>
                  <w:marTop w:val="0"/>
                  <w:marBottom w:val="0"/>
                  <w:divBdr>
                    <w:top w:val="none" w:sz="0" w:space="0" w:color="auto"/>
                    <w:left w:val="none" w:sz="0" w:space="0" w:color="auto"/>
                    <w:bottom w:val="none" w:sz="0" w:space="0" w:color="auto"/>
                    <w:right w:val="none" w:sz="0" w:space="0" w:color="auto"/>
                  </w:divBdr>
                  <w:divsChild>
                    <w:div w:id="1361861567">
                      <w:marLeft w:val="0"/>
                      <w:marRight w:val="0"/>
                      <w:marTop w:val="0"/>
                      <w:marBottom w:val="0"/>
                      <w:divBdr>
                        <w:top w:val="none" w:sz="0" w:space="0" w:color="auto"/>
                        <w:left w:val="none" w:sz="0" w:space="0" w:color="auto"/>
                        <w:bottom w:val="none" w:sz="0" w:space="0" w:color="auto"/>
                        <w:right w:val="none" w:sz="0" w:space="0" w:color="auto"/>
                      </w:divBdr>
                      <w:divsChild>
                        <w:div w:id="372653643">
                          <w:marLeft w:val="0"/>
                          <w:marRight w:val="0"/>
                          <w:marTop w:val="0"/>
                          <w:marBottom w:val="0"/>
                          <w:divBdr>
                            <w:top w:val="none" w:sz="0" w:space="0" w:color="auto"/>
                            <w:left w:val="none" w:sz="0" w:space="0" w:color="auto"/>
                            <w:bottom w:val="none" w:sz="0" w:space="0" w:color="auto"/>
                            <w:right w:val="none" w:sz="0" w:space="0" w:color="auto"/>
                          </w:divBdr>
                          <w:divsChild>
                            <w:div w:id="1404834074">
                              <w:marLeft w:val="0"/>
                              <w:marRight w:val="0"/>
                              <w:marTop w:val="0"/>
                              <w:marBottom w:val="0"/>
                              <w:divBdr>
                                <w:top w:val="none" w:sz="0" w:space="0" w:color="auto"/>
                                <w:left w:val="none" w:sz="0" w:space="0" w:color="auto"/>
                                <w:bottom w:val="none" w:sz="0" w:space="0" w:color="auto"/>
                                <w:right w:val="none" w:sz="0" w:space="0" w:color="auto"/>
                              </w:divBdr>
                              <w:divsChild>
                                <w:div w:id="208810150">
                                  <w:marLeft w:val="0"/>
                                  <w:marRight w:val="0"/>
                                  <w:marTop w:val="0"/>
                                  <w:marBottom w:val="0"/>
                                  <w:divBdr>
                                    <w:top w:val="none" w:sz="0" w:space="0" w:color="auto"/>
                                    <w:left w:val="none" w:sz="0" w:space="0" w:color="auto"/>
                                    <w:bottom w:val="none" w:sz="0" w:space="0" w:color="auto"/>
                                    <w:right w:val="none" w:sz="0" w:space="0" w:color="auto"/>
                                  </w:divBdr>
                                  <w:divsChild>
                                    <w:div w:id="188771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22852609">
      <w:bodyDiv w:val="1"/>
      <w:marLeft w:val="0"/>
      <w:marRight w:val="0"/>
      <w:marTop w:val="0"/>
      <w:marBottom w:val="0"/>
      <w:divBdr>
        <w:top w:val="none" w:sz="0" w:space="0" w:color="auto"/>
        <w:left w:val="none" w:sz="0" w:space="0" w:color="auto"/>
        <w:bottom w:val="none" w:sz="0" w:space="0" w:color="auto"/>
        <w:right w:val="none" w:sz="0" w:space="0" w:color="auto"/>
      </w:divBdr>
    </w:div>
    <w:div w:id="1324580469">
      <w:bodyDiv w:val="1"/>
      <w:marLeft w:val="0"/>
      <w:marRight w:val="0"/>
      <w:marTop w:val="0"/>
      <w:marBottom w:val="0"/>
      <w:divBdr>
        <w:top w:val="none" w:sz="0" w:space="0" w:color="auto"/>
        <w:left w:val="none" w:sz="0" w:space="0" w:color="auto"/>
        <w:bottom w:val="none" w:sz="0" w:space="0" w:color="auto"/>
        <w:right w:val="none" w:sz="0" w:space="0" w:color="auto"/>
      </w:divBdr>
    </w:div>
    <w:div w:id="1326202211">
      <w:bodyDiv w:val="1"/>
      <w:marLeft w:val="0"/>
      <w:marRight w:val="0"/>
      <w:marTop w:val="0"/>
      <w:marBottom w:val="0"/>
      <w:divBdr>
        <w:top w:val="none" w:sz="0" w:space="0" w:color="auto"/>
        <w:left w:val="none" w:sz="0" w:space="0" w:color="auto"/>
        <w:bottom w:val="none" w:sz="0" w:space="0" w:color="auto"/>
        <w:right w:val="none" w:sz="0" w:space="0" w:color="auto"/>
      </w:divBdr>
    </w:div>
    <w:div w:id="1355689586">
      <w:bodyDiv w:val="1"/>
      <w:marLeft w:val="0"/>
      <w:marRight w:val="0"/>
      <w:marTop w:val="0"/>
      <w:marBottom w:val="0"/>
      <w:divBdr>
        <w:top w:val="none" w:sz="0" w:space="0" w:color="auto"/>
        <w:left w:val="none" w:sz="0" w:space="0" w:color="auto"/>
        <w:bottom w:val="none" w:sz="0" w:space="0" w:color="auto"/>
        <w:right w:val="none" w:sz="0" w:space="0" w:color="auto"/>
      </w:divBdr>
      <w:divsChild>
        <w:div w:id="912736199">
          <w:marLeft w:val="0"/>
          <w:marRight w:val="0"/>
          <w:marTop w:val="0"/>
          <w:marBottom w:val="0"/>
          <w:divBdr>
            <w:top w:val="none" w:sz="0" w:space="0" w:color="auto"/>
            <w:left w:val="none" w:sz="0" w:space="0" w:color="auto"/>
            <w:bottom w:val="none" w:sz="0" w:space="0" w:color="auto"/>
            <w:right w:val="none" w:sz="0" w:space="0" w:color="auto"/>
          </w:divBdr>
          <w:divsChild>
            <w:div w:id="1000156865">
              <w:marLeft w:val="0"/>
              <w:marRight w:val="0"/>
              <w:marTop w:val="0"/>
              <w:marBottom w:val="0"/>
              <w:divBdr>
                <w:top w:val="none" w:sz="0" w:space="0" w:color="auto"/>
                <w:left w:val="none" w:sz="0" w:space="0" w:color="auto"/>
                <w:bottom w:val="none" w:sz="0" w:space="0" w:color="auto"/>
                <w:right w:val="none" w:sz="0" w:space="0" w:color="auto"/>
              </w:divBdr>
              <w:divsChild>
                <w:div w:id="521016293">
                  <w:marLeft w:val="0"/>
                  <w:marRight w:val="0"/>
                  <w:marTop w:val="0"/>
                  <w:marBottom w:val="0"/>
                  <w:divBdr>
                    <w:top w:val="none" w:sz="0" w:space="0" w:color="auto"/>
                    <w:left w:val="none" w:sz="0" w:space="0" w:color="auto"/>
                    <w:bottom w:val="none" w:sz="0" w:space="0" w:color="auto"/>
                    <w:right w:val="single" w:sz="6" w:space="0" w:color="E3E2D5"/>
                  </w:divBdr>
                  <w:divsChild>
                    <w:div w:id="245111313">
                      <w:marLeft w:val="0"/>
                      <w:marRight w:val="0"/>
                      <w:marTop w:val="0"/>
                      <w:marBottom w:val="0"/>
                      <w:divBdr>
                        <w:top w:val="none" w:sz="0" w:space="0" w:color="auto"/>
                        <w:left w:val="none" w:sz="0" w:space="0" w:color="auto"/>
                        <w:bottom w:val="none" w:sz="0" w:space="0" w:color="auto"/>
                        <w:right w:val="none" w:sz="0" w:space="0" w:color="auto"/>
                      </w:divBdr>
                      <w:divsChild>
                        <w:div w:id="35731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6978198">
      <w:bodyDiv w:val="1"/>
      <w:marLeft w:val="0"/>
      <w:marRight w:val="0"/>
      <w:marTop w:val="0"/>
      <w:marBottom w:val="0"/>
      <w:divBdr>
        <w:top w:val="none" w:sz="0" w:space="0" w:color="auto"/>
        <w:left w:val="none" w:sz="0" w:space="0" w:color="auto"/>
        <w:bottom w:val="none" w:sz="0" w:space="0" w:color="auto"/>
        <w:right w:val="none" w:sz="0" w:space="0" w:color="auto"/>
      </w:divBdr>
    </w:div>
    <w:div w:id="1369986642">
      <w:bodyDiv w:val="1"/>
      <w:marLeft w:val="0"/>
      <w:marRight w:val="0"/>
      <w:marTop w:val="0"/>
      <w:marBottom w:val="0"/>
      <w:divBdr>
        <w:top w:val="none" w:sz="0" w:space="0" w:color="auto"/>
        <w:left w:val="none" w:sz="0" w:space="0" w:color="auto"/>
        <w:bottom w:val="none" w:sz="0" w:space="0" w:color="auto"/>
        <w:right w:val="none" w:sz="0" w:space="0" w:color="auto"/>
      </w:divBdr>
    </w:div>
    <w:div w:id="1382049690">
      <w:bodyDiv w:val="1"/>
      <w:marLeft w:val="0"/>
      <w:marRight w:val="0"/>
      <w:marTop w:val="0"/>
      <w:marBottom w:val="0"/>
      <w:divBdr>
        <w:top w:val="none" w:sz="0" w:space="0" w:color="auto"/>
        <w:left w:val="none" w:sz="0" w:space="0" w:color="auto"/>
        <w:bottom w:val="none" w:sz="0" w:space="0" w:color="auto"/>
        <w:right w:val="none" w:sz="0" w:space="0" w:color="auto"/>
      </w:divBdr>
    </w:div>
    <w:div w:id="1386754216">
      <w:bodyDiv w:val="1"/>
      <w:marLeft w:val="0"/>
      <w:marRight w:val="0"/>
      <w:marTop w:val="0"/>
      <w:marBottom w:val="0"/>
      <w:divBdr>
        <w:top w:val="none" w:sz="0" w:space="0" w:color="auto"/>
        <w:left w:val="none" w:sz="0" w:space="0" w:color="auto"/>
        <w:bottom w:val="none" w:sz="0" w:space="0" w:color="auto"/>
        <w:right w:val="none" w:sz="0" w:space="0" w:color="auto"/>
      </w:divBdr>
    </w:div>
    <w:div w:id="1390228012">
      <w:bodyDiv w:val="1"/>
      <w:marLeft w:val="0"/>
      <w:marRight w:val="0"/>
      <w:marTop w:val="0"/>
      <w:marBottom w:val="0"/>
      <w:divBdr>
        <w:top w:val="none" w:sz="0" w:space="0" w:color="auto"/>
        <w:left w:val="none" w:sz="0" w:space="0" w:color="auto"/>
        <w:bottom w:val="none" w:sz="0" w:space="0" w:color="auto"/>
        <w:right w:val="none" w:sz="0" w:space="0" w:color="auto"/>
      </w:divBdr>
      <w:divsChild>
        <w:div w:id="212740471">
          <w:marLeft w:val="0"/>
          <w:marRight w:val="0"/>
          <w:marTop w:val="0"/>
          <w:marBottom w:val="0"/>
          <w:divBdr>
            <w:top w:val="none" w:sz="0" w:space="0" w:color="auto"/>
            <w:left w:val="none" w:sz="0" w:space="0" w:color="auto"/>
            <w:bottom w:val="none" w:sz="0" w:space="0" w:color="auto"/>
            <w:right w:val="none" w:sz="0" w:space="0" w:color="auto"/>
          </w:divBdr>
          <w:divsChild>
            <w:div w:id="91510920">
              <w:marLeft w:val="0"/>
              <w:marRight w:val="0"/>
              <w:marTop w:val="0"/>
              <w:marBottom w:val="0"/>
              <w:divBdr>
                <w:top w:val="none" w:sz="0" w:space="0" w:color="auto"/>
                <w:left w:val="none" w:sz="0" w:space="0" w:color="auto"/>
                <w:bottom w:val="none" w:sz="0" w:space="0" w:color="auto"/>
                <w:right w:val="none" w:sz="0" w:space="0" w:color="auto"/>
              </w:divBdr>
              <w:divsChild>
                <w:div w:id="2116953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393844360">
      <w:bodyDiv w:val="1"/>
      <w:marLeft w:val="0"/>
      <w:marRight w:val="0"/>
      <w:marTop w:val="0"/>
      <w:marBottom w:val="0"/>
      <w:divBdr>
        <w:top w:val="none" w:sz="0" w:space="0" w:color="auto"/>
        <w:left w:val="none" w:sz="0" w:space="0" w:color="auto"/>
        <w:bottom w:val="none" w:sz="0" w:space="0" w:color="auto"/>
        <w:right w:val="none" w:sz="0" w:space="0" w:color="auto"/>
      </w:divBdr>
    </w:div>
    <w:div w:id="1429692341">
      <w:bodyDiv w:val="1"/>
      <w:marLeft w:val="0"/>
      <w:marRight w:val="0"/>
      <w:marTop w:val="0"/>
      <w:marBottom w:val="0"/>
      <w:divBdr>
        <w:top w:val="none" w:sz="0" w:space="0" w:color="auto"/>
        <w:left w:val="none" w:sz="0" w:space="0" w:color="auto"/>
        <w:bottom w:val="none" w:sz="0" w:space="0" w:color="auto"/>
        <w:right w:val="none" w:sz="0" w:space="0" w:color="auto"/>
      </w:divBdr>
    </w:div>
    <w:div w:id="1438714567">
      <w:bodyDiv w:val="1"/>
      <w:marLeft w:val="0"/>
      <w:marRight w:val="0"/>
      <w:marTop w:val="0"/>
      <w:marBottom w:val="0"/>
      <w:divBdr>
        <w:top w:val="none" w:sz="0" w:space="0" w:color="auto"/>
        <w:left w:val="none" w:sz="0" w:space="0" w:color="auto"/>
        <w:bottom w:val="none" w:sz="0" w:space="0" w:color="auto"/>
        <w:right w:val="none" w:sz="0" w:space="0" w:color="auto"/>
      </w:divBdr>
    </w:div>
    <w:div w:id="1574049550">
      <w:bodyDiv w:val="1"/>
      <w:marLeft w:val="0"/>
      <w:marRight w:val="0"/>
      <w:marTop w:val="0"/>
      <w:marBottom w:val="0"/>
      <w:divBdr>
        <w:top w:val="none" w:sz="0" w:space="0" w:color="auto"/>
        <w:left w:val="none" w:sz="0" w:space="0" w:color="auto"/>
        <w:bottom w:val="none" w:sz="0" w:space="0" w:color="auto"/>
        <w:right w:val="none" w:sz="0" w:space="0" w:color="auto"/>
      </w:divBdr>
    </w:div>
    <w:div w:id="1588221979">
      <w:bodyDiv w:val="1"/>
      <w:marLeft w:val="0"/>
      <w:marRight w:val="0"/>
      <w:marTop w:val="0"/>
      <w:marBottom w:val="0"/>
      <w:divBdr>
        <w:top w:val="none" w:sz="0" w:space="0" w:color="auto"/>
        <w:left w:val="none" w:sz="0" w:space="0" w:color="auto"/>
        <w:bottom w:val="none" w:sz="0" w:space="0" w:color="auto"/>
        <w:right w:val="none" w:sz="0" w:space="0" w:color="auto"/>
      </w:divBdr>
    </w:div>
    <w:div w:id="1620648298">
      <w:bodyDiv w:val="1"/>
      <w:marLeft w:val="0"/>
      <w:marRight w:val="0"/>
      <w:marTop w:val="0"/>
      <w:marBottom w:val="0"/>
      <w:divBdr>
        <w:top w:val="none" w:sz="0" w:space="0" w:color="auto"/>
        <w:left w:val="none" w:sz="0" w:space="0" w:color="auto"/>
        <w:bottom w:val="none" w:sz="0" w:space="0" w:color="auto"/>
        <w:right w:val="none" w:sz="0" w:space="0" w:color="auto"/>
      </w:divBdr>
    </w:div>
    <w:div w:id="1646200577">
      <w:bodyDiv w:val="1"/>
      <w:marLeft w:val="0"/>
      <w:marRight w:val="0"/>
      <w:marTop w:val="0"/>
      <w:marBottom w:val="0"/>
      <w:divBdr>
        <w:top w:val="none" w:sz="0" w:space="0" w:color="auto"/>
        <w:left w:val="none" w:sz="0" w:space="0" w:color="auto"/>
        <w:bottom w:val="none" w:sz="0" w:space="0" w:color="auto"/>
        <w:right w:val="none" w:sz="0" w:space="0" w:color="auto"/>
      </w:divBdr>
    </w:div>
    <w:div w:id="1717045288">
      <w:bodyDiv w:val="1"/>
      <w:marLeft w:val="0"/>
      <w:marRight w:val="0"/>
      <w:marTop w:val="0"/>
      <w:marBottom w:val="0"/>
      <w:divBdr>
        <w:top w:val="none" w:sz="0" w:space="0" w:color="auto"/>
        <w:left w:val="none" w:sz="0" w:space="0" w:color="auto"/>
        <w:bottom w:val="none" w:sz="0" w:space="0" w:color="auto"/>
        <w:right w:val="none" w:sz="0" w:space="0" w:color="auto"/>
      </w:divBdr>
      <w:divsChild>
        <w:div w:id="1399357238">
          <w:marLeft w:val="0"/>
          <w:marRight w:val="0"/>
          <w:marTop w:val="0"/>
          <w:marBottom w:val="0"/>
          <w:divBdr>
            <w:top w:val="none" w:sz="0" w:space="0" w:color="auto"/>
            <w:left w:val="none" w:sz="0" w:space="0" w:color="auto"/>
            <w:bottom w:val="none" w:sz="0" w:space="0" w:color="auto"/>
            <w:right w:val="none" w:sz="0" w:space="0" w:color="auto"/>
          </w:divBdr>
        </w:div>
      </w:divsChild>
    </w:div>
    <w:div w:id="1722944772">
      <w:bodyDiv w:val="1"/>
      <w:marLeft w:val="0"/>
      <w:marRight w:val="0"/>
      <w:marTop w:val="0"/>
      <w:marBottom w:val="0"/>
      <w:divBdr>
        <w:top w:val="none" w:sz="0" w:space="0" w:color="auto"/>
        <w:left w:val="none" w:sz="0" w:space="0" w:color="auto"/>
        <w:bottom w:val="none" w:sz="0" w:space="0" w:color="auto"/>
        <w:right w:val="none" w:sz="0" w:space="0" w:color="auto"/>
      </w:divBdr>
      <w:divsChild>
        <w:div w:id="1959601054">
          <w:marLeft w:val="0"/>
          <w:marRight w:val="0"/>
          <w:marTop w:val="0"/>
          <w:marBottom w:val="0"/>
          <w:divBdr>
            <w:top w:val="none" w:sz="0" w:space="0" w:color="auto"/>
            <w:left w:val="none" w:sz="0" w:space="0" w:color="auto"/>
            <w:bottom w:val="none" w:sz="0" w:space="0" w:color="auto"/>
            <w:right w:val="none" w:sz="0" w:space="0" w:color="auto"/>
          </w:divBdr>
          <w:divsChild>
            <w:div w:id="81726481">
              <w:marLeft w:val="0"/>
              <w:marRight w:val="0"/>
              <w:marTop w:val="0"/>
              <w:marBottom w:val="0"/>
              <w:divBdr>
                <w:top w:val="none" w:sz="0" w:space="0" w:color="auto"/>
                <w:left w:val="none" w:sz="0" w:space="0" w:color="auto"/>
                <w:bottom w:val="none" w:sz="0" w:space="0" w:color="auto"/>
                <w:right w:val="none" w:sz="0" w:space="0" w:color="auto"/>
              </w:divBdr>
              <w:divsChild>
                <w:div w:id="872616494">
                  <w:marLeft w:val="0"/>
                  <w:marRight w:val="0"/>
                  <w:marTop w:val="0"/>
                  <w:marBottom w:val="0"/>
                  <w:divBdr>
                    <w:top w:val="none" w:sz="0" w:space="0" w:color="auto"/>
                    <w:left w:val="none" w:sz="0" w:space="0" w:color="auto"/>
                    <w:bottom w:val="none" w:sz="0" w:space="0" w:color="auto"/>
                    <w:right w:val="none" w:sz="0" w:space="0" w:color="auto"/>
                  </w:divBdr>
                  <w:divsChild>
                    <w:div w:id="729497696">
                      <w:marLeft w:val="0"/>
                      <w:marRight w:val="0"/>
                      <w:marTop w:val="0"/>
                      <w:marBottom w:val="0"/>
                      <w:divBdr>
                        <w:top w:val="none" w:sz="0" w:space="0" w:color="auto"/>
                        <w:left w:val="none" w:sz="0" w:space="0" w:color="auto"/>
                        <w:bottom w:val="none" w:sz="0" w:space="0" w:color="auto"/>
                        <w:right w:val="none" w:sz="0" w:space="0" w:color="auto"/>
                      </w:divBdr>
                      <w:divsChild>
                        <w:div w:id="1835953187">
                          <w:marLeft w:val="0"/>
                          <w:marRight w:val="0"/>
                          <w:marTop w:val="0"/>
                          <w:marBottom w:val="0"/>
                          <w:divBdr>
                            <w:top w:val="none" w:sz="0" w:space="0" w:color="auto"/>
                            <w:left w:val="none" w:sz="0" w:space="0" w:color="auto"/>
                            <w:bottom w:val="none" w:sz="0" w:space="0" w:color="auto"/>
                            <w:right w:val="none" w:sz="0" w:space="0" w:color="auto"/>
                          </w:divBdr>
                          <w:divsChild>
                            <w:div w:id="1773043530">
                              <w:marLeft w:val="0"/>
                              <w:marRight w:val="0"/>
                              <w:marTop w:val="0"/>
                              <w:marBottom w:val="0"/>
                              <w:divBdr>
                                <w:top w:val="none" w:sz="0" w:space="0" w:color="auto"/>
                                <w:left w:val="none" w:sz="0" w:space="0" w:color="auto"/>
                                <w:bottom w:val="none" w:sz="0" w:space="0" w:color="auto"/>
                                <w:right w:val="none" w:sz="0" w:space="0" w:color="auto"/>
                              </w:divBdr>
                              <w:divsChild>
                                <w:div w:id="504366910">
                                  <w:marLeft w:val="0"/>
                                  <w:marRight w:val="0"/>
                                  <w:marTop w:val="0"/>
                                  <w:marBottom w:val="0"/>
                                  <w:divBdr>
                                    <w:top w:val="none" w:sz="0" w:space="0" w:color="auto"/>
                                    <w:left w:val="none" w:sz="0" w:space="0" w:color="auto"/>
                                    <w:bottom w:val="none" w:sz="0" w:space="0" w:color="auto"/>
                                    <w:right w:val="none" w:sz="0" w:space="0" w:color="auto"/>
                                  </w:divBdr>
                                  <w:divsChild>
                                    <w:div w:id="1635020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7310360">
      <w:bodyDiv w:val="1"/>
      <w:marLeft w:val="0"/>
      <w:marRight w:val="0"/>
      <w:marTop w:val="0"/>
      <w:marBottom w:val="0"/>
      <w:divBdr>
        <w:top w:val="none" w:sz="0" w:space="0" w:color="auto"/>
        <w:left w:val="none" w:sz="0" w:space="0" w:color="auto"/>
        <w:bottom w:val="none" w:sz="0" w:space="0" w:color="auto"/>
        <w:right w:val="none" w:sz="0" w:space="0" w:color="auto"/>
      </w:divBdr>
    </w:div>
    <w:div w:id="1810899302">
      <w:bodyDiv w:val="1"/>
      <w:marLeft w:val="0"/>
      <w:marRight w:val="0"/>
      <w:marTop w:val="0"/>
      <w:marBottom w:val="0"/>
      <w:divBdr>
        <w:top w:val="none" w:sz="0" w:space="0" w:color="auto"/>
        <w:left w:val="none" w:sz="0" w:space="0" w:color="auto"/>
        <w:bottom w:val="none" w:sz="0" w:space="0" w:color="auto"/>
        <w:right w:val="none" w:sz="0" w:space="0" w:color="auto"/>
      </w:divBdr>
      <w:divsChild>
        <w:div w:id="320699240">
          <w:marLeft w:val="0"/>
          <w:marRight w:val="0"/>
          <w:marTop w:val="0"/>
          <w:marBottom w:val="0"/>
          <w:divBdr>
            <w:top w:val="none" w:sz="0" w:space="0" w:color="auto"/>
            <w:left w:val="none" w:sz="0" w:space="0" w:color="auto"/>
            <w:bottom w:val="none" w:sz="0" w:space="0" w:color="auto"/>
            <w:right w:val="none" w:sz="0" w:space="0" w:color="auto"/>
          </w:divBdr>
          <w:divsChild>
            <w:div w:id="321397349">
              <w:marLeft w:val="0"/>
              <w:marRight w:val="0"/>
              <w:marTop w:val="120"/>
              <w:marBottom w:val="480"/>
              <w:divBdr>
                <w:top w:val="none" w:sz="0" w:space="0" w:color="auto"/>
                <w:left w:val="none" w:sz="0" w:space="0" w:color="auto"/>
                <w:bottom w:val="none" w:sz="0" w:space="0" w:color="auto"/>
                <w:right w:val="none" w:sz="0" w:space="0" w:color="auto"/>
              </w:divBdr>
              <w:divsChild>
                <w:div w:id="1255938654">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 w:id="1834829903">
      <w:bodyDiv w:val="1"/>
      <w:marLeft w:val="0"/>
      <w:marRight w:val="0"/>
      <w:marTop w:val="0"/>
      <w:marBottom w:val="0"/>
      <w:divBdr>
        <w:top w:val="none" w:sz="0" w:space="0" w:color="auto"/>
        <w:left w:val="none" w:sz="0" w:space="0" w:color="auto"/>
        <w:bottom w:val="none" w:sz="0" w:space="0" w:color="auto"/>
        <w:right w:val="none" w:sz="0" w:space="0" w:color="auto"/>
      </w:divBdr>
      <w:divsChild>
        <w:div w:id="1392735086">
          <w:marLeft w:val="0"/>
          <w:marRight w:val="0"/>
          <w:marTop w:val="0"/>
          <w:marBottom w:val="0"/>
          <w:divBdr>
            <w:top w:val="none" w:sz="0" w:space="0" w:color="auto"/>
            <w:left w:val="none" w:sz="0" w:space="0" w:color="auto"/>
            <w:bottom w:val="none" w:sz="0" w:space="0" w:color="auto"/>
            <w:right w:val="none" w:sz="0" w:space="0" w:color="auto"/>
          </w:divBdr>
          <w:divsChild>
            <w:div w:id="637304753">
              <w:marLeft w:val="0"/>
              <w:marRight w:val="0"/>
              <w:marTop w:val="0"/>
              <w:marBottom w:val="0"/>
              <w:divBdr>
                <w:top w:val="none" w:sz="0" w:space="0" w:color="auto"/>
                <w:left w:val="none" w:sz="0" w:space="0" w:color="auto"/>
                <w:bottom w:val="none" w:sz="0" w:space="0" w:color="auto"/>
                <w:right w:val="none" w:sz="0" w:space="0" w:color="auto"/>
              </w:divBdr>
              <w:divsChild>
                <w:div w:id="851142574">
                  <w:marLeft w:val="0"/>
                  <w:marRight w:val="0"/>
                  <w:marTop w:val="0"/>
                  <w:marBottom w:val="0"/>
                  <w:divBdr>
                    <w:top w:val="none" w:sz="0" w:space="0" w:color="auto"/>
                    <w:left w:val="none" w:sz="0" w:space="0" w:color="auto"/>
                    <w:bottom w:val="none" w:sz="0" w:space="0" w:color="auto"/>
                    <w:right w:val="none" w:sz="0" w:space="0" w:color="auto"/>
                  </w:divBdr>
                  <w:divsChild>
                    <w:div w:id="1479684621">
                      <w:marLeft w:val="0"/>
                      <w:marRight w:val="0"/>
                      <w:marTop w:val="0"/>
                      <w:marBottom w:val="0"/>
                      <w:divBdr>
                        <w:top w:val="none" w:sz="0" w:space="0" w:color="auto"/>
                        <w:left w:val="none" w:sz="0" w:space="0" w:color="auto"/>
                        <w:bottom w:val="none" w:sz="0" w:space="0" w:color="auto"/>
                        <w:right w:val="none" w:sz="0" w:space="0" w:color="auto"/>
                      </w:divBdr>
                      <w:divsChild>
                        <w:div w:id="180350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8643968">
      <w:bodyDiv w:val="1"/>
      <w:marLeft w:val="0"/>
      <w:marRight w:val="0"/>
      <w:marTop w:val="0"/>
      <w:marBottom w:val="0"/>
      <w:divBdr>
        <w:top w:val="none" w:sz="0" w:space="0" w:color="auto"/>
        <w:left w:val="none" w:sz="0" w:space="0" w:color="auto"/>
        <w:bottom w:val="none" w:sz="0" w:space="0" w:color="auto"/>
        <w:right w:val="none" w:sz="0" w:space="0" w:color="auto"/>
      </w:divBdr>
    </w:div>
    <w:div w:id="1872766266">
      <w:bodyDiv w:val="1"/>
      <w:marLeft w:val="0"/>
      <w:marRight w:val="0"/>
      <w:marTop w:val="0"/>
      <w:marBottom w:val="0"/>
      <w:divBdr>
        <w:top w:val="none" w:sz="0" w:space="0" w:color="auto"/>
        <w:left w:val="none" w:sz="0" w:space="0" w:color="auto"/>
        <w:bottom w:val="none" w:sz="0" w:space="0" w:color="auto"/>
        <w:right w:val="none" w:sz="0" w:space="0" w:color="auto"/>
      </w:divBdr>
    </w:div>
    <w:div w:id="1889802662">
      <w:bodyDiv w:val="1"/>
      <w:marLeft w:val="0"/>
      <w:marRight w:val="0"/>
      <w:marTop w:val="0"/>
      <w:marBottom w:val="0"/>
      <w:divBdr>
        <w:top w:val="none" w:sz="0" w:space="0" w:color="auto"/>
        <w:left w:val="none" w:sz="0" w:space="0" w:color="auto"/>
        <w:bottom w:val="none" w:sz="0" w:space="0" w:color="auto"/>
        <w:right w:val="none" w:sz="0" w:space="0" w:color="auto"/>
      </w:divBdr>
      <w:divsChild>
        <w:div w:id="443966677">
          <w:marLeft w:val="0"/>
          <w:marRight w:val="0"/>
          <w:marTop w:val="0"/>
          <w:marBottom w:val="0"/>
          <w:divBdr>
            <w:top w:val="none" w:sz="0" w:space="0" w:color="auto"/>
            <w:left w:val="none" w:sz="0" w:space="0" w:color="auto"/>
            <w:bottom w:val="none" w:sz="0" w:space="0" w:color="auto"/>
            <w:right w:val="none" w:sz="0" w:space="0" w:color="auto"/>
          </w:divBdr>
          <w:divsChild>
            <w:div w:id="549416481">
              <w:marLeft w:val="0"/>
              <w:marRight w:val="0"/>
              <w:marTop w:val="0"/>
              <w:marBottom w:val="0"/>
              <w:divBdr>
                <w:top w:val="none" w:sz="0" w:space="0" w:color="auto"/>
                <w:left w:val="none" w:sz="0" w:space="0" w:color="auto"/>
                <w:bottom w:val="none" w:sz="0" w:space="0" w:color="auto"/>
                <w:right w:val="none" w:sz="0" w:space="0" w:color="auto"/>
              </w:divBdr>
            </w:div>
            <w:div w:id="811021629">
              <w:marLeft w:val="0"/>
              <w:marRight w:val="0"/>
              <w:marTop w:val="0"/>
              <w:marBottom w:val="0"/>
              <w:divBdr>
                <w:top w:val="none" w:sz="0" w:space="0" w:color="auto"/>
                <w:left w:val="none" w:sz="0" w:space="0" w:color="auto"/>
                <w:bottom w:val="none" w:sz="0" w:space="0" w:color="auto"/>
                <w:right w:val="none" w:sz="0" w:space="0" w:color="auto"/>
              </w:divBdr>
            </w:div>
            <w:div w:id="994458147">
              <w:marLeft w:val="0"/>
              <w:marRight w:val="0"/>
              <w:marTop w:val="0"/>
              <w:marBottom w:val="0"/>
              <w:divBdr>
                <w:top w:val="none" w:sz="0" w:space="0" w:color="auto"/>
                <w:left w:val="none" w:sz="0" w:space="0" w:color="auto"/>
                <w:bottom w:val="none" w:sz="0" w:space="0" w:color="auto"/>
                <w:right w:val="none" w:sz="0" w:space="0" w:color="auto"/>
              </w:divBdr>
            </w:div>
            <w:div w:id="1567883413">
              <w:marLeft w:val="0"/>
              <w:marRight w:val="0"/>
              <w:marTop w:val="0"/>
              <w:marBottom w:val="0"/>
              <w:divBdr>
                <w:top w:val="none" w:sz="0" w:space="0" w:color="auto"/>
                <w:left w:val="none" w:sz="0" w:space="0" w:color="auto"/>
                <w:bottom w:val="none" w:sz="0" w:space="0" w:color="auto"/>
                <w:right w:val="none" w:sz="0" w:space="0" w:color="auto"/>
              </w:divBdr>
            </w:div>
            <w:div w:id="1634601767">
              <w:marLeft w:val="0"/>
              <w:marRight w:val="0"/>
              <w:marTop w:val="0"/>
              <w:marBottom w:val="0"/>
              <w:divBdr>
                <w:top w:val="none" w:sz="0" w:space="0" w:color="auto"/>
                <w:left w:val="none" w:sz="0" w:space="0" w:color="auto"/>
                <w:bottom w:val="none" w:sz="0" w:space="0" w:color="auto"/>
                <w:right w:val="none" w:sz="0" w:space="0" w:color="auto"/>
              </w:divBdr>
            </w:div>
            <w:div w:id="1828666300">
              <w:marLeft w:val="0"/>
              <w:marRight w:val="0"/>
              <w:marTop w:val="0"/>
              <w:marBottom w:val="0"/>
              <w:divBdr>
                <w:top w:val="none" w:sz="0" w:space="0" w:color="auto"/>
                <w:left w:val="none" w:sz="0" w:space="0" w:color="auto"/>
                <w:bottom w:val="none" w:sz="0" w:space="0" w:color="auto"/>
                <w:right w:val="none" w:sz="0" w:space="0" w:color="auto"/>
              </w:divBdr>
            </w:div>
            <w:div w:id="207777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069355">
      <w:bodyDiv w:val="1"/>
      <w:marLeft w:val="0"/>
      <w:marRight w:val="0"/>
      <w:marTop w:val="0"/>
      <w:marBottom w:val="0"/>
      <w:divBdr>
        <w:top w:val="none" w:sz="0" w:space="0" w:color="auto"/>
        <w:left w:val="none" w:sz="0" w:space="0" w:color="auto"/>
        <w:bottom w:val="none" w:sz="0" w:space="0" w:color="auto"/>
        <w:right w:val="none" w:sz="0" w:space="0" w:color="auto"/>
      </w:divBdr>
    </w:div>
    <w:div w:id="1891526384">
      <w:bodyDiv w:val="1"/>
      <w:marLeft w:val="0"/>
      <w:marRight w:val="0"/>
      <w:marTop w:val="0"/>
      <w:marBottom w:val="0"/>
      <w:divBdr>
        <w:top w:val="none" w:sz="0" w:space="0" w:color="auto"/>
        <w:left w:val="none" w:sz="0" w:space="0" w:color="auto"/>
        <w:bottom w:val="none" w:sz="0" w:space="0" w:color="auto"/>
        <w:right w:val="none" w:sz="0" w:space="0" w:color="auto"/>
      </w:divBdr>
    </w:div>
    <w:div w:id="1898054198">
      <w:bodyDiv w:val="1"/>
      <w:marLeft w:val="0"/>
      <w:marRight w:val="0"/>
      <w:marTop w:val="0"/>
      <w:marBottom w:val="0"/>
      <w:divBdr>
        <w:top w:val="none" w:sz="0" w:space="0" w:color="auto"/>
        <w:left w:val="none" w:sz="0" w:space="0" w:color="auto"/>
        <w:bottom w:val="none" w:sz="0" w:space="0" w:color="auto"/>
        <w:right w:val="none" w:sz="0" w:space="0" w:color="auto"/>
      </w:divBdr>
    </w:div>
    <w:div w:id="21312410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2.png"/><Relationship Id="rId39" Type="http://schemas.openxmlformats.org/officeDocument/2006/relationships/hyperlink" Target="http://nlihc.org/sites/default/files/FY13_Budget_Chart.pdf" TargetMode="Externa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hyperlink" Target="http://www.gpo.gov/fdsys/pkg/BILLS-112hr2112enr/pdf/BILLS-112hr2112enr.pdf" TargetMode="External"/><Relationship Id="rId42" Type="http://schemas.openxmlformats.org/officeDocument/2006/relationships/hyperlink" Target="http://portal.hud.gov/hudportal/HUD?src=/program_offices/comm_planning/about/conplan/local" TargetMode="External"/><Relationship Id="rId47" Type="http://schemas.openxmlformats.org/officeDocument/2006/relationships/image" Target="media/image15.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footer" Target="footer4.xml"/><Relationship Id="rId33" Type="http://schemas.openxmlformats.org/officeDocument/2006/relationships/hyperlink" Target="http://www.cityofnapa.org/images/CDD/planningdivisiondocs/housingelementcommittee/updated%20current%20he%20adopted%202009.pdf" TargetMode="External"/><Relationship Id="rId38" Type="http://schemas.openxmlformats.org/officeDocument/2006/relationships/hyperlink" Target="http://www.nctpa.net/napas-transportation-future" TargetMode="External"/><Relationship Id="rId46" Type="http://schemas.openxmlformats.org/officeDocument/2006/relationships/hyperlink" Target="http://www.cityofnapa.org/"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hyperlink" Target="http://www.hcd.ca.gov/hpd/hrc/plan/he/loan_grant_hecompl011708.pdf" TargetMode="External"/><Relationship Id="rId41" Type="http://schemas.openxmlformats.org/officeDocument/2006/relationships/hyperlink" Target="http://www.smartvoter.org/2004/11/02/ca/sn/meas/N/"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footer" Target="footer3.xml"/><Relationship Id="rId32" Type="http://schemas.openxmlformats.org/officeDocument/2006/relationships/hyperlink" Target="http://www.leginfo.ca.gov/cgi-in/displaycode?section=gov&amp;group=65001-66000&amp;file=65580-65589.8" TargetMode="External"/><Relationship Id="rId37" Type="http://schemas.openxmlformats.org/officeDocument/2006/relationships/hyperlink" Target="http://search.municode.com/html/16513/level2/TIT3REFI_CH3.32TROCTA.html" TargetMode="External"/><Relationship Id="rId40" Type="http://schemas.openxmlformats.org/officeDocument/2006/relationships/hyperlink" Target="http://nlihc.org/sites/default/files/CHCDF_Sequestration_Impacts_8-12-12.pdf" TargetMode="External"/><Relationship Id="rId45" Type="http://schemas.openxmlformats.org/officeDocument/2006/relationships/image" Target="media/image14.jpe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header" Target="header1.xml"/><Relationship Id="rId28" Type="http://schemas.openxmlformats.org/officeDocument/2006/relationships/hyperlink" Target="http://www.hcd.ca.gov/hpd/hrc/plan/he/" TargetMode="External"/><Relationship Id="rId36" Type="http://schemas.openxmlformats.org/officeDocument/2006/relationships/hyperlink" Target="http://opr.ca.gov/docs/PZD2012.pdf" TargetMode="External"/><Relationship Id="rId49"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9.jpeg"/><Relationship Id="rId31" Type="http://schemas.openxmlformats.org/officeDocument/2006/relationships/hyperlink" Target="http://www.lao.ca.gov/reports/2012/bud/spending_plan/spending-plan-091312.pdf" TargetMode="External"/><Relationship Id="rId44" Type="http://schemas.openxmlformats.org/officeDocument/2006/relationships/image" Target="media/image13.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image" Target="media/image110.jpeg"/><Relationship Id="rId27" Type="http://schemas.openxmlformats.org/officeDocument/2006/relationships/hyperlink" Target="http://www.leginfo.ca.gov/.const/.article_34" TargetMode="External"/><Relationship Id="rId30" Type="http://schemas.openxmlformats.org/officeDocument/2006/relationships/hyperlink" Target="http://www.hcd.ca.gov/fa/MHPandSHRegs5_14_05.pdf" TargetMode="External"/><Relationship Id="rId35" Type="http://schemas.openxmlformats.org/officeDocument/2006/relationships/hyperlink" Target="http://www.sonoma-county.org/prmd/housing/workforcefee.pdf" TargetMode="External"/><Relationship Id="rId43" Type="http://schemas.openxmlformats.org/officeDocument/2006/relationships/hyperlink" Target="http://portal.hud.gov/hudportal/HUD?src=/program_offices/comm_planning/about/conplan" TargetMode="External"/><Relationship Id="rId48" Type="http://schemas.openxmlformats.org/officeDocument/2006/relationships/fontTable" Target="fontTable.xml"/><Relationship Id="rId8" Type="http://schemas.openxmlformats.org/officeDocument/2006/relationships/endnotes" Target="endnotes.xml"/></Relationships>
</file>

<file path=word/_rels/footnotes.xml.rels><?xml version="1.0" encoding="UTF-8" standalone="yes"?>
<Relationships xmlns="http://schemas.openxmlformats.org/package/2006/relationships"><Relationship Id="rId3" Type="http://schemas.openxmlformats.org/officeDocument/2006/relationships/hyperlink" Target="http://www.leginfo.ca.gov/.const/.article_34" TargetMode="External"/><Relationship Id="rId2" Type="http://schemas.openxmlformats.org/officeDocument/2006/relationships/hyperlink" Target="http://www.huduser.org/portal/datasets/il/fmr98/sect8.html" TargetMode="External"/><Relationship Id="rId1" Type="http://schemas.openxmlformats.org/officeDocument/2006/relationships/hyperlink" Target="http://www.nctpa.net/pro-pro/pla-stu/trans-future.html%20on%2011/5/" TargetMode="External"/><Relationship Id="rId6" Type="http://schemas.openxmlformats.org/officeDocument/2006/relationships/hyperlink" Target="http://www.hcd.ca.gov/fa/MHPandSHRegs5_14_05.pdf" TargetMode="External"/><Relationship Id="rId5" Type="http://schemas.openxmlformats.org/officeDocument/2006/relationships/hyperlink" Target="http://www.smartvoter.org/2004/11/02/ca/sn/meas/N/" TargetMode="External"/><Relationship Id="rId4" Type="http://schemas.openxmlformats.org/officeDocument/2006/relationships/hyperlink" Target="http://www.hcd.ca.gov/2012_affordable_housing_cost_study.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A28337-F6C1-4B89-9EEB-4F1249BC4F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20170</Words>
  <Characters>114971</Characters>
  <Application>Microsoft Office Word</Application>
  <DocSecurity>0</DocSecurity>
  <Lines>958</Lines>
  <Paragraphs>269</Paragraphs>
  <ScaleCrop>false</ScaleCrop>
  <HeadingPairs>
    <vt:vector size="2" baseType="variant">
      <vt:variant>
        <vt:lpstr>Title</vt:lpstr>
      </vt:variant>
      <vt:variant>
        <vt:i4>1</vt:i4>
      </vt:variant>
    </vt:vector>
  </HeadingPairs>
  <TitlesOfParts>
    <vt:vector size="1" baseType="lpstr">
      <vt:lpstr>Ten-Year Implementation Plan to End Homelessness in the City of Los Angeles</vt:lpstr>
    </vt:vector>
  </TitlesOfParts>
  <Company>Lesar Development Company</Company>
  <LinksUpToDate>false</LinksUpToDate>
  <CharactersWithSpaces>134872</CharactersWithSpaces>
  <SharedDoc>false</SharedDoc>
  <HLinks>
    <vt:vector size="960" baseType="variant">
      <vt:variant>
        <vt:i4>7864414</vt:i4>
      </vt:variant>
      <vt:variant>
        <vt:i4>414</vt:i4>
      </vt:variant>
      <vt:variant>
        <vt:i4>0</vt:i4>
      </vt:variant>
      <vt:variant>
        <vt:i4>5</vt:i4>
      </vt:variant>
      <vt:variant>
        <vt:lpwstr>mailto:hannah@housingsandiego.org</vt:lpwstr>
      </vt:variant>
      <vt:variant>
        <vt:lpwstr/>
      </vt:variant>
      <vt:variant>
        <vt:i4>5832827</vt:i4>
      </vt:variant>
      <vt:variant>
        <vt:i4>411</vt:i4>
      </vt:variant>
      <vt:variant>
        <vt:i4>0</vt:i4>
      </vt:variant>
      <vt:variant>
        <vt:i4>5</vt:i4>
      </vt:variant>
      <vt:variant>
        <vt:lpwstr>mailto:elowe@movesandiego.org</vt:lpwstr>
      </vt:variant>
      <vt:variant>
        <vt:lpwstr/>
      </vt:variant>
      <vt:variant>
        <vt:i4>6881372</vt:i4>
      </vt:variant>
      <vt:variant>
        <vt:i4>408</vt:i4>
      </vt:variant>
      <vt:variant>
        <vt:i4>0</vt:i4>
      </vt:variant>
      <vt:variant>
        <vt:i4>5</vt:i4>
      </vt:variant>
      <vt:variant>
        <vt:lpwstr>mailto:Cecilia@greenforall.org</vt:lpwstr>
      </vt:variant>
      <vt:variant>
        <vt:lpwstr/>
      </vt:variant>
      <vt:variant>
        <vt:i4>7077954</vt:i4>
      </vt:variant>
      <vt:variant>
        <vt:i4>405</vt:i4>
      </vt:variant>
      <vt:variant>
        <vt:i4>0</vt:i4>
      </vt:variant>
      <vt:variant>
        <vt:i4>5</vt:i4>
      </vt:variant>
      <vt:variant>
        <vt:lpwstr>mailto:@onlinecpi.org</vt:lpwstr>
      </vt:variant>
      <vt:variant>
        <vt:lpwstr/>
      </vt:variant>
      <vt:variant>
        <vt:i4>5111929</vt:i4>
      </vt:variant>
      <vt:variant>
        <vt:i4>402</vt:i4>
      </vt:variant>
      <vt:variant>
        <vt:i4>0</vt:i4>
      </vt:variant>
      <vt:variant>
        <vt:i4>5</vt:i4>
      </vt:variant>
      <vt:variant>
        <vt:lpwstr>mailto:ap@sandiegobusiness.org</vt:lpwstr>
      </vt:variant>
      <vt:variant>
        <vt:lpwstr/>
      </vt:variant>
      <vt:variant>
        <vt:i4>5898356</vt:i4>
      </vt:variant>
      <vt:variant>
        <vt:i4>399</vt:i4>
      </vt:variant>
      <vt:variant>
        <vt:i4>0</vt:i4>
      </vt:variant>
      <vt:variant>
        <vt:i4>5</vt:i4>
      </vt:variant>
      <vt:variant>
        <vt:lpwstr>mailto:tiffany@bidcouncil.org</vt:lpwstr>
      </vt:variant>
      <vt:variant>
        <vt:lpwstr/>
      </vt:variant>
      <vt:variant>
        <vt:i4>6684762</vt:i4>
      </vt:variant>
      <vt:variant>
        <vt:i4>396</vt:i4>
      </vt:variant>
      <vt:variant>
        <vt:i4>0</vt:i4>
      </vt:variant>
      <vt:variant>
        <vt:i4>5</vt:i4>
      </vt:variant>
      <vt:variant>
        <vt:lpwstr>mailto:todd@workforce.org</vt:lpwstr>
      </vt:variant>
      <vt:variant>
        <vt:lpwstr/>
      </vt:variant>
      <vt:variant>
        <vt:i4>6422612</vt:i4>
      </vt:variant>
      <vt:variant>
        <vt:i4>393</vt:i4>
      </vt:variant>
      <vt:variant>
        <vt:i4>0</vt:i4>
      </vt:variant>
      <vt:variant>
        <vt:i4>5</vt:i4>
      </vt:variant>
      <vt:variant>
        <vt:lpwstr>mailto:markc@workforce.org</vt:lpwstr>
      </vt:variant>
      <vt:variant>
        <vt:lpwstr/>
      </vt:variant>
      <vt:variant>
        <vt:i4>2752582</vt:i4>
      </vt:variant>
      <vt:variant>
        <vt:i4>390</vt:i4>
      </vt:variant>
      <vt:variant>
        <vt:i4>0</vt:i4>
      </vt:variant>
      <vt:variant>
        <vt:i4>5</vt:i4>
      </vt:variant>
      <vt:variant>
        <vt:lpwstr>mailto:sharon.cooney@sdmts.com</vt:lpwstr>
      </vt:variant>
      <vt:variant>
        <vt:lpwstr/>
      </vt:variant>
      <vt:variant>
        <vt:i4>4456548</vt:i4>
      </vt:variant>
      <vt:variant>
        <vt:i4>387</vt:i4>
      </vt:variant>
      <vt:variant>
        <vt:i4>0</vt:i4>
      </vt:variant>
      <vt:variant>
        <vt:i4>5</vt:i4>
      </vt:variant>
      <vt:variant>
        <vt:lpwstr>mailto:jcl@sandag.org</vt:lpwstr>
      </vt:variant>
      <vt:variant>
        <vt:lpwstr/>
      </vt:variant>
      <vt:variant>
        <vt:i4>4194420</vt:i4>
      </vt:variant>
      <vt:variant>
        <vt:i4>384</vt:i4>
      </vt:variant>
      <vt:variant>
        <vt:i4>0</vt:i4>
      </vt:variant>
      <vt:variant>
        <vt:i4>5</vt:i4>
      </vt:variant>
      <vt:variant>
        <vt:lpwstr>mailto:vst@sandag.org</vt:lpwstr>
      </vt:variant>
      <vt:variant>
        <vt:lpwstr/>
      </vt:variant>
      <vt:variant>
        <vt:i4>4194402</vt:i4>
      </vt:variant>
      <vt:variant>
        <vt:i4>381</vt:i4>
      </vt:variant>
      <vt:variant>
        <vt:i4>0</vt:i4>
      </vt:variant>
      <vt:variant>
        <vt:i4>5</vt:i4>
      </vt:variant>
      <vt:variant>
        <vt:lpwstr>mailto:cea@sandag.org</vt:lpwstr>
      </vt:variant>
      <vt:variant>
        <vt:lpwstr/>
      </vt:variant>
      <vt:variant>
        <vt:i4>5242981</vt:i4>
      </vt:variant>
      <vt:variant>
        <vt:i4>378</vt:i4>
      </vt:variant>
      <vt:variant>
        <vt:i4>0</vt:i4>
      </vt:variant>
      <vt:variant>
        <vt:i4>5</vt:i4>
      </vt:variant>
      <vt:variant>
        <vt:lpwstr>mailto:sba@sandag.org</vt:lpwstr>
      </vt:variant>
      <vt:variant>
        <vt:lpwstr/>
      </vt:variant>
      <vt:variant>
        <vt:i4>4522100</vt:i4>
      </vt:variant>
      <vt:variant>
        <vt:i4>375</vt:i4>
      </vt:variant>
      <vt:variant>
        <vt:i4>0</vt:i4>
      </vt:variant>
      <vt:variant>
        <vt:i4>5</vt:i4>
      </vt:variant>
      <vt:variant>
        <vt:lpwstr>mailto:dsc@sandag.org</vt:lpwstr>
      </vt:variant>
      <vt:variant>
        <vt:lpwstr/>
      </vt:variant>
      <vt:variant>
        <vt:i4>5046372</vt:i4>
      </vt:variant>
      <vt:variant>
        <vt:i4>372</vt:i4>
      </vt:variant>
      <vt:variant>
        <vt:i4>0</vt:i4>
      </vt:variant>
      <vt:variant>
        <vt:i4>5</vt:i4>
      </vt:variant>
      <vt:variant>
        <vt:lpwstr>mailto:ccl@sandag.org</vt:lpwstr>
      </vt:variant>
      <vt:variant>
        <vt:lpwstr/>
      </vt:variant>
      <vt:variant>
        <vt:i4>4456544</vt:i4>
      </vt:variant>
      <vt:variant>
        <vt:i4>369</vt:i4>
      </vt:variant>
      <vt:variant>
        <vt:i4>0</vt:i4>
      </vt:variant>
      <vt:variant>
        <vt:i4>5</vt:i4>
      </vt:variant>
      <vt:variant>
        <vt:lpwstr>mailto:gga@sandag.org</vt:lpwstr>
      </vt:variant>
      <vt:variant>
        <vt:lpwstr/>
      </vt:variant>
      <vt:variant>
        <vt:i4>6553694</vt:i4>
      </vt:variant>
      <vt:variant>
        <vt:i4>366</vt:i4>
      </vt:variant>
      <vt:variant>
        <vt:i4>0</vt:i4>
      </vt:variant>
      <vt:variant>
        <vt:i4>5</vt:i4>
      </vt:variant>
      <vt:variant>
        <vt:lpwstr>mailto:briant@sedcinc.net</vt:lpwstr>
      </vt:variant>
      <vt:variant>
        <vt:lpwstr/>
      </vt:variant>
      <vt:variant>
        <vt:i4>7274582</vt:i4>
      </vt:variant>
      <vt:variant>
        <vt:i4>363</vt:i4>
      </vt:variant>
      <vt:variant>
        <vt:i4>0</vt:i4>
      </vt:variant>
      <vt:variant>
        <vt:i4>5</vt:i4>
      </vt:variant>
      <vt:variant>
        <vt:lpwstr>mailto:nancyL@sedcinc.org</vt:lpwstr>
      </vt:variant>
      <vt:variant>
        <vt:lpwstr/>
      </vt:variant>
      <vt:variant>
        <vt:i4>6553694</vt:i4>
      </vt:variant>
      <vt:variant>
        <vt:i4>360</vt:i4>
      </vt:variant>
      <vt:variant>
        <vt:i4>0</vt:i4>
      </vt:variant>
      <vt:variant>
        <vt:i4>5</vt:i4>
      </vt:variant>
      <vt:variant>
        <vt:lpwstr>mailto:briant@sedcinc.net</vt:lpwstr>
      </vt:variant>
      <vt:variant>
        <vt:lpwstr/>
      </vt:variant>
      <vt:variant>
        <vt:i4>8126530</vt:i4>
      </vt:variant>
      <vt:variant>
        <vt:i4>357</vt:i4>
      </vt:variant>
      <vt:variant>
        <vt:i4>0</vt:i4>
      </vt:variant>
      <vt:variant>
        <vt:i4>5</vt:i4>
      </vt:variant>
      <vt:variant>
        <vt:lpwstr>mailto:lytlen@sedcinc.net</vt:lpwstr>
      </vt:variant>
      <vt:variant>
        <vt:lpwstr/>
      </vt:variant>
      <vt:variant>
        <vt:i4>7798856</vt:i4>
      </vt:variant>
      <vt:variant>
        <vt:i4>354</vt:i4>
      </vt:variant>
      <vt:variant>
        <vt:i4>0</vt:i4>
      </vt:variant>
      <vt:variant>
        <vt:i4>5</vt:i4>
      </vt:variant>
      <vt:variant>
        <vt:lpwstr>mailto:jerryG@sedcinc.org</vt:lpwstr>
      </vt:variant>
      <vt:variant>
        <vt:lpwstr/>
      </vt:variant>
      <vt:variant>
        <vt:i4>4063240</vt:i4>
      </vt:variant>
      <vt:variant>
        <vt:i4>351</vt:i4>
      </vt:variant>
      <vt:variant>
        <vt:i4>0</vt:i4>
      </vt:variant>
      <vt:variant>
        <vt:i4>5</vt:i4>
      </vt:variant>
      <vt:variant>
        <vt:lpwstr>mailto:kameyama@ccdc.com</vt:lpwstr>
      </vt:variant>
      <vt:variant>
        <vt:lpwstr/>
      </vt:variant>
      <vt:variant>
        <vt:i4>3735566</vt:i4>
      </vt:variant>
      <vt:variant>
        <vt:i4>348</vt:i4>
      </vt:variant>
      <vt:variant>
        <vt:i4>0</vt:i4>
      </vt:variant>
      <vt:variant>
        <vt:i4>5</vt:i4>
      </vt:variant>
      <vt:variant>
        <vt:lpwstr>mailto:jgraham@ccdc.com</vt:lpwstr>
      </vt:variant>
      <vt:variant>
        <vt:lpwstr/>
      </vt:variant>
      <vt:variant>
        <vt:i4>6094950</vt:i4>
      </vt:variant>
      <vt:variant>
        <vt:i4>345</vt:i4>
      </vt:variant>
      <vt:variant>
        <vt:i4>0</vt:i4>
      </vt:variant>
      <vt:variant>
        <vt:i4>5</vt:i4>
      </vt:variant>
      <vt:variant>
        <vt:lpwstr>mailto:abenjamin@sandiego.gov</vt:lpwstr>
      </vt:variant>
      <vt:variant>
        <vt:lpwstr/>
      </vt:variant>
      <vt:variant>
        <vt:i4>2949140</vt:i4>
      </vt:variant>
      <vt:variant>
        <vt:i4>342</vt:i4>
      </vt:variant>
      <vt:variant>
        <vt:i4>0</vt:i4>
      </vt:variant>
      <vt:variant>
        <vt:i4>5</vt:i4>
      </vt:variant>
      <vt:variant>
        <vt:lpwstr>mailto:planning@sandiego.gov</vt:lpwstr>
      </vt:variant>
      <vt:variant>
        <vt:lpwstr/>
      </vt:variant>
      <vt:variant>
        <vt:i4>4718696</vt:i4>
      </vt:variant>
      <vt:variant>
        <vt:i4>339</vt:i4>
      </vt:variant>
      <vt:variant>
        <vt:i4>0</vt:i4>
      </vt:variant>
      <vt:variant>
        <vt:i4>5</vt:i4>
      </vt:variant>
      <vt:variant>
        <vt:lpwstr>mailto:msbernard@sandiego.gov</vt:lpwstr>
      </vt:variant>
      <vt:variant>
        <vt:lpwstr/>
      </vt:variant>
      <vt:variant>
        <vt:i4>5439597</vt:i4>
      </vt:variant>
      <vt:variant>
        <vt:i4>336</vt:i4>
      </vt:variant>
      <vt:variant>
        <vt:i4>0</vt:i4>
      </vt:variant>
      <vt:variant>
        <vt:i4>5</vt:i4>
      </vt:variant>
      <vt:variant>
        <vt:lpwstr>mailto:jweinrick@sandiego.gov</vt:lpwstr>
      </vt:variant>
      <vt:variant>
        <vt:lpwstr/>
      </vt:variant>
      <vt:variant>
        <vt:i4>5439584</vt:i4>
      </vt:variant>
      <vt:variant>
        <vt:i4>333</vt:i4>
      </vt:variant>
      <vt:variant>
        <vt:i4>0</vt:i4>
      </vt:variant>
      <vt:variant>
        <vt:i4>5</vt:i4>
      </vt:variant>
      <vt:variant>
        <vt:lpwstr>mailto:NSBragado@sandiego.gov</vt:lpwstr>
      </vt:variant>
      <vt:variant>
        <vt:lpwstr/>
      </vt:variant>
      <vt:variant>
        <vt:i4>6226036</vt:i4>
      </vt:variant>
      <vt:variant>
        <vt:i4>330</vt:i4>
      </vt:variant>
      <vt:variant>
        <vt:i4>0</vt:i4>
      </vt:variant>
      <vt:variant>
        <vt:i4>5</vt:i4>
      </vt:variant>
      <vt:variant>
        <vt:lpwstr>mailto:andersonw@sandiego.gov</vt:lpwstr>
      </vt:variant>
      <vt:variant>
        <vt:lpwstr/>
      </vt:variant>
      <vt:variant>
        <vt:i4>2359354</vt:i4>
      </vt:variant>
      <vt:variant>
        <vt:i4>327</vt:i4>
      </vt:variant>
      <vt:variant>
        <vt:i4>0</vt:i4>
      </vt:variant>
      <vt:variant>
        <vt:i4>5</vt:i4>
      </vt:variant>
      <vt:variant>
        <vt:lpwstr>http://www.sandag.org/</vt:lpwstr>
      </vt:variant>
      <vt:variant>
        <vt:lpwstr/>
      </vt:variant>
      <vt:variant>
        <vt:i4>7733310</vt:i4>
      </vt:variant>
      <vt:variant>
        <vt:i4>324</vt:i4>
      </vt:variant>
      <vt:variant>
        <vt:i4>0</vt:i4>
      </vt:variant>
      <vt:variant>
        <vt:i4>5</vt:i4>
      </vt:variant>
      <vt:variant>
        <vt:lpwstr>http://www.sandiego.gov/economic-development/business-assistance/mapping.shtml</vt:lpwstr>
      </vt:variant>
      <vt:variant>
        <vt:lpwstr/>
      </vt:variant>
      <vt:variant>
        <vt:i4>7340103</vt:i4>
      </vt:variant>
      <vt:variant>
        <vt:i4>321</vt:i4>
      </vt:variant>
      <vt:variant>
        <vt:i4>0</vt:i4>
      </vt:variant>
      <vt:variant>
        <vt:i4>5</vt:i4>
      </vt:variant>
      <vt:variant>
        <vt:lpwstr>http://www.whorunsgov.com/index.php?title=Profiles/Shelley_Poticha</vt:lpwstr>
      </vt:variant>
      <vt:variant>
        <vt:lpwstr/>
      </vt:variant>
      <vt:variant>
        <vt:i4>1769475</vt:i4>
      </vt:variant>
      <vt:variant>
        <vt:i4>318</vt:i4>
      </vt:variant>
      <vt:variant>
        <vt:i4>0</vt:i4>
      </vt:variant>
      <vt:variant>
        <vt:i4>5</vt:i4>
      </vt:variant>
      <vt:variant>
        <vt:lpwstr>http://www.uli-la.org/tod-marketplace</vt:lpwstr>
      </vt:variant>
      <vt:variant>
        <vt:lpwstr/>
      </vt:variant>
      <vt:variant>
        <vt:i4>1769475</vt:i4>
      </vt:variant>
      <vt:variant>
        <vt:i4>315</vt:i4>
      </vt:variant>
      <vt:variant>
        <vt:i4>0</vt:i4>
      </vt:variant>
      <vt:variant>
        <vt:i4>5</vt:i4>
      </vt:variant>
      <vt:variant>
        <vt:lpwstr>http://www.uli-la.org/tod-marketplace</vt:lpwstr>
      </vt:variant>
      <vt:variant>
        <vt:lpwstr/>
      </vt:variant>
      <vt:variant>
        <vt:i4>1835104</vt:i4>
      </vt:variant>
      <vt:variant>
        <vt:i4>312</vt:i4>
      </vt:variant>
      <vt:variant>
        <vt:i4>0</vt:i4>
      </vt:variant>
      <vt:variant>
        <vt:i4>5</vt:i4>
      </vt:variant>
      <vt:variant>
        <vt:lpwstr>http://www.unep.org/labour_environment/PDFs/Greenjobs/UNEP-Green-Jobs-Report.pdf</vt:lpwstr>
      </vt:variant>
      <vt:variant>
        <vt:lpwstr/>
      </vt:variant>
      <vt:variant>
        <vt:i4>4390984</vt:i4>
      </vt:variant>
      <vt:variant>
        <vt:i4>309</vt:i4>
      </vt:variant>
      <vt:variant>
        <vt:i4>0</vt:i4>
      </vt:variant>
      <vt:variant>
        <vt:i4>5</vt:i4>
      </vt:variant>
      <vt:variant>
        <vt:lpwstr>http://www.builderonline.com/land-planning/hud-dot-join-forces-to-promote-sustainable-communities.asp</vt:lpwstr>
      </vt:variant>
      <vt:variant>
        <vt:lpwstr/>
      </vt:variant>
      <vt:variant>
        <vt:i4>8257574</vt:i4>
      </vt:variant>
      <vt:variant>
        <vt:i4>306</vt:i4>
      </vt:variant>
      <vt:variant>
        <vt:i4>0</vt:i4>
      </vt:variant>
      <vt:variant>
        <vt:i4>5</vt:i4>
      </vt:variant>
      <vt:variant>
        <vt:lpwstr>http://www.reconnectingamerica.org//Reports</vt:lpwstr>
      </vt:variant>
      <vt:variant>
        <vt:lpwstr/>
      </vt:variant>
      <vt:variant>
        <vt:i4>4849706</vt:i4>
      </vt:variant>
      <vt:variant>
        <vt:i4>303</vt:i4>
      </vt:variant>
      <vt:variant>
        <vt:i4>0</vt:i4>
      </vt:variant>
      <vt:variant>
        <vt:i4>5</vt:i4>
      </vt:variant>
      <vt:variant>
        <vt:lpwstr>http://www.p4sc.org/AB_32_and_SB_375_Primer.html</vt:lpwstr>
      </vt:variant>
      <vt:variant>
        <vt:lpwstr/>
      </vt:variant>
      <vt:variant>
        <vt:i4>5898275</vt:i4>
      </vt:variant>
      <vt:variant>
        <vt:i4>300</vt:i4>
      </vt:variant>
      <vt:variant>
        <vt:i4>0</vt:i4>
      </vt:variant>
      <vt:variant>
        <vt:i4>5</vt:i4>
      </vt:variant>
      <vt:variant>
        <vt:lpwstr>http://p4sc.org/Excerpts_from_HUD_Budget.html</vt:lpwstr>
      </vt:variant>
      <vt:variant>
        <vt:lpwstr/>
      </vt:variant>
      <vt:variant>
        <vt:i4>5242973</vt:i4>
      </vt:variant>
      <vt:variant>
        <vt:i4>297</vt:i4>
      </vt:variant>
      <vt:variant>
        <vt:i4>0</vt:i4>
      </vt:variant>
      <vt:variant>
        <vt:i4>5</vt:i4>
      </vt:variant>
      <vt:variant>
        <vt:lpwstr>http://www.movesandiego.org/</vt:lpwstr>
      </vt:variant>
      <vt:variant>
        <vt:lpwstr/>
      </vt:variant>
      <vt:variant>
        <vt:i4>983124</vt:i4>
      </vt:variant>
      <vt:variant>
        <vt:i4>294</vt:i4>
      </vt:variant>
      <vt:variant>
        <vt:i4>0</vt:i4>
      </vt:variant>
      <vt:variant>
        <vt:i4>5</vt:i4>
      </vt:variant>
      <vt:variant>
        <vt:lpwstr>http://www.brookings.edu/speeches/2009/0212_housing_katz.aspx</vt:lpwstr>
      </vt:variant>
      <vt:variant>
        <vt:lpwstr/>
      </vt:variant>
      <vt:variant>
        <vt:i4>5111846</vt:i4>
      </vt:variant>
      <vt:variant>
        <vt:i4>291</vt:i4>
      </vt:variant>
      <vt:variant>
        <vt:i4>0</vt:i4>
      </vt:variant>
      <vt:variant>
        <vt:i4>5</vt:i4>
      </vt:variant>
      <vt:variant>
        <vt:lpwstr>http://www.brookings.edu/opinions/2009/1120_infrastructure_katz_puentes.aspx</vt:lpwstr>
      </vt:variant>
      <vt:variant>
        <vt:lpwstr/>
      </vt:variant>
      <vt:variant>
        <vt:i4>786523</vt:i4>
      </vt:variant>
      <vt:variant>
        <vt:i4>288</vt:i4>
      </vt:variant>
      <vt:variant>
        <vt:i4>0</vt:i4>
      </vt:variant>
      <vt:variant>
        <vt:i4>5</vt:i4>
      </vt:variant>
      <vt:variant>
        <vt:lpwstr>http://www.brookings.edu/speeches/2009/0629_housing_katz.aspx</vt:lpwstr>
      </vt:variant>
      <vt:variant>
        <vt:lpwstr/>
      </vt:variant>
      <vt:variant>
        <vt:i4>7602217</vt:i4>
      </vt:variant>
      <vt:variant>
        <vt:i4>285</vt:i4>
      </vt:variant>
      <vt:variant>
        <vt:i4>0</vt:i4>
      </vt:variant>
      <vt:variant>
        <vt:i4>5</vt:i4>
      </vt:variant>
      <vt:variant>
        <vt:lpwstr>http://www.govtrack.us/congress/bill.xpd?bill=h111-3288</vt:lpwstr>
      </vt:variant>
      <vt:variant>
        <vt:lpwstr/>
      </vt:variant>
      <vt:variant>
        <vt:i4>3538995</vt:i4>
      </vt:variant>
      <vt:variant>
        <vt:i4>282</vt:i4>
      </vt:variant>
      <vt:variant>
        <vt:i4>0</vt:i4>
      </vt:variant>
      <vt:variant>
        <vt:i4>5</vt:i4>
      </vt:variant>
      <vt:variant>
        <vt:lpwstr>http://www.brookings.edu/topics/us-department-of-housing-and-urban-development.aspx?p=1</vt:lpwstr>
      </vt:variant>
      <vt:variant>
        <vt:lpwstr/>
      </vt:variant>
      <vt:variant>
        <vt:i4>3407983</vt:i4>
      </vt:variant>
      <vt:variant>
        <vt:i4>279</vt:i4>
      </vt:variant>
      <vt:variant>
        <vt:i4>0</vt:i4>
      </vt:variant>
      <vt:variant>
        <vt:i4>5</vt:i4>
      </vt:variant>
      <vt:variant>
        <vt:lpwstr>http://brookings.edu/press/Books/2007/revisitingrentalhousing.aspx</vt:lpwstr>
      </vt:variant>
      <vt:variant>
        <vt:lpwstr/>
      </vt:variant>
      <vt:variant>
        <vt:i4>4849753</vt:i4>
      </vt:variant>
      <vt:variant>
        <vt:i4>276</vt:i4>
      </vt:variant>
      <vt:variant>
        <vt:i4>0</vt:i4>
      </vt:variant>
      <vt:variant>
        <vt:i4>5</vt:i4>
      </vt:variant>
      <vt:variant>
        <vt:lpwstr>http://www.brookings.edu/events/2009/2010_infrastructure_schwartz.aspx?p=1</vt:lpwstr>
      </vt:variant>
      <vt:variant>
        <vt:lpwstr/>
      </vt:variant>
      <vt:variant>
        <vt:i4>524402</vt:i4>
      </vt:variant>
      <vt:variant>
        <vt:i4>273</vt:i4>
      </vt:variant>
      <vt:variant>
        <vt:i4>0</vt:i4>
      </vt:variant>
      <vt:variant>
        <vt:i4>5</vt:i4>
      </vt:variant>
      <vt:variant>
        <vt:lpwstr>http://www.brookings.edu/opinions/2009/0513_obama_budget_bradley.aspx</vt:lpwstr>
      </vt:variant>
      <vt:variant>
        <vt:lpwstr/>
      </vt:variant>
      <vt:variant>
        <vt:i4>5505105</vt:i4>
      </vt:variant>
      <vt:variant>
        <vt:i4>270</vt:i4>
      </vt:variant>
      <vt:variant>
        <vt:i4>0</vt:i4>
      </vt:variant>
      <vt:variant>
        <vt:i4>5</vt:i4>
      </vt:variant>
      <vt:variant>
        <vt:lpwstr>http://www.sdhc.org/About</vt:lpwstr>
      </vt:variant>
      <vt:variant>
        <vt:lpwstr/>
      </vt:variant>
      <vt:variant>
        <vt:i4>3276903</vt:i4>
      </vt:variant>
      <vt:variant>
        <vt:i4>267</vt:i4>
      </vt:variant>
      <vt:variant>
        <vt:i4>0</vt:i4>
      </vt:variant>
      <vt:variant>
        <vt:i4>5</vt:i4>
      </vt:variant>
      <vt:variant>
        <vt:lpwstr>http://www.sandiego.gov/redevelopment-agency/projarea.shtml</vt:lpwstr>
      </vt:variant>
      <vt:variant>
        <vt:lpwstr/>
      </vt:variant>
      <vt:variant>
        <vt:i4>2293780</vt:i4>
      </vt:variant>
      <vt:variant>
        <vt:i4>264</vt:i4>
      </vt:variant>
      <vt:variant>
        <vt:i4>0</vt:i4>
      </vt:variant>
      <vt:variant>
        <vt:i4>5</vt:i4>
      </vt:variant>
      <vt:variant>
        <vt:lpwstr>http://www.sdmts.com/MTS/About_MTS.asp</vt:lpwstr>
      </vt:variant>
      <vt:variant>
        <vt:lpwstr/>
      </vt:variant>
      <vt:variant>
        <vt:i4>5636174</vt:i4>
      </vt:variant>
      <vt:variant>
        <vt:i4>261</vt:i4>
      </vt:variant>
      <vt:variant>
        <vt:i4>0</vt:i4>
      </vt:variant>
      <vt:variant>
        <vt:i4>5</vt:i4>
      </vt:variant>
      <vt:variant>
        <vt:lpwstr>http://www.sandiego.gov/</vt:lpwstr>
      </vt:variant>
      <vt:variant>
        <vt:lpwstr/>
      </vt:variant>
      <vt:variant>
        <vt:i4>3604513</vt:i4>
      </vt:variant>
      <vt:variant>
        <vt:i4>258</vt:i4>
      </vt:variant>
      <vt:variant>
        <vt:i4>0</vt:i4>
      </vt:variant>
      <vt:variant>
        <vt:i4>5</vt:i4>
      </vt:variant>
      <vt:variant>
        <vt:lpwstr>http://www.scanph.org/node/1964</vt:lpwstr>
      </vt:variant>
      <vt:variant>
        <vt:lpwstr/>
      </vt:variant>
      <vt:variant>
        <vt:i4>2359354</vt:i4>
      </vt:variant>
      <vt:variant>
        <vt:i4>255</vt:i4>
      </vt:variant>
      <vt:variant>
        <vt:i4>0</vt:i4>
      </vt:variant>
      <vt:variant>
        <vt:i4>5</vt:i4>
      </vt:variant>
      <vt:variant>
        <vt:lpwstr>http://www.sandag.org/</vt:lpwstr>
      </vt:variant>
      <vt:variant>
        <vt:lpwstr/>
      </vt:variant>
      <vt:variant>
        <vt:i4>4259859</vt:i4>
      </vt:variant>
      <vt:variant>
        <vt:i4>252</vt:i4>
      </vt:variant>
      <vt:variant>
        <vt:i4>0</vt:i4>
      </vt:variant>
      <vt:variant>
        <vt:i4>5</vt:i4>
      </vt:variant>
      <vt:variant>
        <vt:lpwstr>http://www.sandag.org/index.asp?projectid=296&amp;fuseaction=projects.detail</vt:lpwstr>
      </vt:variant>
      <vt:variant>
        <vt:lpwstr/>
      </vt:variant>
      <vt:variant>
        <vt:i4>6684704</vt:i4>
      </vt:variant>
      <vt:variant>
        <vt:i4>249</vt:i4>
      </vt:variant>
      <vt:variant>
        <vt:i4>0</vt:i4>
      </vt:variant>
      <vt:variant>
        <vt:i4>5</vt:i4>
      </vt:variant>
      <vt:variant>
        <vt:lpwstr>http://transitorienteddevelopment.dot.ca.gov/miscellaneous/StatewideTOD.htm</vt:lpwstr>
      </vt:variant>
      <vt:variant>
        <vt:lpwstr/>
      </vt:variant>
      <vt:variant>
        <vt:i4>5046364</vt:i4>
      </vt:variant>
      <vt:variant>
        <vt:i4>246</vt:i4>
      </vt:variant>
      <vt:variant>
        <vt:i4>0</vt:i4>
      </vt:variant>
      <vt:variant>
        <vt:i4>5</vt:i4>
      </vt:variant>
      <vt:variant>
        <vt:lpwstr>http://transitorienteddevelopment.dot.ca.gov/</vt:lpwstr>
      </vt:variant>
      <vt:variant>
        <vt:lpwstr/>
      </vt:variant>
      <vt:variant>
        <vt:i4>5963851</vt:i4>
      </vt:variant>
      <vt:variant>
        <vt:i4>243</vt:i4>
      </vt:variant>
      <vt:variant>
        <vt:i4>0</vt:i4>
      </vt:variant>
      <vt:variant>
        <vt:i4>5</vt:i4>
      </vt:variant>
      <vt:variant>
        <vt:lpwstr>http://www.hcd.ca.gov/fa/tod/</vt:lpwstr>
      </vt:variant>
      <vt:variant>
        <vt:lpwstr/>
      </vt:variant>
      <vt:variant>
        <vt:i4>3670143</vt:i4>
      </vt:variant>
      <vt:variant>
        <vt:i4>240</vt:i4>
      </vt:variant>
      <vt:variant>
        <vt:i4>0</vt:i4>
      </vt:variant>
      <vt:variant>
        <vt:i4>5</vt:i4>
      </vt:variant>
      <vt:variant>
        <vt:lpwstr>http://yosemite.epa.gov/opa/admpress.nsf/0/F500561FBB8D5A08852575D700501350</vt:lpwstr>
      </vt:variant>
      <vt:variant>
        <vt:lpwstr/>
      </vt:variant>
      <vt:variant>
        <vt:i4>6815807</vt:i4>
      </vt:variant>
      <vt:variant>
        <vt:i4>237</vt:i4>
      </vt:variant>
      <vt:variant>
        <vt:i4>0</vt:i4>
      </vt:variant>
      <vt:variant>
        <vt:i4>5</vt:i4>
      </vt:variant>
      <vt:variant>
        <vt:lpwstr>http://www.epa.gov/dced/partnership/index.html</vt:lpwstr>
      </vt:variant>
      <vt:variant>
        <vt:lpwstr/>
      </vt:variant>
      <vt:variant>
        <vt:i4>4390943</vt:i4>
      </vt:variant>
      <vt:variant>
        <vt:i4>234</vt:i4>
      </vt:variant>
      <vt:variant>
        <vt:i4>0</vt:i4>
      </vt:variant>
      <vt:variant>
        <vt:i4>5</vt:i4>
      </vt:variant>
      <vt:variant>
        <vt:lpwstr>http://www.hud.gov/offices/cpd/about/conplan/tod.cfm</vt:lpwstr>
      </vt:variant>
      <vt:variant>
        <vt:lpwstr/>
      </vt:variant>
      <vt:variant>
        <vt:i4>4194307</vt:i4>
      </vt:variant>
      <vt:variant>
        <vt:i4>231</vt:i4>
      </vt:variant>
      <vt:variant>
        <vt:i4>0</vt:i4>
      </vt:variant>
      <vt:variant>
        <vt:i4>5</vt:i4>
      </vt:variant>
      <vt:variant>
        <vt:lpwstr>http://www.hud.gov/offices/cir/test090616.cfm</vt:lpwstr>
      </vt:variant>
      <vt:variant>
        <vt:lpwstr/>
      </vt:variant>
      <vt:variant>
        <vt:i4>3538961</vt:i4>
      </vt:variant>
      <vt:variant>
        <vt:i4>228</vt:i4>
      </vt:variant>
      <vt:variant>
        <vt:i4>0</vt:i4>
      </vt:variant>
      <vt:variant>
        <vt:i4>5</vt:i4>
      </vt:variant>
      <vt:variant>
        <vt:lpwstr>http://portal.hud.gov/portal/page/portal/HUD/press/press_releases_media_advisories/2009/HUDNo.2009</vt:lpwstr>
      </vt:variant>
      <vt:variant>
        <vt:lpwstr/>
      </vt:variant>
      <vt:variant>
        <vt:i4>1507357</vt:i4>
      </vt:variant>
      <vt:variant>
        <vt:i4>225</vt:i4>
      </vt:variant>
      <vt:variant>
        <vt:i4>0</vt:i4>
      </vt:variant>
      <vt:variant>
        <vt:i4>5</vt:i4>
      </vt:variant>
      <vt:variant>
        <vt:lpwstr>http://portal.hud.gov/portal/page/portal/HUD/press/press_releases_media_advisories/denver_visit</vt:lpwstr>
      </vt:variant>
      <vt:variant>
        <vt:lpwstr/>
      </vt:variant>
      <vt:variant>
        <vt:i4>2621480</vt:i4>
      </vt:variant>
      <vt:variant>
        <vt:i4>222</vt:i4>
      </vt:variant>
      <vt:variant>
        <vt:i4>0</vt:i4>
      </vt:variant>
      <vt:variant>
        <vt:i4>5</vt:i4>
      </vt:variant>
      <vt:variant>
        <vt:lpwstr>http://www.hud.gov/budgetsummary2010/index.cfm</vt:lpwstr>
      </vt:variant>
      <vt:variant>
        <vt:lpwstr/>
      </vt:variant>
      <vt:variant>
        <vt:i4>4849769</vt:i4>
      </vt:variant>
      <vt:variant>
        <vt:i4>219</vt:i4>
      </vt:variant>
      <vt:variant>
        <vt:i4>0</vt:i4>
      </vt:variant>
      <vt:variant>
        <vt:i4>5</vt:i4>
      </vt:variant>
      <vt:variant>
        <vt:lpwstr>http://portal.hud.gov/portal/page/portal/HUD/about/principal_staff/deputy_secretary_sims</vt:lpwstr>
      </vt:variant>
      <vt:variant>
        <vt:lpwstr/>
      </vt:variant>
      <vt:variant>
        <vt:i4>1769485</vt:i4>
      </vt:variant>
      <vt:variant>
        <vt:i4>216</vt:i4>
      </vt:variant>
      <vt:variant>
        <vt:i4>0</vt:i4>
      </vt:variant>
      <vt:variant>
        <vt:i4>5</vt:i4>
      </vt:variant>
      <vt:variant>
        <vt:lpwstr>http://www.nahro.org/members/news/2009/091214.cfm</vt:lpwstr>
      </vt:variant>
      <vt:variant>
        <vt:lpwstr/>
      </vt:variant>
      <vt:variant>
        <vt:i4>7012414</vt:i4>
      </vt:variant>
      <vt:variant>
        <vt:i4>213</vt:i4>
      </vt:variant>
      <vt:variant>
        <vt:i4>0</vt:i4>
      </vt:variant>
      <vt:variant>
        <vt:i4>5</vt:i4>
      </vt:variant>
      <vt:variant>
        <vt:lpwstr>http://www.hud.gov/news/release.cfm?CFTOKEN=29614343&amp;CFID=20245877&amp;CONTENT=pr09-130.cfm</vt:lpwstr>
      </vt:variant>
      <vt:variant>
        <vt:lpwstr/>
      </vt:variant>
      <vt:variant>
        <vt:i4>7274609</vt:i4>
      </vt:variant>
      <vt:variant>
        <vt:i4>207</vt:i4>
      </vt:variant>
      <vt:variant>
        <vt:i4>0</vt:i4>
      </vt:variant>
      <vt:variant>
        <vt:i4>5</vt:i4>
      </vt:variant>
      <vt:variant>
        <vt:lpwstr>http://sgc.ca.gov/docs/funding/PGIP-guidelines2011.pdf</vt:lpwstr>
      </vt:variant>
      <vt:variant>
        <vt:lpwstr/>
      </vt:variant>
      <vt:variant>
        <vt:i4>1507386</vt:i4>
      </vt:variant>
      <vt:variant>
        <vt:i4>200</vt:i4>
      </vt:variant>
      <vt:variant>
        <vt:i4>0</vt:i4>
      </vt:variant>
      <vt:variant>
        <vt:i4>5</vt:i4>
      </vt:variant>
      <vt:variant>
        <vt:lpwstr/>
      </vt:variant>
      <vt:variant>
        <vt:lpwstr>_Toc278360646</vt:lpwstr>
      </vt:variant>
      <vt:variant>
        <vt:i4>1507386</vt:i4>
      </vt:variant>
      <vt:variant>
        <vt:i4>194</vt:i4>
      </vt:variant>
      <vt:variant>
        <vt:i4>0</vt:i4>
      </vt:variant>
      <vt:variant>
        <vt:i4>5</vt:i4>
      </vt:variant>
      <vt:variant>
        <vt:lpwstr/>
      </vt:variant>
      <vt:variant>
        <vt:lpwstr>_Toc278360645</vt:lpwstr>
      </vt:variant>
      <vt:variant>
        <vt:i4>1507386</vt:i4>
      </vt:variant>
      <vt:variant>
        <vt:i4>188</vt:i4>
      </vt:variant>
      <vt:variant>
        <vt:i4>0</vt:i4>
      </vt:variant>
      <vt:variant>
        <vt:i4>5</vt:i4>
      </vt:variant>
      <vt:variant>
        <vt:lpwstr/>
      </vt:variant>
      <vt:variant>
        <vt:lpwstr>_Toc278360644</vt:lpwstr>
      </vt:variant>
      <vt:variant>
        <vt:i4>1507386</vt:i4>
      </vt:variant>
      <vt:variant>
        <vt:i4>182</vt:i4>
      </vt:variant>
      <vt:variant>
        <vt:i4>0</vt:i4>
      </vt:variant>
      <vt:variant>
        <vt:i4>5</vt:i4>
      </vt:variant>
      <vt:variant>
        <vt:lpwstr/>
      </vt:variant>
      <vt:variant>
        <vt:lpwstr>_Toc278360643</vt:lpwstr>
      </vt:variant>
      <vt:variant>
        <vt:i4>1507386</vt:i4>
      </vt:variant>
      <vt:variant>
        <vt:i4>176</vt:i4>
      </vt:variant>
      <vt:variant>
        <vt:i4>0</vt:i4>
      </vt:variant>
      <vt:variant>
        <vt:i4>5</vt:i4>
      </vt:variant>
      <vt:variant>
        <vt:lpwstr/>
      </vt:variant>
      <vt:variant>
        <vt:lpwstr>_Toc278360642</vt:lpwstr>
      </vt:variant>
      <vt:variant>
        <vt:i4>1507386</vt:i4>
      </vt:variant>
      <vt:variant>
        <vt:i4>170</vt:i4>
      </vt:variant>
      <vt:variant>
        <vt:i4>0</vt:i4>
      </vt:variant>
      <vt:variant>
        <vt:i4>5</vt:i4>
      </vt:variant>
      <vt:variant>
        <vt:lpwstr/>
      </vt:variant>
      <vt:variant>
        <vt:lpwstr>_Toc278360641</vt:lpwstr>
      </vt:variant>
      <vt:variant>
        <vt:i4>1507386</vt:i4>
      </vt:variant>
      <vt:variant>
        <vt:i4>164</vt:i4>
      </vt:variant>
      <vt:variant>
        <vt:i4>0</vt:i4>
      </vt:variant>
      <vt:variant>
        <vt:i4>5</vt:i4>
      </vt:variant>
      <vt:variant>
        <vt:lpwstr/>
      </vt:variant>
      <vt:variant>
        <vt:lpwstr>_Toc278360640</vt:lpwstr>
      </vt:variant>
      <vt:variant>
        <vt:i4>1048634</vt:i4>
      </vt:variant>
      <vt:variant>
        <vt:i4>158</vt:i4>
      </vt:variant>
      <vt:variant>
        <vt:i4>0</vt:i4>
      </vt:variant>
      <vt:variant>
        <vt:i4>5</vt:i4>
      </vt:variant>
      <vt:variant>
        <vt:lpwstr/>
      </vt:variant>
      <vt:variant>
        <vt:lpwstr>_Toc278360639</vt:lpwstr>
      </vt:variant>
      <vt:variant>
        <vt:i4>1048634</vt:i4>
      </vt:variant>
      <vt:variant>
        <vt:i4>152</vt:i4>
      </vt:variant>
      <vt:variant>
        <vt:i4>0</vt:i4>
      </vt:variant>
      <vt:variant>
        <vt:i4>5</vt:i4>
      </vt:variant>
      <vt:variant>
        <vt:lpwstr/>
      </vt:variant>
      <vt:variant>
        <vt:lpwstr>_Toc278360638</vt:lpwstr>
      </vt:variant>
      <vt:variant>
        <vt:i4>1048634</vt:i4>
      </vt:variant>
      <vt:variant>
        <vt:i4>146</vt:i4>
      </vt:variant>
      <vt:variant>
        <vt:i4>0</vt:i4>
      </vt:variant>
      <vt:variant>
        <vt:i4>5</vt:i4>
      </vt:variant>
      <vt:variant>
        <vt:lpwstr/>
      </vt:variant>
      <vt:variant>
        <vt:lpwstr>_Toc278360637</vt:lpwstr>
      </vt:variant>
      <vt:variant>
        <vt:i4>1048634</vt:i4>
      </vt:variant>
      <vt:variant>
        <vt:i4>140</vt:i4>
      </vt:variant>
      <vt:variant>
        <vt:i4>0</vt:i4>
      </vt:variant>
      <vt:variant>
        <vt:i4>5</vt:i4>
      </vt:variant>
      <vt:variant>
        <vt:lpwstr/>
      </vt:variant>
      <vt:variant>
        <vt:lpwstr>_Toc278360636</vt:lpwstr>
      </vt:variant>
      <vt:variant>
        <vt:i4>1048634</vt:i4>
      </vt:variant>
      <vt:variant>
        <vt:i4>134</vt:i4>
      </vt:variant>
      <vt:variant>
        <vt:i4>0</vt:i4>
      </vt:variant>
      <vt:variant>
        <vt:i4>5</vt:i4>
      </vt:variant>
      <vt:variant>
        <vt:lpwstr/>
      </vt:variant>
      <vt:variant>
        <vt:lpwstr>_Toc278360635</vt:lpwstr>
      </vt:variant>
      <vt:variant>
        <vt:i4>1048634</vt:i4>
      </vt:variant>
      <vt:variant>
        <vt:i4>128</vt:i4>
      </vt:variant>
      <vt:variant>
        <vt:i4>0</vt:i4>
      </vt:variant>
      <vt:variant>
        <vt:i4>5</vt:i4>
      </vt:variant>
      <vt:variant>
        <vt:lpwstr/>
      </vt:variant>
      <vt:variant>
        <vt:lpwstr>_Toc278360634</vt:lpwstr>
      </vt:variant>
      <vt:variant>
        <vt:i4>1048634</vt:i4>
      </vt:variant>
      <vt:variant>
        <vt:i4>122</vt:i4>
      </vt:variant>
      <vt:variant>
        <vt:i4>0</vt:i4>
      </vt:variant>
      <vt:variant>
        <vt:i4>5</vt:i4>
      </vt:variant>
      <vt:variant>
        <vt:lpwstr/>
      </vt:variant>
      <vt:variant>
        <vt:lpwstr>_Toc278360633</vt:lpwstr>
      </vt:variant>
      <vt:variant>
        <vt:i4>1048634</vt:i4>
      </vt:variant>
      <vt:variant>
        <vt:i4>116</vt:i4>
      </vt:variant>
      <vt:variant>
        <vt:i4>0</vt:i4>
      </vt:variant>
      <vt:variant>
        <vt:i4>5</vt:i4>
      </vt:variant>
      <vt:variant>
        <vt:lpwstr/>
      </vt:variant>
      <vt:variant>
        <vt:lpwstr>_Toc278360632</vt:lpwstr>
      </vt:variant>
      <vt:variant>
        <vt:i4>1048634</vt:i4>
      </vt:variant>
      <vt:variant>
        <vt:i4>110</vt:i4>
      </vt:variant>
      <vt:variant>
        <vt:i4>0</vt:i4>
      </vt:variant>
      <vt:variant>
        <vt:i4>5</vt:i4>
      </vt:variant>
      <vt:variant>
        <vt:lpwstr/>
      </vt:variant>
      <vt:variant>
        <vt:lpwstr>_Toc278360631</vt:lpwstr>
      </vt:variant>
      <vt:variant>
        <vt:i4>1048634</vt:i4>
      </vt:variant>
      <vt:variant>
        <vt:i4>104</vt:i4>
      </vt:variant>
      <vt:variant>
        <vt:i4>0</vt:i4>
      </vt:variant>
      <vt:variant>
        <vt:i4>5</vt:i4>
      </vt:variant>
      <vt:variant>
        <vt:lpwstr/>
      </vt:variant>
      <vt:variant>
        <vt:lpwstr>_Toc278360630</vt:lpwstr>
      </vt:variant>
      <vt:variant>
        <vt:i4>1114170</vt:i4>
      </vt:variant>
      <vt:variant>
        <vt:i4>98</vt:i4>
      </vt:variant>
      <vt:variant>
        <vt:i4>0</vt:i4>
      </vt:variant>
      <vt:variant>
        <vt:i4>5</vt:i4>
      </vt:variant>
      <vt:variant>
        <vt:lpwstr/>
      </vt:variant>
      <vt:variant>
        <vt:lpwstr>_Toc278360629</vt:lpwstr>
      </vt:variant>
      <vt:variant>
        <vt:i4>1114170</vt:i4>
      </vt:variant>
      <vt:variant>
        <vt:i4>92</vt:i4>
      </vt:variant>
      <vt:variant>
        <vt:i4>0</vt:i4>
      </vt:variant>
      <vt:variant>
        <vt:i4>5</vt:i4>
      </vt:variant>
      <vt:variant>
        <vt:lpwstr/>
      </vt:variant>
      <vt:variant>
        <vt:lpwstr>_Toc278360628</vt:lpwstr>
      </vt:variant>
      <vt:variant>
        <vt:i4>1114170</vt:i4>
      </vt:variant>
      <vt:variant>
        <vt:i4>86</vt:i4>
      </vt:variant>
      <vt:variant>
        <vt:i4>0</vt:i4>
      </vt:variant>
      <vt:variant>
        <vt:i4>5</vt:i4>
      </vt:variant>
      <vt:variant>
        <vt:lpwstr/>
      </vt:variant>
      <vt:variant>
        <vt:lpwstr>_Toc278360627</vt:lpwstr>
      </vt:variant>
      <vt:variant>
        <vt:i4>1114170</vt:i4>
      </vt:variant>
      <vt:variant>
        <vt:i4>80</vt:i4>
      </vt:variant>
      <vt:variant>
        <vt:i4>0</vt:i4>
      </vt:variant>
      <vt:variant>
        <vt:i4>5</vt:i4>
      </vt:variant>
      <vt:variant>
        <vt:lpwstr/>
      </vt:variant>
      <vt:variant>
        <vt:lpwstr>_Toc278360626</vt:lpwstr>
      </vt:variant>
      <vt:variant>
        <vt:i4>1114170</vt:i4>
      </vt:variant>
      <vt:variant>
        <vt:i4>74</vt:i4>
      </vt:variant>
      <vt:variant>
        <vt:i4>0</vt:i4>
      </vt:variant>
      <vt:variant>
        <vt:i4>5</vt:i4>
      </vt:variant>
      <vt:variant>
        <vt:lpwstr/>
      </vt:variant>
      <vt:variant>
        <vt:lpwstr>_Toc278360625</vt:lpwstr>
      </vt:variant>
      <vt:variant>
        <vt:i4>1114170</vt:i4>
      </vt:variant>
      <vt:variant>
        <vt:i4>68</vt:i4>
      </vt:variant>
      <vt:variant>
        <vt:i4>0</vt:i4>
      </vt:variant>
      <vt:variant>
        <vt:i4>5</vt:i4>
      </vt:variant>
      <vt:variant>
        <vt:lpwstr/>
      </vt:variant>
      <vt:variant>
        <vt:lpwstr>_Toc278360624</vt:lpwstr>
      </vt:variant>
      <vt:variant>
        <vt:i4>1114170</vt:i4>
      </vt:variant>
      <vt:variant>
        <vt:i4>62</vt:i4>
      </vt:variant>
      <vt:variant>
        <vt:i4>0</vt:i4>
      </vt:variant>
      <vt:variant>
        <vt:i4>5</vt:i4>
      </vt:variant>
      <vt:variant>
        <vt:lpwstr/>
      </vt:variant>
      <vt:variant>
        <vt:lpwstr>_Toc278360623</vt:lpwstr>
      </vt:variant>
      <vt:variant>
        <vt:i4>1114170</vt:i4>
      </vt:variant>
      <vt:variant>
        <vt:i4>56</vt:i4>
      </vt:variant>
      <vt:variant>
        <vt:i4>0</vt:i4>
      </vt:variant>
      <vt:variant>
        <vt:i4>5</vt:i4>
      </vt:variant>
      <vt:variant>
        <vt:lpwstr/>
      </vt:variant>
      <vt:variant>
        <vt:lpwstr>_Toc278360622</vt:lpwstr>
      </vt:variant>
      <vt:variant>
        <vt:i4>1114170</vt:i4>
      </vt:variant>
      <vt:variant>
        <vt:i4>50</vt:i4>
      </vt:variant>
      <vt:variant>
        <vt:i4>0</vt:i4>
      </vt:variant>
      <vt:variant>
        <vt:i4>5</vt:i4>
      </vt:variant>
      <vt:variant>
        <vt:lpwstr/>
      </vt:variant>
      <vt:variant>
        <vt:lpwstr>_Toc278360621</vt:lpwstr>
      </vt:variant>
      <vt:variant>
        <vt:i4>1114170</vt:i4>
      </vt:variant>
      <vt:variant>
        <vt:i4>44</vt:i4>
      </vt:variant>
      <vt:variant>
        <vt:i4>0</vt:i4>
      </vt:variant>
      <vt:variant>
        <vt:i4>5</vt:i4>
      </vt:variant>
      <vt:variant>
        <vt:lpwstr/>
      </vt:variant>
      <vt:variant>
        <vt:lpwstr>_Toc278360620</vt:lpwstr>
      </vt:variant>
      <vt:variant>
        <vt:i4>1179706</vt:i4>
      </vt:variant>
      <vt:variant>
        <vt:i4>38</vt:i4>
      </vt:variant>
      <vt:variant>
        <vt:i4>0</vt:i4>
      </vt:variant>
      <vt:variant>
        <vt:i4>5</vt:i4>
      </vt:variant>
      <vt:variant>
        <vt:lpwstr/>
      </vt:variant>
      <vt:variant>
        <vt:lpwstr>_Toc278360619</vt:lpwstr>
      </vt:variant>
      <vt:variant>
        <vt:i4>1179706</vt:i4>
      </vt:variant>
      <vt:variant>
        <vt:i4>32</vt:i4>
      </vt:variant>
      <vt:variant>
        <vt:i4>0</vt:i4>
      </vt:variant>
      <vt:variant>
        <vt:i4>5</vt:i4>
      </vt:variant>
      <vt:variant>
        <vt:lpwstr/>
      </vt:variant>
      <vt:variant>
        <vt:lpwstr>_Toc278360618</vt:lpwstr>
      </vt:variant>
      <vt:variant>
        <vt:i4>1179706</vt:i4>
      </vt:variant>
      <vt:variant>
        <vt:i4>26</vt:i4>
      </vt:variant>
      <vt:variant>
        <vt:i4>0</vt:i4>
      </vt:variant>
      <vt:variant>
        <vt:i4>5</vt:i4>
      </vt:variant>
      <vt:variant>
        <vt:lpwstr/>
      </vt:variant>
      <vt:variant>
        <vt:lpwstr>_Toc278360617</vt:lpwstr>
      </vt:variant>
      <vt:variant>
        <vt:i4>1179706</vt:i4>
      </vt:variant>
      <vt:variant>
        <vt:i4>20</vt:i4>
      </vt:variant>
      <vt:variant>
        <vt:i4>0</vt:i4>
      </vt:variant>
      <vt:variant>
        <vt:i4>5</vt:i4>
      </vt:variant>
      <vt:variant>
        <vt:lpwstr/>
      </vt:variant>
      <vt:variant>
        <vt:lpwstr>_Toc278360616</vt:lpwstr>
      </vt:variant>
      <vt:variant>
        <vt:i4>1179706</vt:i4>
      </vt:variant>
      <vt:variant>
        <vt:i4>14</vt:i4>
      </vt:variant>
      <vt:variant>
        <vt:i4>0</vt:i4>
      </vt:variant>
      <vt:variant>
        <vt:i4>5</vt:i4>
      </vt:variant>
      <vt:variant>
        <vt:lpwstr/>
      </vt:variant>
      <vt:variant>
        <vt:lpwstr>_Toc278360615</vt:lpwstr>
      </vt:variant>
      <vt:variant>
        <vt:i4>1179706</vt:i4>
      </vt:variant>
      <vt:variant>
        <vt:i4>8</vt:i4>
      </vt:variant>
      <vt:variant>
        <vt:i4>0</vt:i4>
      </vt:variant>
      <vt:variant>
        <vt:i4>5</vt:i4>
      </vt:variant>
      <vt:variant>
        <vt:lpwstr/>
      </vt:variant>
      <vt:variant>
        <vt:lpwstr>_Toc278360614</vt:lpwstr>
      </vt:variant>
      <vt:variant>
        <vt:i4>1179706</vt:i4>
      </vt:variant>
      <vt:variant>
        <vt:i4>2</vt:i4>
      </vt:variant>
      <vt:variant>
        <vt:i4>0</vt:i4>
      </vt:variant>
      <vt:variant>
        <vt:i4>5</vt:i4>
      </vt:variant>
      <vt:variant>
        <vt:lpwstr/>
      </vt:variant>
      <vt:variant>
        <vt:lpwstr>_Toc278360613</vt:lpwstr>
      </vt:variant>
      <vt:variant>
        <vt:i4>4390943</vt:i4>
      </vt:variant>
      <vt:variant>
        <vt:i4>114</vt:i4>
      </vt:variant>
      <vt:variant>
        <vt:i4>0</vt:i4>
      </vt:variant>
      <vt:variant>
        <vt:i4>5</vt:i4>
      </vt:variant>
      <vt:variant>
        <vt:lpwstr>http://www.hud.gov/offices/cpd/about/conplan/tod.cfm</vt:lpwstr>
      </vt:variant>
      <vt:variant>
        <vt:lpwstr/>
      </vt:variant>
      <vt:variant>
        <vt:i4>4390969</vt:i4>
      </vt:variant>
      <vt:variant>
        <vt:i4>111</vt:i4>
      </vt:variant>
      <vt:variant>
        <vt:i4>0</vt:i4>
      </vt:variant>
      <vt:variant>
        <vt:i4>5</vt:i4>
      </vt:variant>
      <vt:variant>
        <vt:lpwstr>http://portal.hud.gov/portal/page/portal/HUD/program_offices/sustainable_housing_communities</vt:lpwstr>
      </vt:variant>
      <vt:variant>
        <vt:lpwstr/>
      </vt:variant>
      <vt:variant>
        <vt:i4>6619225</vt:i4>
      </vt:variant>
      <vt:variant>
        <vt:i4>108</vt:i4>
      </vt:variant>
      <vt:variant>
        <vt:i4>0</vt:i4>
      </vt:variant>
      <vt:variant>
        <vt:i4>5</vt:i4>
      </vt:variant>
      <vt:variant>
        <vt:lpwstr>http://www.un-documents.net/ocf-02.htm</vt:lpwstr>
      </vt:variant>
      <vt:variant>
        <vt:lpwstr>I</vt:lpwstr>
      </vt:variant>
      <vt:variant>
        <vt:i4>1507413</vt:i4>
      </vt:variant>
      <vt:variant>
        <vt:i4>105</vt:i4>
      </vt:variant>
      <vt:variant>
        <vt:i4>0</vt:i4>
      </vt:variant>
      <vt:variant>
        <vt:i4>5</vt:i4>
      </vt:variant>
      <vt:variant>
        <vt:lpwstr>http://www.un-documents.net/wced-ocf.htm</vt:lpwstr>
      </vt:variant>
      <vt:variant>
        <vt:lpwstr/>
      </vt:variant>
      <vt:variant>
        <vt:i4>3473453</vt:i4>
      </vt:variant>
      <vt:variant>
        <vt:i4>102</vt:i4>
      </vt:variant>
      <vt:variant>
        <vt:i4>0</vt:i4>
      </vt:variant>
      <vt:variant>
        <vt:i4>5</vt:i4>
      </vt:variant>
      <vt:variant>
        <vt:lpwstr>http://www.epa.gov/smartgrowth/</vt:lpwstr>
      </vt:variant>
      <vt:variant>
        <vt:lpwstr/>
      </vt:variant>
      <vt:variant>
        <vt:i4>4194381</vt:i4>
      </vt:variant>
      <vt:variant>
        <vt:i4>99</vt:i4>
      </vt:variant>
      <vt:variant>
        <vt:i4>0</vt:i4>
      </vt:variant>
      <vt:variant>
        <vt:i4>5</vt:i4>
      </vt:variant>
      <vt:variant>
        <vt:lpwstr>http://www.smartgrowth.org/about/default.asp</vt:lpwstr>
      </vt:variant>
      <vt:variant>
        <vt:lpwstr/>
      </vt:variant>
      <vt:variant>
        <vt:i4>5242973</vt:i4>
      </vt:variant>
      <vt:variant>
        <vt:i4>96</vt:i4>
      </vt:variant>
      <vt:variant>
        <vt:i4>0</vt:i4>
      </vt:variant>
      <vt:variant>
        <vt:i4>5</vt:i4>
      </vt:variant>
      <vt:variant>
        <vt:lpwstr>http://www.movesandiego.org/</vt:lpwstr>
      </vt:variant>
      <vt:variant>
        <vt:lpwstr/>
      </vt:variant>
      <vt:variant>
        <vt:i4>1835104</vt:i4>
      </vt:variant>
      <vt:variant>
        <vt:i4>93</vt:i4>
      </vt:variant>
      <vt:variant>
        <vt:i4>0</vt:i4>
      </vt:variant>
      <vt:variant>
        <vt:i4>5</vt:i4>
      </vt:variant>
      <vt:variant>
        <vt:lpwstr>http://www.unep.org/labour_environment/PDFs/Greenjobs/UNEP-Green-Jobs-Report.pdf</vt:lpwstr>
      </vt:variant>
      <vt:variant>
        <vt:lpwstr/>
      </vt:variant>
      <vt:variant>
        <vt:i4>3473507</vt:i4>
      </vt:variant>
      <vt:variant>
        <vt:i4>90</vt:i4>
      </vt:variant>
      <vt:variant>
        <vt:i4>0</vt:i4>
      </vt:variant>
      <vt:variant>
        <vt:i4>5</vt:i4>
      </vt:variant>
      <vt:variant>
        <vt:lpwstr>http://www.epa.gov/greenbuilding/pubs/about.htm</vt:lpwstr>
      </vt:variant>
      <vt:variant>
        <vt:lpwstr/>
      </vt:variant>
      <vt:variant>
        <vt:i4>7209064</vt:i4>
      </vt:variant>
      <vt:variant>
        <vt:i4>87</vt:i4>
      </vt:variant>
      <vt:variant>
        <vt:i4>0</vt:i4>
      </vt:variant>
      <vt:variant>
        <vt:i4>5</vt:i4>
      </vt:variant>
      <vt:variant>
        <vt:lpwstr>http://www.arb.ca.gov/cc/ab32/ab32.htm</vt:lpwstr>
      </vt:variant>
      <vt:variant>
        <vt:lpwstr/>
      </vt:variant>
      <vt:variant>
        <vt:i4>5177427</vt:i4>
      </vt:variant>
      <vt:variant>
        <vt:i4>84</vt:i4>
      </vt:variant>
      <vt:variant>
        <vt:i4>0</vt:i4>
      </vt:variant>
      <vt:variant>
        <vt:i4>5</vt:i4>
      </vt:variant>
      <vt:variant>
        <vt:lpwstr>http://www.unionyes.org/</vt:lpwstr>
      </vt:variant>
      <vt:variant>
        <vt:lpwstr/>
      </vt:variant>
      <vt:variant>
        <vt:i4>4456478</vt:i4>
      </vt:variant>
      <vt:variant>
        <vt:i4>81</vt:i4>
      </vt:variant>
      <vt:variant>
        <vt:i4>0</vt:i4>
      </vt:variant>
      <vt:variant>
        <vt:i4>5</vt:i4>
      </vt:variant>
      <vt:variant>
        <vt:lpwstr>http://www.onlinecpi.org/</vt:lpwstr>
      </vt:variant>
      <vt:variant>
        <vt:lpwstr/>
      </vt:variant>
      <vt:variant>
        <vt:i4>4390925</vt:i4>
      </vt:variant>
      <vt:variant>
        <vt:i4>78</vt:i4>
      </vt:variant>
      <vt:variant>
        <vt:i4>0</vt:i4>
      </vt:variant>
      <vt:variant>
        <vt:i4>5</vt:i4>
      </vt:variant>
      <vt:variant>
        <vt:lpwstr>http://www.fresc.org/</vt:lpwstr>
      </vt:variant>
      <vt:variant>
        <vt:lpwstr/>
      </vt:variant>
      <vt:variant>
        <vt:i4>2949219</vt:i4>
      </vt:variant>
      <vt:variant>
        <vt:i4>75</vt:i4>
      </vt:variant>
      <vt:variant>
        <vt:i4>0</vt:i4>
      </vt:variant>
      <vt:variant>
        <vt:i4>5</vt:i4>
      </vt:variant>
      <vt:variant>
        <vt:lpwstr>http://www.greenforall.org/</vt:lpwstr>
      </vt:variant>
      <vt:variant>
        <vt:lpwstr/>
      </vt:variant>
      <vt:variant>
        <vt:i4>3145777</vt:i4>
      </vt:variant>
      <vt:variant>
        <vt:i4>72</vt:i4>
      </vt:variant>
      <vt:variant>
        <vt:i4>0</vt:i4>
      </vt:variant>
      <vt:variant>
        <vt:i4>5</vt:i4>
      </vt:variant>
      <vt:variant>
        <vt:lpwstr>http://portal.hud.gov/portal/page/portal/HUD/fy2011budget/signature_initiatives/catalytic_investment_competition_grants</vt:lpwstr>
      </vt:variant>
      <vt:variant>
        <vt:lpwstr/>
      </vt:variant>
      <vt:variant>
        <vt:i4>2359418</vt:i4>
      </vt:variant>
      <vt:variant>
        <vt:i4>69</vt:i4>
      </vt:variant>
      <vt:variant>
        <vt:i4>0</vt:i4>
      </vt:variant>
      <vt:variant>
        <vt:i4>5</vt:i4>
      </vt:variant>
      <vt:variant>
        <vt:lpwstr>http://www.sustainablesandiego.org/</vt:lpwstr>
      </vt:variant>
      <vt:variant>
        <vt:lpwstr/>
      </vt:variant>
      <vt:variant>
        <vt:i4>5242884</vt:i4>
      </vt:variant>
      <vt:variant>
        <vt:i4>66</vt:i4>
      </vt:variant>
      <vt:variant>
        <vt:i4>0</vt:i4>
      </vt:variant>
      <vt:variant>
        <vt:i4>5</vt:i4>
      </vt:variant>
      <vt:variant>
        <vt:lpwstr>http://movesandiego.org/</vt:lpwstr>
      </vt:variant>
      <vt:variant>
        <vt:lpwstr/>
      </vt:variant>
      <vt:variant>
        <vt:i4>2293780</vt:i4>
      </vt:variant>
      <vt:variant>
        <vt:i4>63</vt:i4>
      </vt:variant>
      <vt:variant>
        <vt:i4>0</vt:i4>
      </vt:variant>
      <vt:variant>
        <vt:i4>5</vt:i4>
      </vt:variant>
      <vt:variant>
        <vt:lpwstr>http://www.sdmts.com/MTS/About_MTS.asp</vt:lpwstr>
      </vt:variant>
      <vt:variant>
        <vt:lpwstr/>
      </vt:variant>
      <vt:variant>
        <vt:i4>4653149</vt:i4>
      </vt:variant>
      <vt:variant>
        <vt:i4>60</vt:i4>
      </vt:variant>
      <vt:variant>
        <vt:i4>0</vt:i4>
      </vt:variant>
      <vt:variant>
        <vt:i4>5</vt:i4>
      </vt:variant>
      <vt:variant>
        <vt:lpwstr>http://www.sandiegobusiness.org/</vt:lpwstr>
      </vt:variant>
      <vt:variant>
        <vt:lpwstr/>
      </vt:variant>
      <vt:variant>
        <vt:i4>4325384</vt:i4>
      </vt:variant>
      <vt:variant>
        <vt:i4>57</vt:i4>
      </vt:variant>
      <vt:variant>
        <vt:i4>0</vt:i4>
      </vt:variant>
      <vt:variant>
        <vt:i4>5</vt:i4>
      </vt:variant>
      <vt:variant>
        <vt:lpwstr>http://www.sdchamber.org/</vt:lpwstr>
      </vt:variant>
      <vt:variant>
        <vt:lpwstr/>
      </vt:variant>
      <vt:variant>
        <vt:i4>4128877</vt:i4>
      </vt:variant>
      <vt:variant>
        <vt:i4>54</vt:i4>
      </vt:variant>
      <vt:variant>
        <vt:i4>0</vt:i4>
      </vt:variant>
      <vt:variant>
        <vt:i4>5</vt:i4>
      </vt:variant>
      <vt:variant>
        <vt:lpwstr>http://www.housingsandiego.org/</vt:lpwstr>
      </vt:variant>
      <vt:variant>
        <vt:lpwstr/>
      </vt:variant>
      <vt:variant>
        <vt:i4>5505101</vt:i4>
      </vt:variant>
      <vt:variant>
        <vt:i4>51</vt:i4>
      </vt:variant>
      <vt:variant>
        <vt:i4>0</vt:i4>
      </vt:variant>
      <vt:variant>
        <vt:i4>5</vt:i4>
      </vt:variant>
      <vt:variant>
        <vt:lpwstr>http://sdcaa.com/</vt:lpwstr>
      </vt:variant>
      <vt:variant>
        <vt:lpwstr/>
      </vt:variant>
      <vt:variant>
        <vt:i4>3276909</vt:i4>
      </vt:variant>
      <vt:variant>
        <vt:i4>48</vt:i4>
      </vt:variant>
      <vt:variant>
        <vt:i4>0</vt:i4>
      </vt:variant>
      <vt:variant>
        <vt:i4>5</vt:i4>
      </vt:variant>
      <vt:variant>
        <vt:lpwstr>http://www.car.org/</vt:lpwstr>
      </vt:variant>
      <vt:variant>
        <vt:lpwstr/>
      </vt:variant>
      <vt:variant>
        <vt:i4>5701649</vt:i4>
      </vt:variant>
      <vt:variant>
        <vt:i4>45</vt:i4>
      </vt:variant>
      <vt:variant>
        <vt:i4>0</vt:i4>
      </vt:variant>
      <vt:variant>
        <vt:i4>5</vt:i4>
      </vt:variant>
      <vt:variant>
        <vt:lpwstr>http://sdar.com/</vt:lpwstr>
      </vt:variant>
      <vt:variant>
        <vt:lpwstr/>
      </vt:variant>
      <vt:variant>
        <vt:i4>3080239</vt:i4>
      </vt:variant>
      <vt:variant>
        <vt:i4>42</vt:i4>
      </vt:variant>
      <vt:variant>
        <vt:i4>0</vt:i4>
      </vt:variant>
      <vt:variant>
        <vt:i4>5</vt:i4>
      </vt:variant>
      <vt:variant>
        <vt:lpwstr>http://biasandiego.org/</vt:lpwstr>
      </vt:variant>
      <vt:variant>
        <vt:lpwstr/>
      </vt:variant>
      <vt:variant>
        <vt:i4>1507353</vt:i4>
      </vt:variant>
      <vt:variant>
        <vt:i4>39</vt:i4>
      </vt:variant>
      <vt:variant>
        <vt:i4>0</vt:i4>
      </vt:variant>
      <vt:variant>
        <vt:i4>5</vt:i4>
      </vt:variant>
      <vt:variant>
        <vt:lpwstr>http://www.sandag.org/index.asp?classid=12&amp;fuseaction=home.classhome</vt:lpwstr>
      </vt:variant>
      <vt:variant>
        <vt:lpwstr/>
      </vt:variant>
      <vt:variant>
        <vt:i4>3276903</vt:i4>
      </vt:variant>
      <vt:variant>
        <vt:i4>36</vt:i4>
      </vt:variant>
      <vt:variant>
        <vt:i4>0</vt:i4>
      </vt:variant>
      <vt:variant>
        <vt:i4>5</vt:i4>
      </vt:variant>
      <vt:variant>
        <vt:lpwstr>http://www.sandiego.gov/redevelopment-agency/projarea.shtml</vt:lpwstr>
      </vt:variant>
      <vt:variant>
        <vt:lpwstr/>
      </vt:variant>
      <vt:variant>
        <vt:i4>4653062</vt:i4>
      </vt:variant>
      <vt:variant>
        <vt:i4>33</vt:i4>
      </vt:variant>
      <vt:variant>
        <vt:i4>0</vt:i4>
      </vt:variant>
      <vt:variant>
        <vt:i4>5</vt:i4>
      </vt:variant>
      <vt:variant>
        <vt:lpwstr>http://www.sandiego.gov/planning/genplan/pdf/generalplan/gpmonitoringreportapril2010.pdf</vt:lpwstr>
      </vt:variant>
      <vt:variant>
        <vt:lpwstr/>
      </vt:variant>
      <vt:variant>
        <vt:i4>3670126</vt:i4>
      </vt:variant>
      <vt:variant>
        <vt:i4>30</vt:i4>
      </vt:variant>
      <vt:variant>
        <vt:i4>0</vt:i4>
      </vt:variant>
      <vt:variant>
        <vt:i4>5</vt:i4>
      </vt:variant>
      <vt:variant>
        <vt:lpwstr>http://www.sandiego.gov/planning/community/plans.shtml</vt:lpwstr>
      </vt:variant>
      <vt:variant>
        <vt:lpwstr/>
      </vt:variant>
      <vt:variant>
        <vt:i4>5832717</vt:i4>
      </vt:variant>
      <vt:variant>
        <vt:i4>27</vt:i4>
      </vt:variant>
      <vt:variant>
        <vt:i4>0</vt:i4>
      </vt:variant>
      <vt:variant>
        <vt:i4>5</vt:i4>
      </vt:variant>
      <vt:variant>
        <vt:lpwstr>http://www.sandiego.gov/redevelopment-agency/ah.shtml</vt:lpwstr>
      </vt:variant>
      <vt:variant>
        <vt:lpwstr>collaborative</vt:lpwstr>
      </vt:variant>
      <vt:variant>
        <vt:i4>1572936</vt:i4>
      </vt:variant>
      <vt:variant>
        <vt:i4>24</vt:i4>
      </vt:variant>
      <vt:variant>
        <vt:i4>0</vt:i4>
      </vt:variant>
      <vt:variant>
        <vt:i4>5</vt:i4>
      </vt:variant>
      <vt:variant>
        <vt:lpwstr>http://www.cityoflamesa.com/DocumentView.aspx?DID=785</vt:lpwstr>
      </vt:variant>
      <vt:variant>
        <vt:lpwstr/>
      </vt:variant>
      <vt:variant>
        <vt:i4>1572937</vt:i4>
      </vt:variant>
      <vt:variant>
        <vt:i4>21</vt:i4>
      </vt:variant>
      <vt:variant>
        <vt:i4>0</vt:i4>
      </vt:variant>
      <vt:variant>
        <vt:i4>5</vt:i4>
      </vt:variant>
      <vt:variant>
        <vt:lpwstr>http://www.cityoflamesa.com/DocumentView.aspx?DID=680</vt:lpwstr>
      </vt:variant>
      <vt:variant>
        <vt:lpwstr/>
      </vt:variant>
      <vt:variant>
        <vt:i4>3932268</vt:i4>
      </vt:variant>
      <vt:variant>
        <vt:i4>18</vt:i4>
      </vt:variant>
      <vt:variant>
        <vt:i4>0</vt:i4>
      </vt:variant>
      <vt:variant>
        <vt:i4>5</vt:i4>
      </vt:variant>
      <vt:variant>
        <vt:lpwstr>http://www.sandiego.gov/redevelopment-agency/northbay.shtml</vt:lpwstr>
      </vt:variant>
      <vt:variant>
        <vt:lpwstr/>
      </vt:variant>
      <vt:variant>
        <vt:i4>4653106</vt:i4>
      </vt:variant>
      <vt:variant>
        <vt:i4>15</vt:i4>
      </vt:variant>
      <vt:variant>
        <vt:i4>0</vt:i4>
      </vt:variant>
      <vt:variant>
        <vt:i4>5</vt:i4>
      </vt:variant>
      <vt:variant>
        <vt:lpwstr>http://www.sandag.org/enewsletter/archives/november2006/feature_7.html</vt:lpwstr>
      </vt:variant>
      <vt:variant>
        <vt:lpwstr/>
      </vt:variant>
      <vt:variant>
        <vt:i4>6029329</vt:i4>
      </vt:variant>
      <vt:variant>
        <vt:i4>12</vt:i4>
      </vt:variant>
      <vt:variant>
        <vt:i4>0</vt:i4>
      </vt:variant>
      <vt:variant>
        <vt:i4>5</vt:i4>
      </vt:variant>
      <vt:variant>
        <vt:lpwstr>http://www.sandiego.gov/redevelopment-agency/pdf/affhousing/fsvillagemorenavista.pdf</vt:lpwstr>
      </vt:variant>
      <vt:variant>
        <vt:lpwstr/>
      </vt:variant>
      <vt:variant>
        <vt:i4>2752630</vt:i4>
      </vt:variant>
      <vt:variant>
        <vt:i4>9</vt:i4>
      </vt:variant>
      <vt:variant>
        <vt:i4>0</vt:i4>
      </vt:variant>
      <vt:variant>
        <vt:i4>5</vt:i4>
      </vt:variant>
      <vt:variant>
        <vt:lpwstr>http://www.sdcity.edu/pressrelease/SmartCorner-CityCollege.pdf</vt:lpwstr>
      </vt:variant>
      <vt:variant>
        <vt:lpwstr/>
      </vt:variant>
      <vt:variant>
        <vt:i4>2687080</vt:i4>
      </vt:variant>
      <vt:variant>
        <vt:i4>6</vt:i4>
      </vt:variant>
      <vt:variant>
        <vt:i4>0</vt:i4>
      </vt:variant>
      <vt:variant>
        <vt:i4>5</vt:i4>
      </vt:variant>
      <vt:variant>
        <vt:lpwstr>http://www.calredevelop.org/AM/Template.cfm?Section=Home&amp;CONTENTID=4934&amp;TEMPLATE=/CM/ContentDisplay.cfm</vt:lpwstr>
      </vt:variant>
      <vt:variant>
        <vt:lpwstr/>
      </vt:variant>
      <vt:variant>
        <vt:i4>6815807</vt:i4>
      </vt:variant>
      <vt:variant>
        <vt:i4>3</vt:i4>
      </vt:variant>
      <vt:variant>
        <vt:i4>0</vt:i4>
      </vt:variant>
      <vt:variant>
        <vt:i4>5</vt:i4>
      </vt:variant>
      <vt:variant>
        <vt:lpwstr>http://www.epa.gov/dced/partnership/index.html</vt:lpwstr>
      </vt:variant>
      <vt:variant>
        <vt:lpwstr/>
      </vt:variant>
      <vt:variant>
        <vt:i4>8060965</vt:i4>
      </vt:variant>
      <vt:variant>
        <vt:i4>0</vt:i4>
      </vt:variant>
      <vt:variant>
        <vt:i4>0</vt:i4>
      </vt:variant>
      <vt:variant>
        <vt:i4>5</vt:i4>
      </vt:variant>
      <vt:variant>
        <vt:lpwstr>http://www.sdhc.org/About/</vt:lpwstr>
      </vt:variant>
      <vt:variant>
        <vt:lpwstr/>
      </vt:variant>
      <vt:variant>
        <vt:i4>4128789</vt:i4>
      </vt:variant>
      <vt:variant>
        <vt:i4>6</vt:i4>
      </vt:variant>
      <vt:variant>
        <vt:i4>0</vt:i4>
      </vt:variant>
      <vt:variant>
        <vt:i4>5</vt:i4>
      </vt:variant>
      <vt:variant>
        <vt:lpwstr>mailto:jennifer@lesardevelopment.com</vt:lpwstr>
      </vt:variant>
      <vt:variant>
        <vt:lpwstr/>
      </vt:variant>
      <vt:variant>
        <vt:i4>3932223</vt:i4>
      </vt:variant>
      <vt:variant>
        <vt:i4>181907</vt:i4>
      </vt:variant>
      <vt:variant>
        <vt:i4>1029</vt:i4>
      </vt:variant>
      <vt:variant>
        <vt:i4>1</vt:i4>
      </vt:variant>
      <vt:variant>
        <vt:lpwstr>http://t0.gstatic.com/images?q=tbn:GeT4qFHd4AFRkM:http://www.sangis.org/Site_Files/image008_CitySeal.gif</vt:lpwstr>
      </vt:variant>
      <vt:variant>
        <vt:lpwstr/>
      </vt:variant>
      <vt:variant>
        <vt:i4>5505119</vt:i4>
      </vt:variant>
      <vt:variant>
        <vt:i4>182022</vt:i4>
      </vt:variant>
      <vt:variant>
        <vt:i4>1032</vt:i4>
      </vt:variant>
      <vt:variant>
        <vt:i4>1</vt:i4>
      </vt:variant>
      <vt:variant>
        <vt:lpwstr>http://www.unionyes.org/sites/all/themes/unionyes/images/logo.gif</vt:lpwstr>
      </vt:variant>
      <vt:variant>
        <vt:lpwstr/>
      </vt:variant>
      <vt:variant>
        <vt:i4>3080255</vt:i4>
      </vt:variant>
      <vt:variant>
        <vt:i4>182701</vt:i4>
      </vt:variant>
      <vt:variant>
        <vt:i4>1036</vt:i4>
      </vt:variant>
      <vt:variant>
        <vt:i4>1</vt:i4>
      </vt:variant>
      <vt:variant>
        <vt:lpwstr>http://www.fresc.org/img/fresc_index_02.gif</vt:lpwstr>
      </vt:variant>
      <vt:variant>
        <vt:lpwstr/>
      </vt:variant>
      <vt:variant>
        <vt:i4>6357035</vt:i4>
      </vt:variant>
      <vt:variant>
        <vt:i4>182780</vt:i4>
      </vt:variant>
      <vt:variant>
        <vt:i4>1037</vt:i4>
      </vt:variant>
      <vt:variant>
        <vt:i4>1</vt:i4>
      </vt:variant>
      <vt:variant>
        <vt:lpwstr>http://www.greenforall.org/logo.gif</vt:lpwstr>
      </vt:variant>
      <vt:variant>
        <vt:lpwstr/>
      </vt:variant>
      <vt:variant>
        <vt:i4>3211313</vt:i4>
      </vt:variant>
      <vt:variant>
        <vt:i4>182887</vt:i4>
      </vt:variant>
      <vt:variant>
        <vt:i4>1038</vt:i4>
      </vt:variant>
      <vt:variant>
        <vt:i4>1</vt:i4>
      </vt:variant>
      <vt:variant>
        <vt:lpwstr>http://www.earncentral.org/images/grouplogos/CPI-Logo-100px.gif</vt:lpwstr>
      </vt:variant>
      <vt:variant>
        <vt:lpwstr/>
      </vt:variant>
      <vt:variant>
        <vt:i4>6422641</vt:i4>
      </vt:variant>
      <vt:variant>
        <vt:i4>182994</vt:i4>
      </vt:variant>
      <vt:variant>
        <vt:i4>1039</vt:i4>
      </vt:variant>
      <vt:variant>
        <vt:i4>1</vt:i4>
      </vt:variant>
      <vt:variant>
        <vt:lpwstr>http://www.sandiego.gov/redevelopment-agency/graphics/title.gif</vt:lpwstr>
      </vt:variant>
      <vt:variant>
        <vt:lpwstr/>
      </vt:variant>
      <vt:variant>
        <vt:i4>7667780</vt:i4>
      </vt:variant>
      <vt:variant>
        <vt:i4>183134</vt:i4>
      </vt:variant>
      <vt:variant>
        <vt:i4>1040</vt:i4>
      </vt:variant>
      <vt:variant>
        <vt:i4>1</vt:i4>
      </vt:variant>
      <vt:variant>
        <vt:lpwstr>http://t3.gstatic.com/images?q=tbn:pXebuIYBzzJ2_M:http://www.sedcinc.com/images/sedc_logo_w.gif</vt:lpwstr>
      </vt:variant>
      <vt:variant>
        <vt:lpwstr/>
      </vt:variant>
      <vt:variant>
        <vt:i4>6619233</vt:i4>
      </vt:variant>
      <vt:variant>
        <vt:i4>183236</vt:i4>
      </vt:variant>
      <vt:variant>
        <vt:i4>1043</vt:i4>
      </vt:variant>
      <vt:variant>
        <vt:i4>1</vt:i4>
      </vt:variant>
      <vt:variant>
        <vt:lpwstr>http://biasandiego.org/images/misc/bia_logo_index.jpg</vt:lpwstr>
      </vt:variant>
      <vt:variant>
        <vt:lpwstr/>
      </vt:variant>
      <vt:variant>
        <vt:i4>7667725</vt:i4>
      </vt:variant>
      <vt:variant>
        <vt:i4>183363</vt:i4>
      </vt:variant>
      <vt:variant>
        <vt:i4>1044</vt:i4>
      </vt:variant>
      <vt:variant>
        <vt:i4>1</vt:i4>
      </vt:variant>
      <vt:variant>
        <vt:lpwstr>http://sdar.com/sohoadmin/program/modules/site_templates/pages/sdar/images/logo.jpg</vt:lpwstr>
      </vt:variant>
      <vt:variant>
        <vt:lpwstr/>
      </vt:variant>
      <vt:variant>
        <vt:i4>8192035</vt:i4>
      </vt:variant>
      <vt:variant>
        <vt:i4>183466</vt:i4>
      </vt:variant>
      <vt:variant>
        <vt:i4>1045</vt:i4>
      </vt:variant>
      <vt:variant>
        <vt:i4>1</vt:i4>
      </vt:variant>
      <vt:variant>
        <vt:lpwstr>http://www.amer-tech.com/images/medialibrary/SDCAA-Logo.jpg</vt:lpwstr>
      </vt:variant>
      <vt:variant>
        <vt:lpwstr/>
      </vt:variant>
      <vt:variant>
        <vt:i4>2818083</vt:i4>
      </vt:variant>
      <vt:variant>
        <vt:i4>183549</vt:i4>
      </vt:variant>
      <vt:variant>
        <vt:i4>1046</vt:i4>
      </vt:variant>
      <vt:variant>
        <vt:i4>1</vt:i4>
      </vt:variant>
      <vt:variant>
        <vt:lpwstr>http://www.sdmts.com/images/MTSLogo.jpg</vt:lpwstr>
      </vt:variant>
      <vt:variant>
        <vt:lpwstr/>
      </vt:variant>
      <vt:variant>
        <vt:i4>3342408</vt:i4>
      </vt:variant>
      <vt:variant>
        <vt:i4>183636</vt:i4>
      </vt:variant>
      <vt:variant>
        <vt:i4>1047</vt:i4>
      </vt:variant>
      <vt:variant>
        <vt:i4>1</vt:i4>
      </vt:variant>
      <vt:variant>
        <vt:lpwstr>http://movesandiego.org/images/index_10.jpg</vt:lpwstr>
      </vt:variant>
      <vt:variant>
        <vt:lpwstr/>
      </vt:variant>
      <vt:variant>
        <vt:i4>7798890</vt:i4>
      </vt:variant>
      <vt:variant>
        <vt:i4>183750</vt:i4>
      </vt:variant>
      <vt:variant>
        <vt:i4>1048</vt:i4>
      </vt:variant>
      <vt:variant>
        <vt:i4>1</vt:i4>
      </vt:variant>
      <vt:variant>
        <vt:lpwstr>http://www.sandiego.gov/economic-development/graphics/busimprovmap.gif</vt:lpwstr>
      </vt:variant>
      <vt:variant>
        <vt:lpwstr/>
      </vt:variant>
      <vt:variant>
        <vt:i4>6422608</vt:i4>
      </vt:variant>
      <vt:variant>
        <vt:i4>183845</vt:i4>
      </vt:variant>
      <vt:variant>
        <vt:i4>1054</vt:i4>
      </vt:variant>
      <vt:variant>
        <vt:i4>1</vt:i4>
      </vt:variant>
      <vt:variant>
        <vt:lpwstr>http://www.ccdc.com/images/CCDC_logo.gif</vt:lpwstr>
      </vt:variant>
      <vt:variant>
        <vt:lpwstr/>
      </vt:variant>
      <vt:variant>
        <vt:i4>786484</vt:i4>
      </vt:variant>
      <vt:variant>
        <vt:i4>-1</vt:i4>
      </vt:variant>
      <vt:variant>
        <vt:i4>1121</vt:i4>
      </vt:variant>
      <vt:variant>
        <vt:i4>1</vt:i4>
      </vt:variant>
      <vt:variant>
        <vt:lpwstr>http://www.sdchamber.org/gfx/top_logo.jpg</vt:lpwstr>
      </vt:variant>
      <vt:variant>
        <vt:lpwstr/>
      </vt:variant>
      <vt:variant>
        <vt:i4>1900571</vt:i4>
      </vt:variant>
      <vt:variant>
        <vt:i4>-1</vt:i4>
      </vt:variant>
      <vt:variant>
        <vt:i4>1133</vt:i4>
      </vt:variant>
      <vt:variant>
        <vt:i4>1</vt:i4>
      </vt:variant>
      <vt:variant>
        <vt:lpwstr>http://www.sustainablesandiego.org/images/mm_community_photo.jpg</vt:lpwstr>
      </vt:variant>
      <vt:variant>
        <vt:lpwstr/>
      </vt:variant>
      <vt:variant>
        <vt:i4>5963783</vt:i4>
      </vt:variant>
      <vt:variant>
        <vt:i4>-1</vt:i4>
      </vt:variant>
      <vt:variant>
        <vt:i4>1145</vt:i4>
      </vt:variant>
      <vt:variant>
        <vt:i4>1</vt:i4>
      </vt:variant>
      <vt:variant>
        <vt:lpwstr>http://www.sandag.org/enewsletter/archives/july2005/images/logo_sandag_anim.gif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Ten-Year Implementation Plan to End Homelessness in the City of Los Angeles</dc:title>
  <dc:creator>Rachel Ralston</dc:creator>
  <cp:lastModifiedBy>Johnson, Nancy</cp:lastModifiedBy>
  <cp:revision>2</cp:revision>
  <cp:lastPrinted>2013-06-25T21:26:00Z</cp:lastPrinted>
  <dcterms:created xsi:type="dcterms:W3CDTF">2014-04-25T16:37:00Z</dcterms:created>
  <dcterms:modified xsi:type="dcterms:W3CDTF">2014-04-25T16:37:00Z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